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jc w:val="center"/>
        <w:ind w:left="400" w:right="880"/>
        <w:spacing w:after="0" w:line="32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APPLICABLE ONLY TO CORPORATE ISSUERS:</w:t>
      </w:r>
    </w:p>
    <w:p>
      <w:pPr>
        <w:spacing w:after="0" w:line="158"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The number of shares of common stock, par value of $0.001 per share, outstanding at May 8, 2007 was 50,101,201.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Management's Discussion and Analysis of Financial Condition and Results of Operations.</w:t>
              </w:r>
            </w:hyperlink>
          </w:p>
        </w:tc>
        <w:tc>
          <w:tcPr>
            <w:tcW w:w="20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834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24"/>
                <w:szCs w:val="24"/>
                <w:color w:val="auto"/>
              </w:rPr>
            </w:pPr>
          </w:p>
        </w:tc>
        <w:tc>
          <w:tcPr>
            <w:tcW w:w="4140" w:type="dxa"/>
            <w:vAlign w:val="bottom"/>
            <w:gridSpan w:val="3"/>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92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6620" w:type="dxa"/>
            <w:vAlign w:val="bottom"/>
            <w:gridSpan w:val="9"/>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040" w:type="dxa"/>
            <w:vAlign w:val="bottom"/>
            <w:gridSpan w:val="11"/>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Unregistered Sales of Equity Securities and Use of Proceeds.</w:t>
              </w:r>
            </w:hyperlink>
          </w:p>
        </w:tc>
        <w:tc>
          <w:tcPr>
            <w:tcW w:w="404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Defaults Upon Senior Securities.</w:t>
              </w:r>
            </w:hyperlink>
          </w:p>
        </w:tc>
        <w:tc>
          <w:tcPr>
            <w:tcW w:w="6020" w:type="dxa"/>
            <w:vAlign w:val="bottom"/>
            <w:gridSpan w:val="6"/>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834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4620" w:type="dxa"/>
            <w:vAlign w:val="bottom"/>
            <w:gridSpan w:val="4"/>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3"/>
        </w:trPr>
        <w:tc>
          <w:tcPr>
            <w:tcW w:w="8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ind w:left="500"/>
              <w:spacing w:after="0"/>
              <w:rPr>
                <w:sz w:val="20"/>
                <w:szCs w:val="20"/>
                <w:color w:val="auto"/>
              </w:rPr>
            </w:pPr>
            <w:r>
              <w:rPr>
                <w:rFonts w:ascii="Arial" w:cs="Arial" w:eastAsia="Arial" w:hAnsi="Arial"/>
                <w:sz w:val="18"/>
                <w:szCs w:val="18"/>
                <w:color w:val="auto"/>
              </w:rPr>
              <w:t>i</w:t>
            </w:r>
          </w:p>
        </w:tc>
        <w:tc>
          <w:tcPr>
            <w:tcW w:w="22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4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b w:val="1"/>
                <w:bCs w:val="1"/>
                <w:color w:val="auto"/>
                <w:w w:val="88"/>
              </w:rPr>
              <w:t>Active Power, Inc.</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color w:val="auto"/>
                <w:w w:val="87"/>
              </w:rPr>
              <w:t>(in thousands)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w w:val="93"/>
              </w:rPr>
              <w:t>Short-term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11,789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34,494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31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000" w:type="dxa"/>
            <w:vAlign w:val="bottom"/>
            <w:gridSpan w:val="3"/>
            <w:vMerge w:val="continue"/>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1,328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244,068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(211,189)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5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liabilities and stockholders' equity</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4,911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5,636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6,960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(6,623)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(6,723)</w:t>
            </w: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50,088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20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8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$(6,424)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549</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jc w:val="right"/>
              <w:spacing w:after="0"/>
              <w:rPr>
                <w:sz w:val="20"/>
                <w:szCs w:val="20"/>
                <w:color w:val="auto"/>
              </w:rPr>
            </w:pPr>
            <w:r>
              <w:rPr>
                <w:rFonts w:ascii="Arial" w:cs="Arial" w:eastAsia="Arial" w:hAnsi="Arial"/>
                <w:sz w:val="18"/>
                <w:szCs w:val="18"/>
                <w:color w:val="auto"/>
              </w:rPr>
              <w:t>2,435</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2,032</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(3,240)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marketable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on subsidiaries in foreign currencies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$ 7,804</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$ 9,243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ind w:left="460" w:right="60" w:firstLine="438"/>
        <w:spacing w:after="0" w:line="29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“Active Power” or the “Company”) design</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and market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We offer a range of patented flywheel energy storage systems that provide an alternative for lead-acid batteries used in conventional power quality installations. We have recently broadened our product offerings with a battery-free extended runtime technology that utilizes thermal and compressed air storage to provide backup power for minutes to hours depending on the application. We sell our products globally through direct and Original Equipment Manufacturer (“OEM”) channels. Our current principal markets are North America and Europe, Middle East and Africa (“EMEA”).</w:t>
      </w:r>
    </w:p>
    <w:p>
      <w:pPr>
        <w:spacing w:after="0" w:line="37" w:lineRule="exact"/>
        <w:rPr>
          <w:sz w:val="20"/>
          <w:szCs w:val="20"/>
          <w:color w:val="auto"/>
        </w:rPr>
      </w:pPr>
    </w:p>
    <w:p>
      <w:pPr>
        <w:ind w:left="460" w:right="160" w:firstLine="438"/>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2006.</w:t>
      </w:r>
    </w:p>
    <w:p>
      <w:pPr>
        <w:spacing w:after="0" w:line="29" w:lineRule="exact"/>
        <w:rPr>
          <w:sz w:val="20"/>
          <w:szCs w:val="20"/>
          <w:color w:val="auto"/>
        </w:rPr>
      </w:pPr>
    </w:p>
    <w:p>
      <w:pPr>
        <w:ind w:left="460" w:firstLine="438"/>
        <w:spacing w:after="0" w:line="313" w:lineRule="auto"/>
        <w:rPr>
          <w:sz w:val="20"/>
          <w:szCs w:val="20"/>
          <w:color w:val="auto"/>
        </w:rPr>
      </w:pPr>
      <w:r>
        <w:rPr>
          <w:rFonts w:ascii="Arial" w:cs="Arial" w:eastAsia="Arial" w:hAnsi="Arial"/>
          <w:sz w:val="15"/>
          <w:szCs w:val="15"/>
          <w:b w:val="1"/>
          <w:bCs w:val="1"/>
          <w:color w:val="auto"/>
        </w:rPr>
        <w:t>Recently issued accounting standards</w:t>
      </w:r>
      <w:r>
        <w:rPr>
          <w:rFonts w:ascii="Arial" w:cs="Arial" w:eastAsia="Arial" w:hAnsi="Arial"/>
          <w:sz w:val="15"/>
          <w:szCs w:val="15"/>
          <w:color w:val="auto"/>
        </w:rPr>
        <w:t>: In September 2006 the Financial Accounting Standards Board (FASB) issued Statement of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Accounting Standards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25"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 xml:space="preserve">The Company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at the beginning of 2007. Adoption of FIN 48 did not have a material impact upon the Company. We have no unrecognized tax benefits and have not recognized any interest and penalties relating to uncertain tax positions. The Company will recognize interest and penalties related to uncertain tax positions in the provision for income taxes. The tax years 2003 through 2006 remain open to examination by the major taxing authorities to which we are subject.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Supplemental Balance Sheet Information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Receivables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Accounts receivable consist of the following (in thousands):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(1,301)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(1,356)</w:t>
            </w: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3,999</w:t>
            </w: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11,789</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Included in inventory at March 31, 2007 is $4.4 million of inventory relating exclusively to our CoolAir family of products. If we are unable to sell sufficient quantities of our finished CoolAir products, we may need to record an impairment charge for some or all of that amount.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2,556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20,891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(13,912)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(13,370)</w:t>
            </w:r>
          </w:p>
        </w:tc>
        <w:tc>
          <w:tcPr>
            <w:tcW w:w="0" w:type="dxa"/>
            <w:vAlign w:val="bottom"/>
          </w:tcPr>
          <w:p>
            <w:pPr>
              <w:spacing w:after="0"/>
              <w:rPr>
                <w:sz w:val="1"/>
                <w:szCs w:val="1"/>
                <w:color w:val="auto"/>
              </w:rPr>
            </w:pPr>
          </w:p>
        </w:tc>
      </w:tr>
      <w:tr>
        <w:trPr>
          <w:trHeight w:val="28"/>
        </w:trPr>
        <w:tc>
          <w:tcPr>
            <w:tcW w:w="3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140" w:type="dxa"/>
            <w:vAlign w:val="bottom"/>
            <w:vMerge w:val="restart"/>
          </w:tcPr>
          <w:p>
            <w:pPr>
              <w:jc w:val="right"/>
              <w:ind w:right="2372"/>
              <w:spacing w:after="0"/>
              <w:rPr>
                <w:sz w:val="20"/>
                <w:szCs w:val="20"/>
                <w:color w:val="auto"/>
              </w:rPr>
            </w:pPr>
            <w:r>
              <w:rPr>
                <w:rFonts w:ascii="Arial" w:cs="Arial" w:eastAsia="Arial" w:hAnsi="Arial"/>
                <w:sz w:val="18"/>
                <w:szCs w:val="18"/>
                <w:color w:val="auto"/>
              </w:rPr>
              <w:t>- 5 -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274" w:right="8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Expenses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7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Warranty liability</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Federal, state, property and sales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2,023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1,889</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22"/>
        </w:trPr>
        <w:tc>
          <w:tcPr>
            <w:tcW w:w="75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6,747</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Warranty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charges incurred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Balance at March 31, 2007</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97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Loss Per Share</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97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9720" w:type="dxa"/>
            <w:vAlign w:val="bottom"/>
            <w:gridSpan w:val="2"/>
          </w:tcPr>
          <w:p>
            <w:pPr>
              <w:ind w:left="600"/>
              <w:spacing w:after="0"/>
              <w:rPr>
                <w:sz w:val="20"/>
                <w:szCs w:val="20"/>
                <w:color w:val="auto"/>
              </w:rPr>
            </w:pPr>
            <w:r>
              <w:rPr>
                <w:rFonts w:ascii="Arial" w:cs="Arial" w:eastAsia="Arial" w:hAnsi="Arial"/>
                <w:sz w:val="18"/>
                <w:szCs w:val="18"/>
                <w:color w:val="auto"/>
                <w:w w:val="92"/>
              </w:rPr>
              <w:t>The following table sets forth the computation of basic and diluted net loss per share (in thousands, except per share data):</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Ended March 31,</w:t>
      </w:r>
    </w:p>
    <w:tbl>
      <w:tblPr>
        <w:tblLayout w:type="fixed"/>
        <w:tblInd w:w="460" w:type="dxa"/>
        <w:tblCellMar>
          <w:top w:w="0" w:type="dxa"/>
          <w:left w:w="0" w:type="dxa"/>
          <w:bottom w:w="0" w:type="dxa"/>
          <w:right w:w="0" w:type="dxa"/>
        </w:tblCellMar>
      </w:tblPr>
      <w:tr>
        <w:trPr>
          <w:trHeight w:val="143"/>
        </w:trPr>
        <w:tc>
          <w:tcPr>
            <w:tcW w:w="6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(6,424)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(6,250)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2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50,088</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50,088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Our calculation of diluted loss per share excludes 5,861,427 and 6,703,408 shares of common stock issuable upon exercise of employee stock options as of March 31, 2007 and 2006, respectively, because their inclusion in the calculation would be anti-dilutive. As of March 31, 2007 and 2006, there was no common stock subject to repurchase.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8" w:name="page9"/>
    <w:bookmarkEnd w:id="8"/>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Events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a review of our historical stock option granting procedures, our Board of Directors decided on April 19, 2007, that the Company would not honor any outstanding options held by persons that the Board determined were significantly responsible for the problematic practices identified by the investigation and knew or should have known that the practices were contrary to the terms of our stock option plan, Delaware law, or proper accounting practices. On April 19, 2007, the Board directed the Company’s counsel to communicate the Company’s demand that any such options still outstanding should be treated by any such optionee as cancelled. All 483,469 of such options that were still outstanding as of April 19, 2007 have now expired according to their original terms without any attempted exercises.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19, 2007, the Board also decided that the Company should seek the return of profits realized upon the exercise of certain options by persons that the Board determined were significantly responsible for the problematic practices identified in the investigation and knew or should have known that the practices were contrary to our stock option plan, Delaware law or proper accounting practices. On April 19, 2007, the Board directed the Company’s counsel to communicate to such persons the Company’s demand for the return of such profits, totaling $323,000 in the aggregate. To date, we have collected $19,250 of such profits from one of the affected individuals. Demands with respect to several other such persons remain pending.</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With respect to unexercised options, the Board has further determined in April that we will either implement a plan to assist certain affected optionees not involved in the problematic stock option granting practices in meeting their liabilities for the amount of the incremental tax obligations caused by incorrect treatment of outstanding options by adjusting the terms of the original option grant (in the case of out-of-the-money options) or adjusting the terms of the original option grant and paying the affected employees an amount to compensate such employees for the increase in exercise price (in the case of in-the-money options). We have determined that certain persons who were significantly involved in the problematic practices identified in our internal stock option investigation will not be afforded any such assistance. Accordingly, we anticipate recording certain expenses associated with such assistance in the second quarter of 2007 as this was the period in which such determinations were made. We currently anticipate such expenses to be approximately $285,000 although the exact amount will depend upon the Company’s stock price at the time these decisions are implemented. The Company intends to negotiate a settlement with the Internal Revenue Service for these items, and so the actual amount of expense will be determined at the time of such settlement. In addition to liabilities for amounts we may be required to pay to the Internal Revenue Service, the adjustments to outstanding unexercised options that the Board plans to make to assist certain affected optionees, as described above, may result in additional charges to future compensation expense relating to those adjusted options. The amount of such charges will depend on the fair value of the adjusted options at the time of the adjustments as compared to their fair value at the time of their original issuance.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we will continue to incur significant legal, professional and other expenses as a result of our investigation of historical stock granting procedures, including potentially significant expenses for tax obligations for innocent employees, and possible indemnification of costs to certain former directors and officers of the Company in the event of further regulatory reviews emanating from the stock option review.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2006 included in our 2006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in our 2006 Annual Report on Form 10-K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Our products are designed to be environmentally friendly compared to existing solutions without compromising functionality, efficiency or cost. We have shipped over 1,500 flywheels or more than 375 megawatts of our products to businesses in over 40 countries since we were founded in 1992.</w:t>
      </w:r>
    </w:p>
    <w:p>
      <w:pPr>
        <w:spacing w:after="0" w:line="116"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 generators. We market our flywheel products under the brand name CleanSource</w:t>
      </w:r>
      <w:r>
        <w:rPr>
          <w:rFonts w:ascii="Arial" w:cs="Arial" w:eastAsia="Arial" w:hAnsi="Arial"/>
          <w:sz w:val="20"/>
          <w:szCs w:val="20"/>
          <w:color w:val="auto"/>
          <w:vertAlign w:val="superscript"/>
        </w:rPr>
        <w:t>®</w:t>
      </w:r>
      <w:r>
        <w:rPr>
          <w:rFonts w:ascii="Arial" w:cs="Arial" w:eastAsia="Arial" w:hAnsi="Arial"/>
          <w:sz w:val="16"/>
          <w:szCs w:val="16"/>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by Caterpillar Inc. under the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address the requirements of customers without backup generators that require protection from utility disturbances, we have also developed a patented</w:t>
      </w:r>
    </w:p>
    <w:p>
      <w:pPr>
        <w:spacing w:after="0" w:line="4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extended runtime product that we call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third-party double-conversion UPS. CoolAir initially is being targeted at small to medium-sized data center customers in North America following its commercial introduction in the US in the second quarter of 2006, and an international version in the fourth quarter of 2006.</w:t>
      </w:r>
    </w:p>
    <w:p>
      <w:pPr>
        <w:spacing w:after="0" w:line="18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w:t>
      </w:r>
    </w:p>
    <w:p>
      <w:pPr>
        <w:spacing w:after="0" w:line="10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8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Variance</w:t>
            </w:r>
          </w:p>
        </w:tc>
      </w:tr>
      <w:tr>
        <w:trPr>
          <w:trHeight w:val="168"/>
        </w:trPr>
        <w:tc>
          <w:tcPr>
            <w:tcW w:w="662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w w:val="90"/>
              </w:rPr>
              <w:t>Three months ended March 31,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2007 vs. 2006</w:t>
            </w:r>
          </w:p>
        </w:tc>
      </w:tr>
      <w:tr>
        <w:trPr>
          <w:trHeight w:val="136"/>
        </w:trPr>
        <w:tc>
          <w:tcPr>
            <w:tcW w:w="20" w:type="dxa"/>
            <w:vAlign w:val="bottom"/>
          </w:tcPr>
          <w:p>
            <w:pPr>
              <w:spacing w:after="0"/>
              <w:rPr>
                <w:sz w:val="11"/>
                <w:szCs w:val="11"/>
                <w:color w:val="auto"/>
              </w:rPr>
            </w:pPr>
          </w:p>
        </w:tc>
        <w:tc>
          <w:tcPr>
            <w:tcW w:w="6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w w:val="88"/>
              </w:rPr>
              <w:t>% of total</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8"/>
              </w:rPr>
              <w:t>% of 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4,911</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5,140</w:t>
            </w:r>
          </w:p>
        </w:tc>
        <w:tc>
          <w:tcPr>
            <w:tcW w:w="2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329</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-29%</w:t>
            </w: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2,625</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2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384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(6,723)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7"/>
              </w:rPr>
              <w:t>(49)%</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103%</w:t>
            </w: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(6,424)</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(6,250)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 (174)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comprising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ancillary equipment, such as engine generators, electrical and switchgear products.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increase in product revenue from the same period of 2006 was due to higher sales of our 250-900 kVA UPS product line and continued growth from our direct sales channel. When we sell product directly, as compared to through our OEM channels, we typically generate higher prices and better contribution margins as we do not have to offer channel discounts. The average selling price over the first three months of 2007 was $82,000 per quarter-megawatt flywheel, compared to $54,000 over the same period in 2006 due to higher direct sales and selling products with more options, which occurs more frequently with direct transactions compared to our OEM sales. A single product, depending on its power rating, may be comprised of multiple flywheel units.</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the quarter ended March 31, 2007 we sold 48 flywheel units compared to 91 in the comparable period of 2006. In the prior year period there was a large OEM transaction of 8 megawatt-class UPS machines (representing 32 flywheels) that sold at lower average selling prices than our direct UPS sales and which negatively influenced the average selling price. Excluding this transaction, the average selling price of a flywheel in 2006 would have been $74,000. The frequency and timing of our larger system sales, including megawatt class UPS products, is more volatile and can result in material changes in period-to-period revenue. Such revenues may also occur in periods other than when originally anticipated, which can add to the potential volatility and affect our ability to meet forecasted targets.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12" w:name="page13"/>
    <w:bookmarkEnd w:id="12"/>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American sales were 60% of our total revenue for the three-month period ended March 31, 2006 compared to 74% for the same period of 2006, and 55% in the immediately preceding quarter.</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During the current quarter we opened our first office in the Asia Pacific region, located in Tokyo. We also plan on expanding into Central America in 2007. Sales of Active Power branded products through our direct and manufacturer’s representative channels were 76% of our total revenues for the three-month period ended March 31, 2007 compared to 36% for the same period of 2006, reflecting the impact of this direct sales strategy. Direct sales typically have higher profit margins than sales through our OEM channels; therefore, increasing our direct sales channel is expected to result in increased revenue and improved profit margins. We believe sales of our Active Power branded products to government facilities and industrial customers in regions that were not covered by our OEMs will continue to increase over time and will continue to become a larger percentage of our total revenue.</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Caterpillar remains our largest OEM partner and largest overall customer and represented 23% of our revenue for the three-month period ended March 31, 2007 compared to 46% of our revenue for the three-month period ended March 31, 2006. We have had recent success with Caterpillar selling our megawatt-class UPS products along with their large engine generators, and expect total revenue from this channel to increase in 2007.</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2007. We have also seen and anticipate a further increase in capital spending in data centers where there is a requirement for higher-density power solutions such as flywheels, and believe that this along with our expanding direct sales strategy will result in higher product revenue levels for us in 2007.</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Service and spares revenue. </w:t>
      </w:r>
      <w:r>
        <w:rPr>
          <w:rFonts w:ascii="Arial" w:cs="Arial" w:eastAsia="Arial" w:hAnsi="Arial"/>
          <w:sz w:val="16"/>
          <w:szCs w:val="16"/>
          <w:color w:val="auto"/>
        </w:rPr>
        <w:t>Service and spares revenue primarily relates to revenue generated from installation, startup, repairs or reconfigurations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and the sale of spare or replacement parts to our OEM and end-user customers. It also includes revenue associated with the costs of travel of our service personnel. Service and spares revenue increased by 34% for the three-month period ended March 31, 2007 compared to the same prior year period. This increase is primarily due to higher levels of service and contract work from direct product sales made in the last two quarters. For some of these customers we provide a full power solution, including site preparation, installation of an entire power solution and provision of all products required to provide a turnkey product to the end user. We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 of services to their end-user customers.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including costs from having underutilized facilities, shipping costs, warranty costs, and the costs of manufacturing support functions such as logistics and quality assurance. The cost of product revenue as a percentage of total product revenue in the three-month period ended March 31, 2007 decreased by 10% compared to the comparable period in 2006 due to the effect of higher selling prices, improved efficiency in our manufacturing operations and material and overhead costs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13" w:name="page14"/>
    <w:bookmarkEnd w:id="13"/>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reductions. We have instituted programs to reduce product and component costs where feasible, and this has resulted in a decrease in materials costs as a percentage of product revenue. We continue to operate a manufacturing facility that has a capacity level significantly greater than our current product revenue levels. In addition, a large portion of the costs involved in operating our manufacturing facility are fixed in nature and we incur approximately $1.2 million to $1.5 million in unabsorbed overhead each quarter. We reduced our manufacturing staff levels in 2003 and have continued to reduce our overhead levels where feasible. We are still seeking to lower our manufacturing overhead levels through reducing the physical space we lease as well as other cost reduction activities that we expect to implement in 2007. We also continue to work on reducing our product costs through design enhancements and modifications, and vendor management programs. We have achieved gross-margin break-even in the last three quarters; however, our accomplishment of gross-margin break even is heavily dependent upon our sales channel mix and the effectiveness of our product pricing to our customers. Our ability to maintain positive product gross margin will depend on multiple factors, including our ability to continue to reduce material costs, improve our sales channel mix in favor of direct sales versus OEM, our ability to increase product prices, and to increase our total revenues to a level that will allow us to improve the utilization of our manufacturing operations.</w:t>
      </w:r>
    </w:p>
    <w:p>
      <w:pPr>
        <w:spacing w:after="0" w:line="10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Cost of service and spares revenue. </w:t>
      </w:r>
      <w:r>
        <w:rPr>
          <w:rFonts w:ascii="Arial" w:cs="Arial" w:eastAsia="Arial" w:hAnsi="Arial"/>
          <w:sz w:val="15"/>
          <w:szCs w:val="15"/>
          <w:color w:val="auto"/>
        </w:rPr>
        <w:t>Cost of service and spares revenue includes the cost of component parts, as well as labor and overhead of our spare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costs associated with travel and labor used in servicing a unit and unabsorbed overhead from the service group. The cost of service and spares revenue decreased to 103% of service and spares revenue in the three-month period ended of March 31, 2007 compared to 110% in the same period of 2006. This decrease reflects better utilization of our service personnel, improved pricing for service, and higher margins on contract work compared to the prior period.</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were $654,000 or 29% lower that the first quarter of 2006, and were $23,000 or 1% higher than the preceding quarter. The major reason for the decrease from 2006 was due to the effect of headcount reductions that the Company made in the third quarter of 2006, and due to lower project related development costs this year. The prior year expenses included higher prototype and development costs for our CoolAir DC product and costs incurred in paralleling our megawatt-class UPS product. We believe research and development expenses in the second quarter will stay at similar levels to those recorded in the first quarter.</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 xml:space="preserve">Selling and marketing. </w:t>
      </w:r>
      <w:r>
        <w:rPr>
          <w:rFonts w:ascii="Arial" w:cs="Arial" w:eastAsia="Arial" w:hAnsi="Arial"/>
          <w:sz w:val="15"/>
          <w:szCs w:val="15"/>
          <w:color w:val="auto"/>
        </w:rPr>
        <w:t>Selling and marketing expenses primarily comprise compensation, including variable sales compensation, and related costs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and marketing personnel, and related travel, selling and marketing expenses, as well as an allocated portion of our occupancy costs. Sales and marketing costs were $60,000 or 2% lower than the amounts recorded in the first quarter of 2006, and were $202,000 or 8% higher than the immediately preceding quarter. The increase in our sales and marketing costs from the last quarter reflects higher marketing expenditures to support our direct sales force, re-branding of the Company’s collateral and other direct sales activities as part of our effort to facilitate more direct sales. We also wrote off $200,000 of expenses relating to fixed assets used for demonstration purposes. Our total headcount in sales and marketing remains at similar levels to last quarter, although we have changed the composition of our sales team over the last year as we expand our direct sales force. We believe that sales and marketing expenses will increase slightly in the second quarter as we expand into the Asia market with a new office, and as our revenue levels increase and our variable compensation increases.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80"/>
          </w:cols>
          <w:pgMar w:left="240" w:top="280" w:right="279" w:bottom="1440" w:gutter="0" w:footer="0" w:header="0"/>
        </w:sectPr>
      </w:pPr>
    </w:p>
    <w:bookmarkStart w:id="14" w:name="page15"/>
    <w:bookmarkEnd w:id="14"/>
    <w:p>
      <w:pPr>
        <w:ind w:firstLine="456"/>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General and administrative. </w:t>
      </w:r>
      <w:r>
        <w:rPr>
          <w:rFonts w:ascii="Arial" w:cs="Arial" w:eastAsia="Arial" w:hAnsi="Arial"/>
          <w:sz w:val="16"/>
          <w:szCs w:val="16"/>
          <w:color w:val="auto"/>
        </w:rPr>
        <w:t>General and administrative expense is primarily comprised of compensation and related costs for executive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professional fees, and taxes, including sales, property and franchise taxes. General and administrative expenses increased by $1,098,000 or 66% from the levels of the same period in 2006 and increased by 42% or $816,000 from the immediately preceding quarter. This increase was primarily attributable to $1.5 million of professional fees incurred with a review of the Company’s historical stock option granting procedures that covered the period from 2000 through 2006. The first quarter of 2006 included legal fees connected to litigation as well as a recovery of $236,000 of previously-reserved doubtful accounts. We expect general and administrative expenses to decrease from the current level in the next quarter as we believe most of the work associated with the option review has been completed; however, the amount of professional fees relating to the option review remains unknown and will be influenced by the number and extent of regulatory reviews that occur as a result of this investigation. The Company is intending to settle outstanding tax matters emanating from the option review with the Internal Revenue Service, and will record expenses of approximately $285,000 in the second quarter of 2007 for these items. The actual amount expensed will depend upon the actual settlement amount as well as the price of the Company’s stock at that time. Absent the impact of such expenses from the option review, the level of general and administrative expenses should stay at similar levels.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has decreased from $394,000 in 2006 to $201,000 in the three-month periods ended March 31, 2007. This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our average cash and investments balance compared to the prior year as the Company has used its investments to fund operations. Our average cash and investments balance over the three month period ending March 31, 2007 has decreased by approximately $20.7 million or 52% compared to the average balance over the comparable period ending March 31,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in the corresponding quarter of 2006 included cost recoveries from annual audits of our real estate leases.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principal sources of liquidity as of March 31, 2007 consisted of $17.0 million of cash and investments. We have primarily funded our operations through public and private placements of our common stock as well as $10.0 million in development funding received from Caterpillar since 1999, and from our product, service and spares revenue. Although we believe that our cash and investments on hand will be sufficient to fund our operations through at least the middle of 2008, based upon our historical and projected cash burn it is likely that the Company will raise additional funds before the end of 2007, either through future equity or debt offerings, in order to continue to fund and grow its business beyond that date and to ensure that we have adequate cash reserves. In August of 2006 we filed a universal Shelf Registration Statement on Form S-3 with the Securities and Exchange Commission that would have provided for the sale of up to $75 million of equity or debt instruments. Due to the failure to file our 2006 Annual Report on Form 10-K in a timely fashion, we are no longer eligible to use our Shelf Registration Statement. This will influence the type and amount of any future capital raisings that the Company may complete but will not prevent the Company from raising additional funds. At this point, the Company has made no determination as to the amount, timing or type of any future capital raising that it will undertake, but we have had ongoing discussions with a number of investment banking organizations. The Company is also evaluating a number of proposals to establish a bank revolving line of credit to provide additional liquidity to assist in managing its short-term working capital.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yearly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58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4"/>
                <w:szCs w:val="14"/>
                <w:color w:val="auto"/>
              </w:rPr>
            </w:pP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2006 vs. 2005</w:t>
            </w:r>
          </w:p>
        </w:tc>
      </w:tr>
      <w:tr>
        <w:trPr>
          <w:trHeight w:val="149"/>
        </w:trPr>
        <w:tc>
          <w:tcPr>
            <w:tcW w:w="5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$(3,241)</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$(6,204)</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(48)%</w:t>
            </w: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used in operating activities decreased by 48% compared to the same period of 2006. This is primarily attributable to a decrease in our receivables balance following collections from the immediately preceding quarter where the Company had record revenue levels. Receivables decreased by $2.4 million from the prior quarter. The company also had a $2 million increase in accrued expenses mostly connected with the costs associated with the option review. Offsetting these sources of funds were decreases in our accounts payable reflecting our lower business level in the quarter from the prior quarter, and an increase in inventory as we prepared goods for second quarter shipment. We anticipate cash used in operating activities to increase in the second quarter as we discharge the liabilities from the stock option review, reach settlement of the related income tax liabilities, and record an expected increase in receivables due to anticipated higher revenues.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$355,000 in the three-month period ending March 31, 2007 compared to $345,000 in the same period of 2006.</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Funds provided by financing activities during the three-months ended March 31, 2006 reflect proceeds from employee share purchases. The significant decrease in funds from financing activities compared to the comparable period of 2006 is due to the fact that during the first quarter of 2006 we had proceeds from an employee stock purchase plan, and significantly higher levels of stock option exercises because of a much higher stock price for the Company’s common stock that fueled more exercises.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noted above, we believe our existing cash and investments balances at March 31, 2007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September 2006 the FASB issued Statement of Financial Accounting Standards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Company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at the beginning of 2007. Adoption of FIN 48 did not have a material impact upon the Company. We have no unrecognized tax benefits and have not recognized any interest and penalties relating to uncertain tax positions. The Company will recognize interest and penalties related to uncertain tax positions in the provision for income taxes. The tax years 2003 through 2006 remain open to examination by the major taxing authorities to which we are subject.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80" w:right="25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$120,000.</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 and pounds sterling. Currently, we do not engage in hedging activities for the collection of foreign currency receivables in our international operations. However, we may engage in hedging activities in the future.</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 “Risk Factors” in our 2006 Annual Report on Form 10-K. Accordingly, our future results could be materially harmed by the actual occurrence of any of these or other risks.</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left="900" w:hanging="446"/>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March 31, 2007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39"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three months ended March 31, 2007 there was no change in our internal control over financial reporting that occurred that has materially affected, or that we believe is reasonably likely to materially affect, our internal control over financial reporting except the following new controls that were put in place following as a result of the investigation into our historical stock option granting procedures:</w:t>
      </w:r>
    </w:p>
    <w:p>
      <w:pPr>
        <w:spacing w:after="0" w:line="62"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Designating one or more persons adequately trained in the legal and accounting implications of stock option grants to be responsible for administration and monitoring. This person shall report to, and such person’s work is to be reviewed directly by the Company’s Chief Financial Officer. This person will review all proposed grants before they are submitted to the Board or Compensation Committee, review all grants prior to submission to the third-party administrator of the Company’s Stock Plans, and ensure that the exercise price established for all options is equal to or higher than the fair market value of the underlying common stock on the date that the grant has occurred.</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17" w:name="page18"/>
    <w:bookmarkEnd w:id="17"/>
    <w:p>
      <w:pPr>
        <w:ind w:left="446" w:hanging="446"/>
        <w:spacing w:after="0" w:line="294" w:lineRule="auto"/>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in unusual circumstances that require an unscheduled meeting, ensuring that all stock option grants will be approved in previously scheduled meetings of the Board or Compensation Committee and that such approvals will be reflected in resolutions set forth in the minutes of those meetings. Such minutes will be prepared promptly following the action taken at the meeting and unnecessary ratifications or subsequent approvals will not be requested. We will not award grants pursuant to a unanimous written consent unless unusual circumstances dictate a deviation from this policy and the reasons and circumstances are contemporaneously documented.</w:t>
      </w:r>
    </w:p>
    <w:p>
      <w:pPr>
        <w:spacing w:after="0" w:line="34" w:lineRule="exact"/>
        <w:rPr>
          <w:rFonts w:ascii="Arial" w:cs="Arial" w:eastAsia="Arial" w:hAnsi="Arial"/>
          <w:sz w:val="16"/>
          <w:szCs w:val="16"/>
          <w:color w:val="auto"/>
        </w:rPr>
      </w:pPr>
    </w:p>
    <w:p>
      <w:pPr>
        <w:ind w:left="446" w:right="520" w:hanging="446"/>
        <w:spacing w:after="0" w:line="268"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Adopting a Stock-Based Award Policy that precludes the selection of any grant date with the benefit of hindsight or during any period designated as a quarterly blackout period under the Company’s Insider Trading Policy.</w:t>
      </w:r>
    </w:p>
    <w:p>
      <w:pPr>
        <w:spacing w:after="0" w:line="50" w:lineRule="exact"/>
        <w:rPr>
          <w:rFonts w:ascii="Arial" w:cs="Arial" w:eastAsia="Arial" w:hAnsi="Arial"/>
          <w:sz w:val="18"/>
          <w:szCs w:val="18"/>
          <w:color w:val="auto"/>
        </w:rPr>
      </w:pPr>
    </w:p>
    <w:p>
      <w:pPr>
        <w:ind w:left="446" w:right="580" w:hanging="446"/>
        <w:spacing w:after="0" w:line="357"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Expressly advise persons implementing our processes for stock-based compensation awards that the Company’s written Stock-Based Compensation Awards Policies and Procedures preclude the selection of grant dates or exercise prices with the benefit of hindsight.</w:t>
      </w:r>
    </w:p>
    <w:p>
      <w:pPr>
        <w:ind w:left="446" w:right="220" w:hanging="446"/>
        <w:spacing w:after="0" w:line="259"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option granting procedures will be in writing and will be reviewed annually by our Chief Executive Officer and Chief Financial Officer and, to the extent deemed necessary, our Board (or its appropriate committees) to ensure compliance with all applicable laws and regulations.</w:t>
      </w:r>
    </w:p>
    <w:p>
      <w:pPr>
        <w:spacing w:after="0" w:line="126" w:lineRule="exact"/>
        <w:rPr>
          <w:rFonts w:ascii="Arial" w:cs="Arial" w:eastAsia="Arial" w:hAnsi="Arial"/>
          <w:sz w:val="18"/>
          <w:szCs w:val="18"/>
          <w:color w:val="auto"/>
        </w:rPr>
      </w:pPr>
    </w:p>
    <w:p>
      <w:pPr>
        <w:ind w:left="4586" w:hanging="96"/>
        <w:spacing w:after="0"/>
        <w:tabs>
          <w:tab w:leader="none" w:pos="4586" w:val="left"/>
        </w:tabs>
        <w:numPr>
          <w:ilvl w:val="1"/>
          <w:numId w:val="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366"/>
          </w:cols>
          <w:pgMar w:left="1274" w:top="280"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17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voluntarily contacted the United States Securities and Exchange Commission (SEC) regarding the Special Committee’s investigation into our stock option granting practices and have agreed to share the results of the Special Committee with the SEC. We have received requests for voluntary production of documents from the SEC and we are fully cooperating with the SEC.</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grant measurement date and option modification errors, and there is a risk 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 pay damages or penalties or have other remedies imposed upon us which could harm our business, financial condition, results of operations and cash flows.</w:t>
      </w:r>
    </w:p>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Additionally, we believe there is a possibility that the matters relating to the investigation by the Special Committee of our Board of Directors into our stock option granting practices and the restatement of our consolidated financial statements for the years 2001 through September 2006 may result in future litigation or formal regulatory inquiries.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74" w:right="27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2006 Annual Report on Form 10-K before making a decision to invest in our common stock or in evaluating Active Power and our business. The risks and uncertainties described in our 2006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2006 Annual Report on Form 10-K could materially harm our business, financial condition and results of operations. In that case, the trading price of our common stock could decline.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1600" w:right="1220" w:hanging="586"/>
        <w:spacing w:after="0" w:line="268" w:lineRule="auto"/>
        <w:tabs>
          <w:tab w:leader="none" w:pos="1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(filed as Exhibit 3.1 to Active Power’s IPO Registration Statement on Form S-1 (File No. 333-36946))</w:t>
      </w:r>
    </w:p>
    <w:p>
      <w:pPr>
        <w:spacing w:after="0" w:line="78" w:lineRule="exact"/>
        <w:rPr>
          <w:sz w:val="20"/>
          <w:szCs w:val="20"/>
          <w:color w:val="auto"/>
        </w:rPr>
      </w:pPr>
    </w:p>
    <w:p>
      <w:pPr>
        <w:ind w:left="1600" w:right="1600" w:hanging="586"/>
        <w:spacing w:after="0" w:line="268" w:lineRule="auto"/>
        <w:tabs>
          <w:tab w:leader="none" w:pos="1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Second Amended and Restated Bylaws (filed as Exhibit 3.2 to Active Power’s Current Report on Form 8-K filed on February 2, 2007)</w:t>
      </w:r>
    </w:p>
    <w:p>
      <w:pPr>
        <w:spacing w:after="0" w:line="78"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60"/>
          </w:cols>
          <w:pgMar w:left="240" w:top="280"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ACTIVE POWER, INC.</w:t>
            </w:r>
          </w:p>
        </w:tc>
      </w:tr>
      <w:tr>
        <w:trPr>
          <w:trHeight w:val="222"/>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46"/>
        </w:trPr>
        <w:tc>
          <w:tcPr>
            <w:tcW w:w="3260" w:type="dxa"/>
            <w:vAlign w:val="bottom"/>
          </w:tcPr>
          <w:p>
            <w:pPr>
              <w:spacing w:after="0"/>
              <w:rPr>
                <w:sz w:val="20"/>
                <w:szCs w:val="20"/>
                <w:color w:val="auto"/>
              </w:rPr>
            </w:pPr>
            <w:r>
              <w:rPr>
                <w:rFonts w:ascii="Arial" w:cs="Arial" w:eastAsia="Arial" w:hAnsi="Arial"/>
                <w:sz w:val="18"/>
                <w:szCs w:val="18"/>
                <w:color w:val="auto"/>
              </w:rPr>
              <w:t>May 15, 2007</w:t>
            </w:r>
          </w:p>
        </w:tc>
        <w:tc>
          <w:tcPr>
            <w:tcW w:w="256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A. Clishem</w:t>
            </w: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May 15, 2007</w:t>
            </w:r>
          </w:p>
        </w:tc>
        <w:tc>
          <w:tcPr>
            <w:tcW w:w="256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John K. Penver</w:t>
            </w: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65"/>
        </w:trPr>
        <w:tc>
          <w:tcPr>
            <w:tcW w:w="3260" w:type="dxa"/>
            <w:vAlign w:val="bottom"/>
          </w:tcPr>
          <w:p>
            <w:pPr>
              <w:spacing w:after="0"/>
              <w:rPr>
                <w:sz w:val="24"/>
                <w:szCs w:val="24"/>
                <w:color w:val="auto"/>
              </w:rPr>
            </w:pPr>
          </w:p>
        </w:tc>
        <w:tc>
          <w:tcPr>
            <w:tcW w:w="8160" w:type="dxa"/>
            <w:vAlign w:val="bottom"/>
            <w:gridSpan w:val="2"/>
          </w:tcPr>
          <w:p>
            <w:pPr>
              <w:jc w:val="right"/>
              <w:ind w:right="5432"/>
              <w:spacing w:after="0"/>
              <w:rPr>
                <w:sz w:val="20"/>
                <w:szCs w:val="20"/>
                <w:color w:val="auto"/>
              </w:rPr>
            </w:pPr>
            <w:r>
              <w:rPr>
                <w:rFonts w:ascii="Arial" w:cs="Arial" w:eastAsia="Arial" w:hAnsi="Arial"/>
                <w:sz w:val="18"/>
                <w:szCs w:val="18"/>
                <w:color w:val="auto"/>
              </w:rPr>
              <w:t>- 19 -</w:t>
            </w:r>
          </w:p>
        </w:tc>
      </w:tr>
    </w:tbl>
    <w:p>
      <w:pPr>
        <w:sectPr>
          <w:pgSz w:w="11900" w:h="16838" w:orient="portrait"/>
          <w:cols w:equalWidth="0" w:num="1">
            <w:col w:w="11420"/>
          </w:cols>
          <w:pgMar w:left="240" w:top="2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2007</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15, 2007</w:t>
      </w:r>
    </w:p>
    <w:p>
      <w:pPr>
        <w:spacing w:after="0" w:line="2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2007,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15, 2007</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2007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of Finance, Chief Financial Officer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15,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2019-12-14T18:11:01Z</dcterms:created>
  <dcterms:modified xsi:type="dcterms:W3CDTF">2019-12-14T18:11:01Z</dcterms:modified>
</cp:coreProperties>
</file>