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color w:val="auto"/>
        </w:rPr>
        <w:t>October 15, 2021</w:t>
      </w:r>
    </w:p>
    <w:p>
      <w:pPr>
        <w:spacing w:after="0" w:line="175" w:lineRule="exact"/>
        <w:rPr>
          <w:sz w:val="24"/>
          <w:szCs w:val="24"/>
          <w:color w:val="auto"/>
        </w:rPr>
      </w:pPr>
    </w:p>
    <w:p>
      <w:pPr>
        <w:ind w:left="20"/>
        <w:spacing w:after="0"/>
        <w:rPr>
          <w:sz w:val="20"/>
          <w:szCs w:val="20"/>
          <w:color w:val="auto"/>
        </w:rPr>
      </w:pPr>
      <w:r>
        <w:rPr>
          <w:rFonts w:ascii="Arial" w:cs="Arial" w:eastAsia="Arial" w:hAnsi="Arial"/>
          <w:sz w:val="15"/>
          <w:szCs w:val="15"/>
          <w:b w:val="1"/>
          <w:bCs w:val="1"/>
          <w:u w:val="single" w:color="auto"/>
          <w:color w:val="auto"/>
        </w:rPr>
        <w:t>VIA EDGAR AND ELECTRONIC MAIL</w:t>
      </w:r>
    </w:p>
    <w:p>
      <w:pPr>
        <w:spacing w:after="0" w:line="183" w:lineRule="exact"/>
        <w:rPr>
          <w:sz w:val="24"/>
          <w:szCs w:val="24"/>
          <w:color w:val="auto"/>
        </w:rPr>
      </w:pPr>
    </w:p>
    <w:p>
      <w:pPr>
        <w:ind w:left="20"/>
        <w:spacing w:after="0"/>
        <w:rPr>
          <w:sz w:val="20"/>
          <w:szCs w:val="20"/>
          <w:color w:val="auto"/>
        </w:rPr>
      </w:pPr>
      <w:r>
        <w:rPr>
          <w:rFonts w:ascii="Arial" w:cs="Arial" w:eastAsia="Arial" w:hAnsi="Arial"/>
          <w:sz w:val="15"/>
          <w:szCs w:val="15"/>
          <w:color w:val="auto"/>
        </w:rPr>
        <w:t>United States Securities and Exchange Commission</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5"/>
          <w:szCs w:val="15"/>
          <w:color w:val="auto"/>
        </w:rPr>
        <w:t>Division of Corporation Finance</w:t>
      </w:r>
    </w:p>
    <w:p>
      <w:pPr>
        <w:spacing w:after="0" w:line="3" w:lineRule="exact"/>
        <w:rPr>
          <w:sz w:val="24"/>
          <w:szCs w:val="24"/>
          <w:color w:val="auto"/>
        </w:rPr>
      </w:pPr>
    </w:p>
    <w:p>
      <w:pPr>
        <w:ind w:left="20"/>
        <w:spacing w:after="0"/>
        <w:rPr>
          <w:sz w:val="20"/>
          <w:szCs w:val="20"/>
          <w:color w:val="auto"/>
        </w:rPr>
      </w:pPr>
      <w:r>
        <w:rPr>
          <w:rFonts w:ascii="Arial" w:cs="Arial" w:eastAsia="Arial" w:hAnsi="Arial"/>
          <w:sz w:val="15"/>
          <w:szCs w:val="15"/>
          <w:color w:val="auto"/>
        </w:rPr>
        <w:t>Mail Stop 3628</w:t>
      </w:r>
    </w:p>
    <w:p>
      <w:pPr>
        <w:spacing w:after="0" w:line="3" w:lineRule="exact"/>
        <w:rPr>
          <w:sz w:val="24"/>
          <w:szCs w:val="24"/>
          <w:color w:val="auto"/>
        </w:rPr>
      </w:pPr>
    </w:p>
    <w:p>
      <w:pPr>
        <w:ind w:left="20"/>
        <w:spacing w:after="0"/>
        <w:rPr>
          <w:sz w:val="20"/>
          <w:szCs w:val="20"/>
          <w:color w:val="auto"/>
        </w:rPr>
      </w:pPr>
      <w:r>
        <w:rPr>
          <w:rFonts w:ascii="Arial" w:cs="Arial" w:eastAsia="Arial" w:hAnsi="Arial"/>
          <w:sz w:val="15"/>
          <w:szCs w:val="15"/>
          <w:color w:val="auto"/>
        </w:rPr>
        <w:t>100 F Street, N.E.</w:t>
      </w:r>
    </w:p>
    <w:p>
      <w:pPr>
        <w:spacing w:after="0" w:line="3" w:lineRule="exact"/>
        <w:rPr>
          <w:sz w:val="24"/>
          <w:szCs w:val="24"/>
          <w:color w:val="auto"/>
        </w:rPr>
      </w:pPr>
    </w:p>
    <w:p>
      <w:pPr>
        <w:ind w:left="20"/>
        <w:spacing w:after="0"/>
        <w:rPr>
          <w:sz w:val="20"/>
          <w:szCs w:val="20"/>
          <w:color w:val="auto"/>
        </w:rPr>
      </w:pPr>
      <w:r>
        <w:rPr>
          <w:rFonts w:ascii="Arial" w:cs="Arial" w:eastAsia="Arial" w:hAnsi="Arial"/>
          <w:sz w:val="15"/>
          <w:szCs w:val="15"/>
          <w:color w:val="auto"/>
        </w:rPr>
        <w:t>Washington, D.C. 20549</w:t>
      </w:r>
    </w:p>
    <w:p>
      <w:pPr>
        <w:spacing w:after="0" w:line="190" w:lineRule="exact"/>
        <w:rPr>
          <w:sz w:val="24"/>
          <w:szCs w:val="24"/>
          <w:color w:val="auto"/>
        </w:rPr>
      </w:pPr>
    </w:p>
    <w:p>
      <w:pPr>
        <w:ind w:left="380"/>
        <w:spacing w:after="0"/>
        <w:tabs>
          <w:tab w:leader="none" w:pos="80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Supplemental Response</w:t>
      </w:r>
    </w:p>
    <w:p>
      <w:pPr>
        <w:spacing w:after="0" w:line="14" w:lineRule="exact"/>
        <w:rPr>
          <w:sz w:val="24"/>
          <w:szCs w:val="24"/>
          <w:color w:val="auto"/>
        </w:rPr>
      </w:pPr>
    </w:p>
    <w:p>
      <w:pPr>
        <w:ind w:left="820"/>
        <w:spacing w:after="0"/>
        <w:rPr>
          <w:sz w:val="20"/>
          <w:szCs w:val="20"/>
          <w:color w:val="auto"/>
        </w:rPr>
      </w:pPr>
      <w:r>
        <w:rPr>
          <w:rFonts w:ascii="Arial" w:cs="Arial" w:eastAsia="Arial" w:hAnsi="Arial"/>
          <w:sz w:val="15"/>
          <w:szCs w:val="15"/>
          <w:color w:val="auto"/>
        </w:rPr>
        <w:t>P10, Inc.</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5"/>
          <w:szCs w:val="15"/>
          <w:color w:val="auto"/>
        </w:rPr>
        <w:t>Registration Statement on Form S-1/A</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5"/>
          <w:szCs w:val="15"/>
          <w:color w:val="auto"/>
        </w:rPr>
        <w:t>Filed October 12, 2021</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5"/>
          <w:szCs w:val="15"/>
          <w:color w:val="auto"/>
        </w:rPr>
        <w:t>File No. 333-259823</w:t>
      </w:r>
    </w:p>
    <w:p>
      <w:pPr>
        <w:spacing w:after="0" w:line="168" w:lineRule="exact"/>
        <w:rPr>
          <w:sz w:val="24"/>
          <w:szCs w:val="24"/>
          <w:color w:val="auto"/>
        </w:rPr>
      </w:pPr>
    </w:p>
    <w:p>
      <w:pPr>
        <w:jc w:val="both"/>
        <w:ind w:left="20" w:right="179" w:firstLine="359"/>
        <w:spacing w:after="0" w:line="251" w:lineRule="auto"/>
        <w:rPr>
          <w:sz w:val="20"/>
          <w:szCs w:val="20"/>
          <w:color w:val="auto"/>
        </w:rPr>
      </w:pPr>
      <w:r>
        <w:rPr>
          <w:rFonts w:ascii="Arial" w:cs="Arial" w:eastAsia="Arial" w:hAnsi="Arial"/>
          <w:sz w:val="15"/>
          <w:szCs w:val="15"/>
          <w:color w:val="auto"/>
        </w:rPr>
        <w:t>On behalf of P10,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set forth below are responses (this “</w:t>
      </w:r>
      <w:r>
        <w:rPr>
          <w:rFonts w:ascii="Arial" w:cs="Arial" w:eastAsia="Arial" w:hAnsi="Arial"/>
          <w:sz w:val="15"/>
          <w:szCs w:val="15"/>
          <w:u w:val="single" w:color="auto"/>
          <w:color w:val="auto"/>
        </w:rPr>
        <w:t>Response Letter</w:t>
      </w:r>
      <w:r>
        <w:rPr>
          <w:rFonts w:ascii="Arial" w:cs="Arial" w:eastAsia="Arial" w:hAnsi="Arial"/>
          <w:sz w:val="15"/>
          <w:szCs w:val="15"/>
          <w:color w:val="auto"/>
        </w:rPr>
        <w:t>”) to the comments of the staff of the Division of Corporation Finance (the “</w:t>
      </w:r>
      <w:r>
        <w:rPr>
          <w:rFonts w:ascii="Arial" w:cs="Arial" w:eastAsia="Arial" w:hAnsi="Arial"/>
          <w:sz w:val="15"/>
          <w:szCs w:val="15"/>
          <w:u w:val="single" w:color="auto"/>
          <w:color w:val="auto"/>
        </w:rPr>
        <w:t>Staff</w:t>
      </w:r>
      <w:r>
        <w:rPr>
          <w:rFonts w:ascii="Arial" w:cs="Arial" w:eastAsia="Arial" w:hAnsi="Arial"/>
          <w:sz w:val="15"/>
          <w:szCs w:val="15"/>
          <w:color w:val="auto"/>
        </w:rPr>
        <w:t>”) of the U.S.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contained in the letter dated October 14, 2021 (the “</w:t>
      </w:r>
      <w:r>
        <w:rPr>
          <w:rFonts w:ascii="Arial" w:cs="Arial" w:eastAsia="Arial" w:hAnsi="Arial"/>
          <w:sz w:val="15"/>
          <w:szCs w:val="15"/>
          <w:u w:val="single" w:color="auto"/>
          <w:color w:val="auto"/>
        </w:rPr>
        <w:t>Comment Letter</w:t>
      </w:r>
      <w:r>
        <w:rPr>
          <w:rFonts w:ascii="Arial" w:cs="Arial" w:eastAsia="Arial" w:hAnsi="Arial"/>
          <w:sz w:val="15"/>
          <w:szCs w:val="15"/>
          <w:color w:val="auto"/>
        </w:rPr>
        <w:t>”) relating to the Company’s Registration Statement on Form S-1/A, File No. 333-259823, filed with the Commission on October 12, 2021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w:t>
      </w:r>
    </w:p>
    <w:p>
      <w:pPr>
        <w:spacing w:after="0" w:line="157" w:lineRule="exact"/>
        <w:rPr>
          <w:sz w:val="24"/>
          <w:szCs w:val="24"/>
          <w:color w:val="auto"/>
        </w:rPr>
      </w:pPr>
    </w:p>
    <w:p>
      <w:pPr>
        <w:jc w:val="both"/>
        <w:ind w:left="20" w:right="299" w:firstLine="359"/>
        <w:spacing w:after="0" w:line="281" w:lineRule="auto"/>
        <w:rPr>
          <w:sz w:val="20"/>
          <w:szCs w:val="20"/>
          <w:color w:val="auto"/>
        </w:rPr>
      </w:pPr>
      <w:r>
        <w:rPr>
          <w:rFonts w:ascii="Arial" w:cs="Arial" w:eastAsia="Arial" w:hAnsi="Arial"/>
          <w:sz w:val="14"/>
          <w:szCs w:val="14"/>
          <w:color w:val="auto"/>
        </w:rPr>
        <w:t>The headings and numbered paragraphs of this Response Letter correspond to the headings and paragraph numbers contained in the Comment Letter, and, to facilitate the Staff’s review, we have reproduced the text of the Staff’s comments in italicized print. Capitalized terms used herein and otherwise not defined herein shall have the meanings assigned to such terms in the Registration Statement.</w:t>
      </w:r>
    </w:p>
    <w:p>
      <w:pPr>
        <w:spacing w:after="0" w:line="226" w:lineRule="exact"/>
        <w:rPr>
          <w:sz w:val="24"/>
          <w:szCs w:val="24"/>
          <w:color w:val="auto"/>
        </w:rPr>
      </w:pPr>
    </w:p>
    <w:p>
      <w:pPr>
        <w:ind w:left="20"/>
        <w:spacing w:after="0"/>
        <w:rPr>
          <w:sz w:val="20"/>
          <w:szCs w:val="20"/>
          <w:color w:val="auto"/>
        </w:rPr>
      </w:pPr>
      <w:r>
        <w:rPr>
          <w:rFonts w:ascii="Arial" w:cs="Arial" w:eastAsia="Arial" w:hAnsi="Arial"/>
          <w:sz w:val="15"/>
          <w:szCs w:val="15"/>
          <w:i w:val="1"/>
          <w:iCs w:val="1"/>
          <w:u w:val="single" w:color="auto"/>
          <w:color w:val="auto"/>
        </w:rPr>
        <w:t>Principal and Selling Stockholders, page 165</w:t>
      </w:r>
    </w:p>
    <w:p>
      <w:pPr>
        <w:spacing w:after="0" w:line="102" w:lineRule="exact"/>
        <w:rPr>
          <w:sz w:val="24"/>
          <w:szCs w:val="24"/>
          <w:color w:val="auto"/>
        </w:rPr>
      </w:pPr>
    </w:p>
    <w:p>
      <w:pPr>
        <w:ind w:left="820" w:right="39" w:hanging="447"/>
        <w:spacing w:after="0" w:line="302" w:lineRule="auto"/>
        <w:tabs>
          <w:tab w:leader="none" w:pos="820" w:val="left"/>
        </w:tabs>
        <w:numPr>
          <w:ilvl w:val="0"/>
          <w:numId w:val="1"/>
        </w:numPr>
        <w:rPr>
          <w:rFonts w:ascii="Arial" w:cs="Arial" w:eastAsia="Arial" w:hAnsi="Arial"/>
          <w:sz w:val="13"/>
          <w:szCs w:val="13"/>
          <w:i w:val="1"/>
          <w:iCs w:val="1"/>
          <w:color w:val="auto"/>
        </w:rPr>
      </w:pPr>
      <w:r>
        <w:rPr>
          <w:rFonts w:ascii="Arial" w:cs="Arial" w:eastAsia="Arial" w:hAnsi="Arial"/>
          <w:sz w:val="13"/>
          <w:szCs w:val="13"/>
          <w:i w:val="1"/>
          <w:iCs w:val="1"/>
          <w:color w:val="auto"/>
        </w:rPr>
        <w:t>Please revise to identify which stockholders are the selling stockholders for the 8,500,000 shares of Class A common stock being offered by selling stockholders, as well as the overallotment amount. We note for instance, at page 19, under “The Offering,” the disclosure that there are zero shares of Class A common stock outstanding immediately prior to this offering and there does not appear to be any number of shares listed in the column of Class A Common Stock Beneficially Owned in the selling stockholder table.</w:t>
      </w:r>
    </w:p>
    <w:p>
      <w:pPr>
        <w:spacing w:after="0" w:line="126" w:lineRule="exact"/>
        <w:rPr>
          <w:sz w:val="24"/>
          <w:szCs w:val="24"/>
          <w:color w:val="auto"/>
        </w:rPr>
      </w:pPr>
    </w:p>
    <w:p>
      <w:pPr>
        <w:ind w:left="20" w:right="99" w:firstLine="359"/>
        <w:spacing w:after="0" w:line="248" w:lineRule="auto"/>
        <w:rPr>
          <w:sz w:val="20"/>
          <w:szCs w:val="20"/>
          <w:color w:val="auto"/>
        </w:rPr>
      </w:pPr>
      <w:r>
        <w:rPr>
          <w:rFonts w:ascii="Arial" w:cs="Arial" w:eastAsia="Arial" w:hAnsi="Arial"/>
          <w:sz w:val="15"/>
          <w:szCs w:val="15"/>
          <w:color w:val="auto"/>
        </w:rPr>
        <w:t>The Company acknowledges the Staff’s comment and advises the Staff that in connection with the offering, the Company will effect certain transactions as part of a corporate reorganization, which is more fully described in the Registration Statement under “Organizational Structure— Historical Ownership Structure, the Reorganization and Recent Transactions.” Following the P10 Reorganization (as defined therein), all of the existing stockholders of P10 Holdings, Inc., including all of the selling stockholders, will become the owners of the Class B common stock of the Company. Immediately prior to the offering, there will be no shares of Class A common stock issued and outstanding and 105,655,596 shares of Class B common stock issued and outstanding.</w:t>
      </w:r>
    </w:p>
    <w:p>
      <w:pPr>
        <w:spacing w:after="0" w:line="161" w:lineRule="exact"/>
        <w:rPr>
          <w:sz w:val="24"/>
          <w:szCs w:val="24"/>
          <w:color w:val="auto"/>
        </w:rPr>
      </w:pPr>
    </w:p>
    <w:p>
      <w:pPr>
        <w:ind w:left="20" w:right="39" w:firstLine="359"/>
        <w:spacing w:after="0" w:line="254" w:lineRule="auto"/>
        <w:rPr>
          <w:sz w:val="20"/>
          <w:szCs w:val="20"/>
          <w:color w:val="auto"/>
        </w:rPr>
      </w:pPr>
      <w:r>
        <w:rPr>
          <w:rFonts w:ascii="Arial" w:cs="Arial" w:eastAsia="Arial" w:hAnsi="Arial"/>
          <w:sz w:val="15"/>
          <w:szCs w:val="15"/>
          <w:color w:val="auto"/>
        </w:rPr>
        <w:t>The Company proposes to update certain disclosures in the Registration Statement to provide additional clarity in response to the Staff’s comment. The Company proposes to amend the “Offering— Class A common stock outstanding immediately prior to this offering” by adding the following footnote after “0 shares” in substantially the following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569277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775" cy="537210"/>
                    </a:xfrm>
                    <a:prstGeom prst="rect">
                      <a:avLst/>
                    </a:prstGeom>
                    <a:noFill/>
                  </pic:spPr>
                </pic:pic>
              </a:graphicData>
            </a:graphic>
          </wp:anchor>
        </w:drawing>
      </w:r>
    </w:p>
    <w:p>
      <w:pPr>
        <w:sectPr>
          <w:pgSz w:w="11900" w:h="16838" w:orient="portrait"/>
          <w:cols w:equalWidth="0" w:num="1">
            <w:col w:w="9019"/>
          </w:cols>
          <w:pgMar w:left="1440" w:top="217"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October 15, 2021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Page 2</w:t>
      </w:r>
    </w:p>
    <w:p>
      <w:pPr>
        <w:spacing w:after="0" w:line="113" w:lineRule="exact"/>
        <w:rPr>
          <w:sz w:val="20"/>
          <w:szCs w:val="20"/>
          <w:color w:val="auto"/>
        </w:rPr>
      </w:pPr>
    </w:p>
    <w:p>
      <w:pPr>
        <w:ind w:left="20" w:right="259"/>
        <w:spacing w:after="0" w:line="248" w:lineRule="auto"/>
        <w:rPr>
          <w:sz w:val="20"/>
          <w:szCs w:val="20"/>
          <w:color w:val="auto"/>
        </w:rPr>
      </w:pPr>
      <w:r>
        <w:rPr>
          <w:rFonts w:ascii="Arial" w:cs="Arial" w:eastAsia="Arial" w:hAnsi="Arial"/>
          <w:sz w:val="15"/>
          <w:szCs w:val="15"/>
          <w:color w:val="auto"/>
        </w:rPr>
        <w:t>“Immediately prior to the consummation of this offering, the Company will have no shares of Class A common stock issued and outstanding and 105,655,596 shares of Class B common stock issued and outstanding. In connection with the offering, (i) the Company will issue and sell 11,500,000 shares of Class A common stock and (ii) the selling stockholders will sell 8,500,000 shares of Class B common stock (before giving effect to the exercise of the underwriters’ over-allotment option) which, in accordance with the terms of the Company’s amended and restated certificate of incorporation, will automatically convert on a one-for-one basis into shares of Class A common stock such that investors in this offering will receive Class A common stock.”</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Company will also update the “Principal and Selling Stockholders” section of the Registration Statement in substantially the following form: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 AND SELLING STOCKHOLDERS</w:t>
      </w:r>
    </w:p>
    <w:p>
      <w:pPr>
        <w:spacing w:after="0" w:line="183" w:lineRule="exact"/>
        <w:rPr>
          <w:sz w:val="20"/>
          <w:szCs w:val="20"/>
          <w:color w:val="auto"/>
        </w:rPr>
      </w:pPr>
    </w:p>
    <w:p>
      <w:pPr>
        <w:ind w:left="20" w:right="39"/>
        <w:spacing w:after="0" w:line="267" w:lineRule="auto"/>
        <w:rPr>
          <w:sz w:val="20"/>
          <w:szCs w:val="20"/>
          <w:color w:val="auto"/>
        </w:rPr>
      </w:pPr>
      <w:r>
        <w:rPr>
          <w:rFonts w:ascii="Arial" w:cs="Arial" w:eastAsia="Arial" w:hAnsi="Arial"/>
          <w:sz w:val="14"/>
          <w:szCs w:val="14"/>
          <w:color w:val="auto"/>
        </w:rPr>
        <w:t>The beneficial ownership information is presented after giving effect to the reverse stock-split of P10 Holdings, Inc.’s common stock on a 0.7-for-1 basis and the P10 Reorganization (collectively, the “Transactions”). See “Organizational Structure—Historical Ownership Structure, the Reorganization and Recent Transactions.” Immediately prior to the consummation of this offering, the Company will have no shares of Class A common stock issued and outstanding and 105,655,596 shares of Class B common stock issued and outstanding. In connection with the offering, (i) the Company will issue and sell 11,500,000 shares of Class A common stock and (ii) the selling stockholders will sell 8,500,000 shares of Class B common stock (before giving effect to the exercise of the underwriters’ over-allotment option) which, in accordance with the terms of the Company’s amended and restated certificate of incorporation, will automatically convert on a one-for-one basis into shares of Class A common stock such that investors in this offering will receive Class A common stock.</w:t>
      </w:r>
    </w:p>
    <w:p>
      <w:pPr>
        <w:spacing w:after="0" w:line="149" w:lineRule="exact"/>
        <w:rPr>
          <w:sz w:val="20"/>
          <w:szCs w:val="20"/>
          <w:color w:val="auto"/>
        </w:rPr>
      </w:pPr>
    </w:p>
    <w:p>
      <w:pPr>
        <w:ind w:left="20" w:right="139"/>
        <w:spacing w:after="0" w:line="269" w:lineRule="auto"/>
        <w:rPr>
          <w:sz w:val="20"/>
          <w:szCs w:val="20"/>
          <w:color w:val="auto"/>
        </w:rPr>
      </w:pPr>
      <w:r>
        <w:rPr>
          <w:rFonts w:ascii="Arial" w:cs="Arial" w:eastAsia="Arial" w:hAnsi="Arial"/>
          <w:sz w:val="14"/>
          <w:szCs w:val="14"/>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exchange right described above, held by such person that are currently exercisable or will become exercisable within 60 days of the date of this prospectus, are considered outstanding, although these shares are not considered outstanding for purposes of computing the percentage ownership of any other person.</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PRINCIPAL STOCKHOLDERS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following table sets forth the total number of shares of Class A common stock and Class B common stock beneficially owned by:</w:t>
      </w:r>
    </w:p>
    <w:p>
      <w:pPr>
        <w:spacing w:after="0" w:line="102"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each person known to us to beneficially own more than 5% of our common stock;</w:t>
      </w:r>
    </w:p>
    <w:p>
      <w:pPr>
        <w:spacing w:after="0" w:line="102" w:lineRule="exact"/>
        <w:rPr>
          <w:rFonts w:ascii="Arial" w:cs="Arial" w:eastAsia="Arial" w:hAnsi="Arial"/>
          <w:sz w:val="15"/>
          <w:szCs w:val="15"/>
          <w:color w:val="auto"/>
        </w:rPr>
      </w:pPr>
    </w:p>
    <w:p>
      <w:pPr>
        <w:ind w:left="820" w:hanging="359"/>
        <w:spacing w:after="0"/>
        <w:tabs>
          <w:tab w:leader="none" w:pos="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102" w:lineRule="exact"/>
        <w:rPr>
          <w:rFonts w:ascii="Arial" w:cs="Arial" w:eastAsia="Arial" w:hAnsi="Arial"/>
          <w:sz w:val="15"/>
          <w:szCs w:val="15"/>
          <w:color w:val="auto"/>
        </w:rPr>
      </w:pPr>
    </w:p>
    <w:p>
      <w:pPr>
        <w:ind w:left="820" w:hanging="359"/>
        <w:spacing w:after="0"/>
        <w:tabs>
          <w:tab w:leader="none" w:pos="820" w:val="left"/>
        </w:tabs>
        <w:numPr>
          <w:ilvl w:val="0"/>
          <w:numId w:val="2"/>
        </w:numPr>
        <w:rPr>
          <w:rFonts w:ascii="Arial" w:cs="Arial" w:eastAsia="Arial" w:hAnsi="Arial"/>
          <w:sz w:val="15"/>
          <w:szCs w:val="15"/>
          <w:color w:val="auto"/>
        </w:rPr>
      </w:pPr>
      <w:r>
        <w:rPr>
          <w:rFonts w:ascii="Arial" w:cs="Arial" w:eastAsia="Arial" w:hAnsi="Arial"/>
          <w:sz w:val="15"/>
          <w:szCs w:val="15"/>
          <w:color w:val="auto"/>
        </w:rPr>
        <w:t>each of our named executive officers; and</w:t>
      </w:r>
    </w:p>
    <w:p>
      <w:pPr>
        <w:sectPr>
          <w:pgSz w:w="11900" w:h="16838" w:orient="portrait"/>
          <w:cols w:equalWidth="0" w:num="1">
            <w:col w:w="9019"/>
          </w:cols>
          <w:pgMar w:left="1440" w:top="250"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October 15, 2021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Page 3</w:t>
      </w:r>
    </w:p>
    <w:p>
      <w:pPr>
        <w:spacing w:after="0" w:line="113" w:lineRule="exact"/>
        <w:rPr>
          <w:sz w:val="20"/>
          <w:szCs w:val="20"/>
          <w:color w:val="auto"/>
        </w:rPr>
      </w:pPr>
    </w:p>
    <w:p>
      <w:pPr>
        <w:ind w:left="820" w:hanging="359"/>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all directors and executive officers as a group (the “Principal Stockholders”).</w:t>
      </w:r>
    </w:p>
    <w:p>
      <w:pPr>
        <w:spacing w:after="0" w:line="179" w:lineRule="exact"/>
        <w:rPr>
          <w:sz w:val="20"/>
          <w:szCs w:val="20"/>
          <w:color w:val="auto"/>
        </w:rPr>
      </w:pPr>
    </w:p>
    <w:p>
      <w:pPr>
        <w:ind w:left="20" w:right="59"/>
        <w:spacing w:after="0" w:line="297" w:lineRule="auto"/>
        <w:rPr>
          <w:sz w:val="20"/>
          <w:szCs w:val="20"/>
          <w:color w:val="auto"/>
        </w:rPr>
      </w:pPr>
      <w:r>
        <w:rPr>
          <w:rFonts w:ascii="Arial" w:cs="Arial" w:eastAsia="Arial" w:hAnsi="Arial"/>
          <w:sz w:val="13"/>
          <w:szCs w:val="13"/>
          <w:color w:val="auto"/>
        </w:rPr>
        <w:t>As the Class B common stock is automatically convertible at any time into one share of Class A common stock, pursuant to Rule 13d-3 of the Exchange Act, the Principal Stockholders will be the beneficial owner of the same number of shares of Class A common stock as Class B common stock. This table does not reflect beneficial ownership of Class A common stock as a result of beneficial ownership of the Class B common stock. In addition, as the holders of Class B common stock are entitled to ten votes for each share of Class B common stock, the following table also sets forth the voting power of the Principal Stockholders after giving effect to the offering and the exercise of the underwriters’ over-allotment option.</w:t>
      </w:r>
    </w:p>
    <w:p>
      <w:pPr>
        <w:sectPr>
          <w:pgSz w:w="11900" w:h="16838" w:orient="portrait"/>
          <w:cols w:equalWidth="0" w:num="1">
            <w:col w:w="9019"/>
          </w:cols>
          <w:pgMar w:left="1440" w:top="250" w:right="1440"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2"/>
                <w:szCs w:val="12"/>
                <w:b w:val="1"/>
                <w:bCs w:val="1"/>
                <w:color w:val="auto"/>
                <w:w w:val="87"/>
              </w:rPr>
              <w:t>Class A Common Stock Beneficially Owned</w:t>
            </w:r>
          </w:p>
        </w:tc>
        <w:tc>
          <w:tcPr>
            <w:tcW w:w="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2"/>
                <w:szCs w:val="12"/>
                <w:b w:val="1"/>
                <w:bCs w:val="1"/>
                <w:color w:val="auto"/>
                <w:w w:val="87"/>
              </w:rPr>
              <w:t>Class B Common Stock Beneficially Owned</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Combined Voti</w:t>
            </w:r>
          </w:p>
        </w:tc>
      </w:tr>
      <w:tr>
        <w:trPr>
          <w:trHeight w:val="94"/>
        </w:trPr>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center"/>
              <w:ind w:right="100"/>
              <w:spacing w:after="0" w:line="94" w:lineRule="exact"/>
              <w:rPr>
                <w:sz w:val="20"/>
                <w:szCs w:val="20"/>
                <w:color w:val="auto"/>
              </w:rPr>
            </w:pPr>
            <w:r>
              <w:rPr>
                <w:rFonts w:ascii="Arial" w:cs="Arial" w:eastAsia="Arial" w:hAnsi="Arial"/>
                <w:sz w:val="9"/>
                <w:szCs w:val="9"/>
                <w:b w:val="1"/>
                <w:bCs w:val="1"/>
                <w:color w:val="auto"/>
              </w:rPr>
              <w:t>Additional</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4"/>
              </w:rPr>
              <w:t>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91"/>
              </w:rPr>
              <w:t>Offered After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91"/>
              </w:rPr>
              <w:t>Giving Effect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5"/>
              </w:rPr>
              <w:t>to the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90"/>
              </w:rPr>
              <w:t>After Giving</w:t>
            </w:r>
          </w:p>
        </w:tc>
        <w:tc>
          <w:tcPr>
            <w:tcW w:w="104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90"/>
              </w:rPr>
              <w:t>After Giving</w:t>
            </w: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5"/>
              </w:rPr>
              <w:t>Transactions</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118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93"/>
              </w:rPr>
              <w:t>After Giving</w:t>
            </w: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Effect to the</w:t>
            </w:r>
          </w:p>
        </w:tc>
        <w:tc>
          <w:tcPr>
            <w:tcW w:w="104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89"/>
              </w:rPr>
              <w:t>Effect to the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Shares</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Effect to the</w:t>
            </w: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6"/>
              </w:rPr>
              <w:t>and this</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Effect to the</w:t>
            </w:r>
          </w:p>
        </w:tc>
        <w:tc>
          <w:tcPr>
            <w:tcW w:w="118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86"/>
              </w:rPr>
              <w:t>Effect to the</w:t>
            </w: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104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8"/>
              </w:rPr>
              <w:t>Offered</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94"/>
              </w:rPr>
              <w:t>Offering</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1180" w:type="dxa"/>
            <w:vAlign w:val="bottom"/>
            <w:gridSpan w:val="4"/>
          </w:tcPr>
          <w:p>
            <w:pPr>
              <w:jc w:val="center"/>
              <w:ind w:right="240"/>
              <w:spacing w:after="0" w:line="121" w:lineRule="exact"/>
              <w:rPr>
                <w:sz w:val="20"/>
                <w:szCs w:val="20"/>
                <w:color w:val="auto"/>
              </w:rPr>
            </w:pPr>
            <w:r>
              <w:rPr>
                <w:rFonts w:ascii="Arial" w:cs="Arial" w:eastAsia="Arial" w:hAnsi="Arial"/>
                <w:sz w:val="12"/>
                <w:szCs w:val="12"/>
                <w:b w:val="1"/>
                <w:bCs w:val="1"/>
                <w:color w:val="auto"/>
                <w:w w:val="86"/>
              </w:rPr>
              <w:t>Transactions and</w:t>
            </w: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106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92"/>
              </w:rPr>
              <w:t>this Offering</w:t>
            </w:r>
          </w:p>
        </w:tc>
        <w:tc>
          <w:tcPr>
            <w:tcW w:w="104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this Offering</w:t>
            </w:r>
          </w:p>
        </w:tc>
        <w:tc>
          <w:tcPr>
            <w:tcW w:w="114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5"/>
              </w:rPr>
              <w:t>Assuming No</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92"/>
              </w:rPr>
              <w:t>this Offering</w:t>
            </w: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2"/>
              </w:rPr>
              <w:t>Assuming</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9"/>
              </w:rPr>
              <w:t>this Offering</w:t>
            </w:r>
          </w:p>
        </w:tc>
        <w:tc>
          <w:tcPr>
            <w:tcW w:w="118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89"/>
              </w:rPr>
              <w:t>this Offering</w:t>
            </w: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Effect to the</w:t>
            </w:r>
          </w:p>
        </w:tc>
        <w:tc>
          <w:tcPr>
            <w:tcW w:w="106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5"/>
              </w:rPr>
              <w:t>Assuming No</w:t>
            </w:r>
          </w:p>
        </w:tc>
        <w:tc>
          <w:tcPr>
            <w:tcW w:w="104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7"/>
              </w:rPr>
              <w:t>Assuming Full</w:t>
            </w:r>
          </w:p>
        </w:tc>
        <w:tc>
          <w:tcPr>
            <w:tcW w:w="114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Effect to the</w:t>
            </w: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Exercise of</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5"/>
              </w:rPr>
              <w:t>Assuming No</w:t>
            </w: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6"/>
              </w:rPr>
              <w:t>Full Exercise</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7"/>
              </w:rPr>
              <w:t>Assuming Full</w:t>
            </w:r>
          </w:p>
        </w:tc>
        <w:tc>
          <w:tcPr>
            <w:tcW w:w="118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87"/>
              </w:rPr>
              <w:t>Assuming No</w:t>
            </w:r>
          </w:p>
        </w:tc>
      </w:tr>
      <w:tr>
        <w:trPr>
          <w:trHeight w:val="121"/>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62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w w:val="87"/>
              </w:rPr>
              <w:t>Exercise of</w:t>
            </w:r>
          </w:p>
        </w:tc>
        <w:tc>
          <w:tcPr>
            <w:tcW w:w="440" w:type="dxa"/>
            <w:vAlign w:val="bottom"/>
            <w:gridSpan w:val="2"/>
          </w:tcPr>
          <w:p>
            <w:pPr>
              <w:jc w:val="right"/>
              <w:ind w:right="240"/>
              <w:spacing w:after="0" w:line="121" w:lineRule="exact"/>
              <w:rPr>
                <w:sz w:val="20"/>
                <w:szCs w:val="20"/>
                <w:color w:val="auto"/>
              </w:rPr>
            </w:pPr>
            <w:r>
              <w:rPr>
                <w:rFonts w:ascii="Arial" w:cs="Arial" w:eastAsia="Arial" w:hAnsi="Arial"/>
                <w:sz w:val="12"/>
                <w:szCs w:val="12"/>
                <w:b w:val="1"/>
                <w:bCs w:val="1"/>
                <w:color w:val="auto"/>
                <w:w w:val="99"/>
              </w:rPr>
              <w:t>the</w:t>
            </w:r>
          </w:p>
        </w:tc>
        <w:tc>
          <w:tcPr>
            <w:tcW w:w="104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Exercise of the</w:t>
            </w:r>
          </w:p>
        </w:tc>
        <w:tc>
          <w:tcPr>
            <w:tcW w:w="1140" w:type="dxa"/>
            <w:vAlign w:val="bottom"/>
            <w:gridSpan w:val="5"/>
          </w:tcPr>
          <w:p>
            <w:pPr>
              <w:jc w:val="center"/>
              <w:ind w:right="16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77"/>
              </w:rPr>
              <w:t>the</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Exercise of the</w:t>
            </w:r>
          </w:p>
        </w:tc>
        <w:tc>
          <w:tcPr>
            <w:tcW w:w="82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5"/>
              </w:rPr>
              <w:t>of the</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4"/>
              </w:rPr>
              <w:t>Exercise of the</w:t>
            </w:r>
          </w:p>
        </w:tc>
        <w:tc>
          <w:tcPr>
            <w:tcW w:w="1180" w:type="dxa"/>
            <w:vAlign w:val="bottom"/>
            <w:gridSpan w:val="4"/>
          </w:tcPr>
          <w:p>
            <w:pPr>
              <w:jc w:val="center"/>
              <w:ind w:right="220"/>
              <w:spacing w:after="0" w:line="121" w:lineRule="exact"/>
              <w:rPr>
                <w:sz w:val="20"/>
                <w:szCs w:val="20"/>
                <w:color w:val="auto"/>
              </w:rPr>
            </w:pPr>
            <w:r>
              <w:rPr>
                <w:rFonts w:ascii="Arial" w:cs="Arial" w:eastAsia="Arial" w:hAnsi="Arial"/>
                <w:sz w:val="12"/>
                <w:szCs w:val="12"/>
                <w:b w:val="1"/>
                <w:bCs w:val="1"/>
                <w:color w:val="auto"/>
                <w:w w:val="84"/>
              </w:rPr>
              <w:t>Exercise of the</w:t>
            </w:r>
          </w:p>
        </w:tc>
      </w:tr>
      <w:tr>
        <w:trPr>
          <w:trHeight w:val="127"/>
        </w:trPr>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Name of</w:t>
            </w:r>
          </w:p>
        </w:tc>
        <w:tc>
          <w:tcPr>
            <w:tcW w:w="1060" w:type="dxa"/>
            <w:vAlign w:val="bottom"/>
            <w:gridSpan w:val="4"/>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Before this</w:t>
            </w:r>
          </w:p>
        </w:tc>
        <w:tc>
          <w:tcPr>
            <w:tcW w:w="1060" w:type="dxa"/>
            <w:vAlign w:val="bottom"/>
            <w:gridSpan w:val="5"/>
          </w:tcPr>
          <w:p>
            <w:pPr>
              <w:jc w:val="center"/>
              <w:ind w:right="200"/>
              <w:spacing w:after="0" w:line="128" w:lineRule="exact"/>
              <w:rPr>
                <w:sz w:val="20"/>
                <w:szCs w:val="20"/>
                <w:color w:val="auto"/>
              </w:rPr>
            </w:pPr>
            <w:r>
              <w:rPr>
                <w:rFonts w:ascii="Arial" w:cs="Arial" w:eastAsia="Arial" w:hAnsi="Arial"/>
                <w:sz w:val="12"/>
                <w:szCs w:val="12"/>
                <w:b w:val="1"/>
                <w:bCs w:val="1"/>
                <w:color w:val="auto"/>
                <w:w w:val="90"/>
              </w:rPr>
              <w:t>Underwriters’</w:t>
            </w:r>
          </w:p>
        </w:tc>
        <w:tc>
          <w:tcPr>
            <w:tcW w:w="1040" w:type="dxa"/>
            <w:vAlign w:val="bottom"/>
            <w:gridSpan w:val="5"/>
          </w:tcPr>
          <w:p>
            <w:pPr>
              <w:jc w:val="center"/>
              <w:ind w:right="200"/>
              <w:spacing w:after="0" w:line="128" w:lineRule="exact"/>
              <w:rPr>
                <w:sz w:val="20"/>
                <w:szCs w:val="20"/>
                <w:color w:val="auto"/>
              </w:rPr>
            </w:pPr>
            <w:r>
              <w:rPr>
                <w:rFonts w:ascii="Arial" w:cs="Arial" w:eastAsia="Arial" w:hAnsi="Arial"/>
                <w:sz w:val="12"/>
                <w:szCs w:val="12"/>
                <w:b w:val="1"/>
                <w:bCs w:val="1"/>
                <w:color w:val="auto"/>
                <w:w w:val="93"/>
              </w:rPr>
              <w:t>Underwriters’</w:t>
            </w:r>
          </w:p>
        </w:tc>
        <w:tc>
          <w:tcPr>
            <w:tcW w:w="1140" w:type="dxa"/>
            <w:vAlign w:val="bottom"/>
            <w:gridSpan w:val="5"/>
          </w:tcPr>
          <w:p>
            <w:pPr>
              <w:jc w:val="center"/>
              <w:ind w:right="160"/>
              <w:spacing w:after="0" w:line="128" w:lineRule="exact"/>
              <w:rPr>
                <w:sz w:val="20"/>
                <w:szCs w:val="20"/>
                <w:color w:val="auto"/>
              </w:rPr>
            </w:pPr>
            <w:r>
              <w:rPr>
                <w:rFonts w:ascii="Arial" w:cs="Arial" w:eastAsia="Arial" w:hAnsi="Arial"/>
                <w:sz w:val="12"/>
                <w:szCs w:val="12"/>
                <w:b w:val="1"/>
                <w:bCs w:val="1"/>
                <w:color w:val="auto"/>
                <w:w w:val="86"/>
              </w:rPr>
              <w:t>Before this</w:t>
            </w:r>
          </w:p>
        </w:tc>
        <w:tc>
          <w:tcPr>
            <w:tcW w:w="8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Underwriters’</w:t>
            </w:r>
          </w:p>
        </w:tc>
        <w:tc>
          <w:tcPr>
            <w:tcW w:w="1140" w:type="dxa"/>
            <w:vAlign w:val="bottom"/>
            <w:gridSpan w:val="4"/>
          </w:tcPr>
          <w:p>
            <w:pPr>
              <w:jc w:val="center"/>
              <w:ind w:right="200"/>
              <w:spacing w:after="0" w:line="128" w:lineRule="exact"/>
              <w:rPr>
                <w:sz w:val="20"/>
                <w:szCs w:val="20"/>
                <w:color w:val="auto"/>
              </w:rPr>
            </w:pPr>
            <w:r>
              <w:rPr>
                <w:rFonts w:ascii="Arial" w:cs="Arial" w:eastAsia="Arial" w:hAnsi="Arial"/>
                <w:sz w:val="12"/>
                <w:szCs w:val="12"/>
                <w:b w:val="1"/>
                <w:bCs w:val="1"/>
                <w:color w:val="auto"/>
                <w:w w:val="90"/>
              </w:rPr>
              <w:t>Underwriters’</w:t>
            </w:r>
          </w:p>
        </w:tc>
        <w:tc>
          <w:tcPr>
            <w:tcW w:w="8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3"/>
              </w:rPr>
              <w:t>Underwriters’</w:t>
            </w:r>
          </w:p>
        </w:tc>
        <w:tc>
          <w:tcPr>
            <w:tcW w:w="1140" w:type="dxa"/>
            <w:vAlign w:val="bottom"/>
            <w:gridSpan w:val="4"/>
          </w:tcPr>
          <w:p>
            <w:pPr>
              <w:jc w:val="center"/>
              <w:ind w:right="180"/>
              <w:spacing w:after="0" w:line="128" w:lineRule="exact"/>
              <w:rPr>
                <w:sz w:val="20"/>
                <w:szCs w:val="20"/>
                <w:color w:val="auto"/>
              </w:rPr>
            </w:pPr>
            <w:r>
              <w:rPr>
                <w:rFonts w:ascii="Arial" w:cs="Arial" w:eastAsia="Arial" w:hAnsi="Arial"/>
                <w:sz w:val="12"/>
                <w:szCs w:val="12"/>
                <w:b w:val="1"/>
                <w:bCs w:val="1"/>
                <w:color w:val="auto"/>
                <w:w w:val="93"/>
              </w:rPr>
              <w:t>Underwriters’</w:t>
            </w:r>
          </w:p>
        </w:tc>
        <w:tc>
          <w:tcPr>
            <w:tcW w:w="1180" w:type="dxa"/>
            <w:vAlign w:val="bottom"/>
            <w:gridSpan w:val="4"/>
          </w:tcPr>
          <w:p>
            <w:pPr>
              <w:jc w:val="center"/>
              <w:ind w:right="220"/>
              <w:spacing w:after="0" w:line="128" w:lineRule="exact"/>
              <w:rPr>
                <w:sz w:val="20"/>
                <w:szCs w:val="20"/>
                <w:color w:val="auto"/>
              </w:rPr>
            </w:pPr>
            <w:r>
              <w:rPr>
                <w:rFonts w:ascii="Arial" w:cs="Arial" w:eastAsia="Arial" w:hAnsi="Arial"/>
                <w:sz w:val="12"/>
                <w:szCs w:val="12"/>
                <w:b w:val="1"/>
                <w:bCs w:val="1"/>
                <w:color w:val="auto"/>
                <w:w w:val="93"/>
              </w:rPr>
              <w:t>Underwriters’</w:t>
            </w:r>
          </w:p>
        </w:tc>
      </w:tr>
      <w:tr>
        <w:trPr>
          <w:trHeight w:val="132"/>
        </w:trPr>
        <w:tc>
          <w:tcPr>
            <w:tcW w:w="7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106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94"/>
              </w:rPr>
              <w:t>Offering</w:t>
            </w:r>
          </w:p>
        </w:tc>
        <w:tc>
          <w:tcPr>
            <w:tcW w:w="620" w:type="dxa"/>
            <w:vAlign w:val="bottom"/>
            <w:gridSpan w:val="3"/>
          </w:tcPr>
          <w:p>
            <w:pPr>
              <w:jc w:val="center"/>
              <w:ind w:left="181"/>
              <w:spacing w:after="0" w:line="132" w:lineRule="exact"/>
              <w:rPr>
                <w:sz w:val="20"/>
                <w:szCs w:val="20"/>
                <w:color w:val="auto"/>
              </w:rPr>
            </w:pPr>
            <w:r>
              <w:rPr>
                <w:rFonts w:ascii="Arial" w:cs="Arial" w:eastAsia="Arial" w:hAnsi="Arial"/>
                <w:sz w:val="12"/>
                <w:szCs w:val="12"/>
                <w:b w:val="1"/>
                <w:bCs w:val="1"/>
                <w:color w:val="auto"/>
                <w:w w:val="87"/>
              </w:rPr>
              <w:t>Option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jc w:val="center"/>
              <w:ind w:left="161"/>
              <w:spacing w:after="0" w:line="132" w:lineRule="exact"/>
              <w:rPr>
                <w:sz w:val="20"/>
                <w:szCs w:val="20"/>
                <w:color w:val="auto"/>
              </w:rPr>
            </w:pPr>
            <w:r>
              <w:rPr>
                <w:rFonts w:ascii="Arial" w:cs="Arial" w:eastAsia="Arial" w:hAnsi="Arial"/>
                <w:sz w:val="12"/>
                <w:szCs w:val="12"/>
                <w:b w:val="1"/>
                <w:bCs w:val="1"/>
                <w:color w:val="auto"/>
                <w:w w:val="92"/>
              </w:rPr>
              <w:t>Option</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201"/>
              <w:spacing w:after="0" w:line="132" w:lineRule="exact"/>
              <w:rPr>
                <w:sz w:val="20"/>
                <w:szCs w:val="20"/>
                <w:color w:val="auto"/>
              </w:rPr>
            </w:pPr>
            <w:r>
              <w:rPr>
                <w:rFonts w:ascii="Arial" w:cs="Arial" w:eastAsia="Arial" w:hAnsi="Arial"/>
                <w:sz w:val="12"/>
                <w:szCs w:val="12"/>
                <w:b w:val="1"/>
                <w:bCs w:val="1"/>
                <w:color w:val="auto"/>
                <w:w w:val="94"/>
              </w:rPr>
              <w:t>Offering</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Option</w:t>
            </w:r>
          </w:p>
        </w:tc>
        <w:tc>
          <w:tcPr>
            <w:tcW w:w="660" w:type="dxa"/>
            <w:vAlign w:val="bottom"/>
            <w:gridSpan w:val="2"/>
          </w:tcPr>
          <w:p>
            <w:pPr>
              <w:jc w:val="center"/>
              <w:ind w:left="221"/>
              <w:spacing w:after="0" w:line="132" w:lineRule="exact"/>
              <w:rPr>
                <w:sz w:val="20"/>
                <w:szCs w:val="20"/>
                <w:color w:val="auto"/>
              </w:rPr>
            </w:pPr>
            <w:r>
              <w:rPr>
                <w:rFonts w:ascii="Arial" w:cs="Arial" w:eastAsia="Arial" w:hAnsi="Arial"/>
                <w:sz w:val="12"/>
                <w:szCs w:val="12"/>
                <w:b w:val="1"/>
                <w:bCs w:val="1"/>
                <w:color w:val="auto"/>
                <w:w w:val="87"/>
              </w:rPr>
              <w:t>Option</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92"/>
              </w:rPr>
              <w:t>Option</w:t>
            </w:r>
          </w:p>
        </w:tc>
        <w:tc>
          <w:tcPr>
            <w:tcW w:w="660" w:type="dxa"/>
            <w:vAlign w:val="bottom"/>
            <w:gridSpan w:val="2"/>
          </w:tcPr>
          <w:p>
            <w:pPr>
              <w:jc w:val="center"/>
              <w:ind w:left="241"/>
              <w:spacing w:after="0" w:line="132" w:lineRule="exact"/>
              <w:rPr>
                <w:sz w:val="20"/>
                <w:szCs w:val="20"/>
                <w:color w:val="auto"/>
              </w:rPr>
            </w:pPr>
            <w:r>
              <w:rPr>
                <w:rFonts w:ascii="Arial" w:cs="Arial" w:eastAsia="Arial" w:hAnsi="Arial"/>
                <w:sz w:val="12"/>
                <w:szCs w:val="12"/>
                <w:b w:val="1"/>
                <w:bCs w:val="1"/>
                <w:color w:val="auto"/>
                <w:w w:val="92"/>
              </w:rPr>
              <w:t>Option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left="241"/>
              <w:spacing w:after="0" w:line="132" w:lineRule="exact"/>
              <w:rPr>
                <w:sz w:val="20"/>
                <w:szCs w:val="20"/>
                <w:color w:val="auto"/>
              </w:rPr>
            </w:pPr>
            <w:r>
              <w:rPr>
                <w:rFonts w:ascii="Arial" w:cs="Arial" w:eastAsia="Arial" w:hAnsi="Arial"/>
                <w:sz w:val="12"/>
                <w:szCs w:val="12"/>
                <w:b w:val="1"/>
                <w:bCs w:val="1"/>
                <w:color w:val="auto"/>
                <w:w w:val="92"/>
              </w:rPr>
              <w:t>Option</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2"/>
        </w:trPr>
        <w:tc>
          <w:tcPr>
            <w:tcW w:w="500" w:type="dxa"/>
            <w:vAlign w:val="bottom"/>
            <w:tcBorders>
              <w:bottom w:val="single" w:sz="8" w:color="auto"/>
            </w:tcBorders>
          </w:tcPr>
          <w:p>
            <w:pPr>
              <w:spacing w:after="0" w:line="112" w:lineRule="exact"/>
              <w:rPr>
                <w:sz w:val="20"/>
                <w:szCs w:val="20"/>
                <w:color w:val="auto"/>
              </w:rPr>
            </w:pPr>
            <w:r>
              <w:rPr>
                <w:rFonts w:ascii="Arial" w:cs="Arial" w:eastAsia="Arial" w:hAnsi="Arial"/>
                <w:sz w:val="12"/>
                <w:szCs w:val="12"/>
                <w:b w:val="1"/>
                <w:bCs w:val="1"/>
                <w:color w:val="auto"/>
              </w:rPr>
              <w:t>Owner</w:t>
            </w:r>
          </w:p>
        </w:tc>
        <w:tc>
          <w:tcPr>
            <w:tcW w:w="280" w:type="dxa"/>
            <w:vAlign w:val="bottom"/>
          </w:tcPr>
          <w:p>
            <w:pPr>
              <w:spacing w:after="0"/>
              <w:rPr>
                <w:sz w:val="11"/>
                <w:szCs w:val="11"/>
                <w:color w:val="auto"/>
              </w:rPr>
            </w:pPr>
          </w:p>
        </w:tc>
        <w:tc>
          <w:tcPr>
            <w:tcW w:w="400" w:type="dxa"/>
            <w:vAlign w:val="bottom"/>
            <w:tcBorders>
              <w:top w:val="single" w:sz="8" w:color="auto"/>
            </w:tcBorders>
          </w:tcPr>
          <w:p>
            <w:pPr>
              <w:ind w:left="60"/>
              <w:spacing w:after="0" w:line="112" w:lineRule="exact"/>
              <w:rPr>
                <w:sz w:val="20"/>
                <w:szCs w:val="20"/>
                <w:color w:val="auto"/>
              </w:rPr>
            </w:pPr>
            <w:r>
              <w:rPr>
                <w:rFonts w:ascii="Arial" w:cs="Arial" w:eastAsia="Arial" w:hAnsi="Arial"/>
                <w:sz w:val="12"/>
                <w:szCs w:val="12"/>
                <w:b w:val="1"/>
                <w:bCs w:val="1"/>
                <w:color w:val="auto"/>
                <w:w w:val="95"/>
              </w:rPr>
              <w:t>Share</w:t>
            </w:r>
          </w:p>
        </w:tc>
        <w:tc>
          <w:tcPr>
            <w:tcW w:w="460" w:type="dxa"/>
            <w:vAlign w:val="bottom"/>
            <w:tcBorders>
              <w:top w:val="single" w:sz="8" w:color="auto"/>
            </w:tcBorders>
            <w:gridSpan w:val="2"/>
          </w:tcPr>
          <w:p>
            <w:pPr>
              <w:jc w:val="right"/>
              <w:ind w:right="41"/>
              <w:spacing w:after="0" w:line="112"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620" w:type="dxa"/>
            <w:vAlign w:val="bottom"/>
            <w:tcBorders>
              <w:top w:val="single" w:sz="8" w:color="auto"/>
            </w:tcBorders>
            <w:gridSpan w:val="3"/>
          </w:tcPr>
          <w:p>
            <w:pPr>
              <w:ind w:left="40"/>
              <w:spacing w:after="0" w:line="112" w:lineRule="exact"/>
              <w:rPr>
                <w:sz w:val="20"/>
                <w:szCs w:val="20"/>
                <w:color w:val="auto"/>
              </w:rPr>
            </w:pPr>
            <w:r>
              <w:rPr>
                <w:rFonts w:ascii="Arial" w:cs="Arial" w:eastAsia="Arial" w:hAnsi="Arial"/>
                <w:sz w:val="12"/>
                <w:szCs w:val="12"/>
                <w:b w:val="1"/>
                <w:bCs w:val="1"/>
                <w:color w:val="auto"/>
              </w:rPr>
              <w:t>Share</w:t>
            </w:r>
          </w:p>
        </w:tc>
        <w:tc>
          <w:tcPr>
            <w:tcW w:w="240" w:type="dxa"/>
            <w:vAlign w:val="bottom"/>
            <w:tcBorders>
              <w:top w:val="single" w:sz="8" w:color="auto"/>
            </w:tcBorders>
          </w:tcPr>
          <w:p>
            <w:pPr>
              <w:jc w:val="right"/>
              <w:ind w:right="41"/>
              <w:spacing w:after="0" w:line="112"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620" w:type="dxa"/>
            <w:vAlign w:val="bottom"/>
            <w:tcBorders>
              <w:top w:val="single" w:sz="8" w:color="auto"/>
            </w:tcBorders>
            <w:gridSpan w:val="3"/>
          </w:tcPr>
          <w:p>
            <w:pPr>
              <w:ind w:left="40"/>
              <w:spacing w:after="0" w:line="112" w:lineRule="exact"/>
              <w:rPr>
                <w:sz w:val="20"/>
                <w:szCs w:val="20"/>
                <w:color w:val="auto"/>
              </w:rPr>
            </w:pPr>
            <w:r>
              <w:rPr>
                <w:rFonts w:ascii="Arial" w:cs="Arial" w:eastAsia="Arial" w:hAnsi="Arial"/>
                <w:sz w:val="12"/>
                <w:szCs w:val="12"/>
                <w:b w:val="1"/>
                <w:bCs w:val="1"/>
                <w:color w:val="auto"/>
              </w:rPr>
              <w:t>Share</w:t>
            </w:r>
          </w:p>
        </w:tc>
        <w:tc>
          <w:tcPr>
            <w:tcW w:w="240" w:type="dxa"/>
            <w:vAlign w:val="bottom"/>
            <w:tcBorders>
              <w:top w:val="single" w:sz="8" w:color="auto"/>
            </w:tcBorders>
          </w:tcPr>
          <w:p>
            <w:pPr>
              <w:ind w:left="20"/>
              <w:spacing w:after="0" w:line="112"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140"/>
              <w:spacing w:after="0" w:line="112" w:lineRule="exact"/>
              <w:rPr>
                <w:sz w:val="20"/>
                <w:szCs w:val="20"/>
                <w:color w:val="auto"/>
              </w:rPr>
            </w:pPr>
            <w:r>
              <w:rPr>
                <w:rFonts w:ascii="Arial" w:cs="Arial" w:eastAsia="Arial" w:hAnsi="Arial"/>
                <w:sz w:val="12"/>
                <w:szCs w:val="12"/>
                <w:b w:val="1"/>
                <w:bCs w:val="1"/>
                <w:color w:val="auto"/>
              </w:rPr>
              <w:t>Share</w:t>
            </w:r>
          </w:p>
        </w:tc>
        <w:tc>
          <w:tcPr>
            <w:tcW w:w="260" w:type="dxa"/>
            <w:vAlign w:val="bottom"/>
            <w:tcBorders>
              <w:top w:val="single" w:sz="8" w:color="auto"/>
            </w:tcBorders>
          </w:tcPr>
          <w:p>
            <w:pPr>
              <w:jc w:val="right"/>
              <w:ind w:right="21"/>
              <w:spacing w:after="0" w:line="112"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gridSpan w:val="2"/>
          </w:tcPr>
          <w:p>
            <w:pPr>
              <w:ind w:left="120"/>
              <w:spacing w:after="0" w:line="112" w:lineRule="exact"/>
              <w:rPr>
                <w:sz w:val="20"/>
                <w:szCs w:val="20"/>
                <w:color w:val="auto"/>
              </w:rPr>
            </w:pPr>
            <w:r>
              <w:rPr>
                <w:rFonts w:ascii="Arial" w:cs="Arial" w:eastAsia="Arial" w:hAnsi="Arial"/>
                <w:sz w:val="12"/>
                <w:szCs w:val="12"/>
                <w:b w:val="1"/>
                <w:bCs w:val="1"/>
                <w:color w:val="auto"/>
              </w:rPr>
              <w:t>Share</w:t>
            </w:r>
          </w:p>
        </w:tc>
        <w:tc>
          <w:tcPr>
            <w:tcW w:w="280" w:type="dxa"/>
            <w:vAlign w:val="bottom"/>
            <w:tcBorders>
              <w:top w:val="single" w:sz="8" w:color="auto"/>
            </w:tcBorders>
          </w:tcPr>
          <w:p>
            <w:pPr>
              <w:jc w:val="right"/>
              <w:ind w:right="21"/>
              <w:spacing w:after="0" w:line="112"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gridSpan w:val="2"/>
          </w:tcPr>
          <w:p>
            <w:pPr>
              <w:ind w:left="140"/>
              <w:spacing w:after="0" w:line="112" w:lineRule="exact"/>
              <w:rPr>
                <w:sz w:val="20"/>
                <w:szCs w:val="20"/>
                <w:color w:val="auto"/>
              </w:rPr>
            </w:pPr>
            <w:r>
              <w:rPr>
                <w:rFonts w:ascii="Arial" w:cs="Arial" w:eastAsia="Arial" w:hAnsi="Arial"/>
                <w:sz w:val="12"/>
                <w:szCs w:val="12"/>
                <w:b w:val="1"/>
                <w:bCs w:val="1"/>
                <w:color w:val="auto"/>
              </w:rPr>
              <w:t>Share</w:t>
            </w:r>
          </w:p>
        </w:tc>
        <w:tc>
          <w:tcPr>
            <w:tcW w:w="300" w:type="dxa"/>
            <w:vAlign w:val="bottom"/>
            <w:tcBorders>
              <w:top w:val="single" w:sz="8" w:color="auto"/>
            </w:tcBorders>
          </w:tcPr>
          <w:p>
            <w:pPr>
              <w:jc w:val="right"/>
              <w:ind w:right="41"/>
              <w:spacing w:after="0" w:line="112"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40"/>
              <w:spacing w:after="0" w:line="112" w:lineRule="exact"/>
              <w:rPr>
                <w:sz w:val="20"/>
                <w:szCs w:val="20"/>
                <w:color w:val="auto"/>
              </w:rPr>
            </w:pPr>
            <w:r>
              <w:rPr>
                <w:rFonts w:ascii="Arial" w:cs="Arial" w:eastAsia="Arial" w:hAnsi="Arial"/>
                <w:sz w:val="12"/>
                <w:szCs w:val="12"/>
                <w:b w:val="1"/>
                <w:bCs w:val="1"/>
                <w:color w:val="auto"/>
              </w:rPr>
              <w:t>Share</w:t>
            </w:r>
          </w:p>
        </w:tc>
        <w:tc>
          <w:tcPr>
            <w:tcW w:w="300" w:type="dxa"/>
            <w:vAlign w:val="bottom"/>
            <w:tcBorders>
              <w:top w:val="single" w:sz="8" w:color="auto"/>
            </w:tcBorders>
          </w:tcPr>
          <w:p>
            <w:pPr>
              <w:jc w:val="right"/>
              <w:ind w:right="41"/>
              <w:spacing w:after="0" w:line="112"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1"/>
                <w:szCs w:val="11"/>
                <w:color w:val="auto"/>
              </w:rPr>
            </w:pPr>
          </w:p>
        </w:tc>
      </w:tr>
      <w:tr>
        <w:trPr>
          <w:trHeight w:val="76"/>
        </w:trPr>
        <w:tc>
          <w:tcPr>
            <w:tcW w:w="780" w:type="dxa"/>
            <w:vAlign w:val="bottom"/>
            <w:tcBorders>
              <w:top w:val="single" w:sz="8" w:color="CCEEFF"/>
            </w:tcBorders>
            <w:gridSpan w:val="2"/>
            <w:shd w:val="clear" w:color="auto" w:fill="CCEEFF"/>
          </w:tcPr>
          <w:p>
            <w:pPr>
              <w:spacing w:after="0" w:line="77" w:lineRule="exact"/>
              <w:rPr>
                <w:sz w:val="20"/>
                <w:szCs w:val="20"/>
                <w:color w:val="auto"/>
              </w:rPr>
            </w:pPr>
            <w:r>
              <w:rPr>
                <w:rFonts w:ascii="Arial" w:cs="Arial" w:eastAsia="Arial" w:hAnsi="Arial"/>
                <w:sz w:val="8"/>
                <w:szCs w:val="8"/>
                <w:color w:val="auto"/>
              </w:rPr>
              <w:t>Robert</w:t>
            </w:r>
          </w:p>
        </w:tc>
        <w:tc>
          <w:tcPr>
            <w:tcW w:w="4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r>
      <w:tr>
        <w:trPr>
          <w:trHeight w:val="136"/>
        </w:trPr>
        <w:tc>
          <w:tcPr>
            <w:tcW w:w="7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Alpert(1)</w:t>
            </w:r>
          </w:p>
        </w:tc>
        <w:tc>
          <w:tcPr>
            <w:tcW w:w="400" w:type="dxa"/>
            <w:vAlign w:val="bottom"/>
            <w:shd w:val="clear" w:color="auto" w:fill="CCEEFF"/>
          </w:tcPr>
          <w:p>
            <w:pPr>
              <w:jc w:val="center"/>
              <w:ind w:left="101"/>
              <w:spacing w:after="0" w:line="137"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8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60"/>
              <w:spacing w:after="0" w:line="137" w:lineRule="exact"/>
              <w:rPr>
                <w:sz w:val="20"/>
                <w:szCs w:val="20"/>
                <w:color w:val="auto"/>
              </w:rPr>
            </w:pPr>
            <w:r>
              <w:rPr>
                <w:rFonts w:ascii="Arial" w:cs="Arial" w:eastAsia="Arial" w:hAnsi="Arial"/>
                <w:sz w:val="12"/>
                <w:szCs w:val="12"/>
                <w:color w:val="auto"/>
                <w:w w:val="99"/>
              </w:rPr>
              <w:t>—</w:t>
            </w:r>
          </w:p>
        </w:tc>
        <w:tc>
          <w:tcPr>
            <w:tcW w:w="44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80"/>
              <w:spacing w:after="0" w:line="137" w:lineRule="exact"/>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14,861,779</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83"/>
              </w:rPr>
              <w:t>14.07%</w:t>
            </w:r>
          </w:p>
        </w:tc>
        <w:tc>
          <w:tcPr>
            <w:tcW w:w="8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1,172,884</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13,688,895</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8"/>
              </w:rPr>
              <w:t>14.09%</w:t>
            </w:r>
          </w:p>
        </w:tc>
        <w:tc>
          <w:tcPr>
            <w:tcW w:w="8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521,498</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13,175,068</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3"/>
              </w:rPr>
              <w:t>13.99%</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13,688,895</w:t>
            </w:r>
          </w:p>
        </w:tc>
        <w:tc>
          <w:tcPr>
            <w:tcW w:w="5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w w:val="93"/>
              </w:rPr>
              <w:t>13.81%</w:t>
            </w:r>
          </w:p>
        </w:tc>
      </w:tr>
      <w:tr>
        <w:trPr>
          <w:trHeight w:val="105"/>
        </w:trPr>
        <w:tc>
          <w:tcPr>
            <w:tcW w:w="780" w:type="dxa"/>
            <w:vAlign w:val="bottom"/>
            <w:gridSpan w:val="2"/>
          </w:tcPr>
          <w:p>
            <w:pPr>
              <w:spacing w:after="0" w:line="106" w:lineRule="exact"/>
              <w:rPr>
                <w:sz w:val="20"/>
                <w:szCs w:val="20"/>
                <w:color w:val="auto"/>
              </w:rPr>
            </w:pPr>
            <w:r>
              <w:rPr>
                <w:rFonts w:ascii="Arial" w:cs="Arial" w:eastAsia="Arial" w:hAnsi="Arial"/>
                <w:sz w:val="12"/>
                <w:szCs w:val="12"/>
                <w:color w:val="auto"/>
              </w:rPr>
              <w:t>C. Clark</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36"/>
        </w:trPr>
        <w:tc>
          <w:tcPr>
            <w:tcW w:w="78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Webb(1)</w:t>
            </w:r>
          </w:p>
        </w:tc>
        <w:tc>
          <w:tcPr>
            <w:tcW w:w="400" w:type="dxa"/>
            <w:vAlign w:val="bottom"/>
          </w:tcPr>
          <w:p>
            <w:pPr>
              <w:jc w:val="center"/>
              <w:ind w:left="101"/>
              <w:spacing w:after="0" w:line="137"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1"/>
                <w:szCs w:val="11"/>
                <w:color w:val="auto"/>
              </w:rPr>
            </w:pPr>
          </w:p>
        </w:tc>
        <w:tc>
          <w:tcPr>
            <w:tcW w:w="540" w:type="dxa"/>
            <w:vAlign w:val="bottom"/>
            <w:gridSpan w:val="2"/>
          </w:tcPr>
          <w:p>
            <w:pPr>
              <w:ind w:left="18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60"/>
              <w:spacing w:after="0" w:line="137" w:lineRule="exact"/>
              <w:rPr>
                <w:sz w:val="20"/>
                <w:szCs w:val="20"/>
                <w:color w:val="auto"/>
              </w:rPr>
            </w:pPr>
            <w:r>
              <w:rPr>
                <w:rFonts w:ascii="Arial" w:cs="Arial" w:eastAsia="Arial" w:hAnsi="Arial"/>
                <w:sz w:val="12"/>
                <w:szCs w:val="12"/>
                <w:color w:val="auto"/>
                <w:w w:val="99"/>
              </w:rPr>
              <w:t>—</w:t>
            </w:r>
          </w:p>
        </w:tc>
        <w:tc>
          <w:tcPr>
            <w:tcW w:w="44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80"/>
              <w:spacing w:after="0" w:line="137" w:lineRule="exact"/>
              <w:rPr>
                <w:sz w:val="20"/>
                <w:szCs w:val="20"/>
                <w:color w:val="auto"/>
              </w:rPr>
            </w:pPr>
            <w:r>
              <w:rPr>
                <w:rFonts w:ascii="Arial" w:cs="Arial" w:eastAsia="Arial" w:hAnsi="Arial"/>
                <w:sz w:val="12"/>
                <w:szCs w:val="12"/>
                <w:color w:val="auto"/>
                <w:w w:val="82"/>
              </w:rPr>
              <w:t>—</w:t>
            </w:r>
          </w:p>
        </w:tc>
        <w:tc>
          <w:tcPr>
            <w:tcW w:w="42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w w:val="89"/>
              </w:rPr>
              <w:t>14,861,779</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83"/>
              </w:rPr>
              <w:t>14.07%</w:t>
            </w:r>
          </w:p>
        </w:tc>
        <w:tc>
          <w:tcPr>
            <w:tcW w:w="84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1,172,884</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w w:val="89"/>
              </w:rPr>
              <w:t>13,688,895</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w w:val="88"/>
              </w:rPr>
              <w:t>14.09%</w:t>
            </w:r>
          </w:p>
        </w:tc>
        <w:tc>
          <w:tcPr>
            <w:tcW w:w="8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521,498</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w w:val="89"/>
              </w:rPr>
              <w:t>13,175,068</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3"/>
              </w:rPr>
              <w:t>13.99%</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w w:val="89"/>
              </w:rPr>
              <w:t>13,688,895</w:t>
            </w:r>
          </w:p>
        </w:tc>
        <w:tc>
          <w:tcPr>
            <w:tcW w:w="5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w w:val="93"/>
              </w:rPr>
              <w:t>13.81%</w:t>
            </w:r>
          </w:p>
        </w:tc>
      </w:tr>
      <w:tr>
        <w:trPr>
          <w:trHeight w:val="105"/>
        </w:trPr>
        <w:tc>
          <w:tcPr>
            <w:tcW w:w="78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William F.</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r>
        <w:trPr>
          <w:trHeight w:val="136"/>
        </w:trPr>
        <w:tc>
          <w:tcPr>
            <w:tcW w:w="7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Souder(2)</w:t>
            </w:r>
          </w:p>
        </w:tc>
        <w:tc>
          <w:tcPr>
            <w:tcW w:w="400" w:type="dxa"/>
            <w:vAlign w:val="bottom"/>
            <w:shd w:val="clear" w:color="auto" w:fill="CCEEFF"/>
          </w:tcPr>
          <w:p>
            <w:pPr>
              <w:jc w:val="center"/>
              <w:ind w:left="101"/>
              <w:spacing w:after="0" w:line="137"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8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60"/>
              <w:spacing w:after="0" w:line="137" w:lineRule="exact"/>
              <w:rPr>
                <w:sz w:val="20"/>
                <w:szCs w:val="20"/>
                <w:color w:val="auto"/>
              </w:rPr>
            </w:pPr>
            <w:r>
              <w:rPr>
                <w:rFonts w:ascii="Arial" w:cs="Arial" w:eastAsia="Arial" w:hAnsi="Arial"/>
                <w:sz w:val="12"/>
                <w:szCs w:val="12"/>
                <w:color w:val="auto"/>
                <w:w w:val="99"/>
              </w:rPr>
              <w:t>—</w:t>
            </w:r>
          </w:p>
        </w:tc>
        <w:tc>
          <w:tcPr>
            <w:tcW w:w="44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80"/>
              <w:spacing w:after="0" w:line="137" w:lineRule="exact"/>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4,905,274</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4.64%</w:t>
            </w:r>
          </w:p>
        </w:tc>
        <w:tc>
          <w:tcPr>
            <w:tcW w:w="8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474,540</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4,430,734</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4.56%</w:t>
            </w:r>
          </w:p>
        </w:tc>
        <w:tc>
          <w:tcPr>
            <w:tcW w:w="8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168,795</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4,264,422</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4.53%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4,430,734</w:t>
            </w:r>
          </w:p>
        </w:tc>
        <w:tc>
          <w:tcPr>
            <w:tcW w:w="5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4.47%</w:t>
            </w:r>
          </w:p>
        </w:tc>
      </w:tr>
      <w:tr>
        <w:trPr>
          <w:trHeight w:val="105"/>
        </w:trPr>
        <w:tc>
          <w:tcPr>
            <w:tcW w:w="780" w:type="dxa"/>
            <w:vAlign w:val="bottom"/>
            <w:gridSpan w:val="2"/>
          </w:tcPr>
          <w:p>
            <w:pPr>
              <w:spacing w:after="0" w:line="106" w:lineRule="exact"/>
              <w:rPr>
                <w:sz w:val="20"/>
                <w:szCs w:val="20"/>
                <w:color w:val="auto"/>
              </w:rPr>
            </w:pPr>
            <w:r>
              <w:rPr>
                <w:rFonts w:ascii="Arial" w:cs="Arial" w:eastAsia="Arial" w:hAnsi="Arial"/>
                <w:sz w:val="12"/>
                <w:szCs w:val="12"/>
                <w:color w:val="auto"/>
              </w:rPr>
              <w:t>Robert B.</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36"/>
        </w:trPr>
        <w:tc>
          <w:tcPr>
            <w:tcW w:w="78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Stewart Jr.</w:t>
            </w:r>
          </w:p>
        </w:tc>
        <w:tc>
          <w:tcPr>
            <w:tcW w:w="400" w:type="dxa"/>
            <w:vAlign w:val="bottom"/>
          </w:tcPr>
          <w:p>
            <w:pPr>
              <w:jc w:val="center"/>
              <w:ind w:left="101"/>
              <w:spacing w:after="0" w:line="137"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1"/>
                <w:szCs w:val="11"/>
                <w:color w:val="auto"/>
              </w:rPr>
            </w:pPr>
          </w:p>
        </w:tc>
        <w:tc>
          <w:tcPr>
            <w:tcW w:w="540" w:type="dxa"/>
            <w:vAlign w:val="bottom"/>
            <w:gridSpan w:val="2"/>
          </w:tcPr>
          <w:p>
            <w:pPr>
              <w:ind w:left="18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60"/>
              <w:spacing w:after="0" w:line="137" w:lineRule="exact"/>
              <w:rPr>
                <w:sz w:val="20"/>
                <w:szCs w:val="20"/>
                <w:color w:val="auto"/>
              </w:rPr>
            </w:pPr>
            <w:r>
              <w:rPr>
                <w:rFonts w:ascii="Arial" w:cs="Arial" w:eastAsia="Arial" w:hAnsi="Arial"/>
                <w:sz w:val="12"/>
                <w:szCs w:val="12"/>
                <w:color w:val="auto"/>
                <w:w w:val="99"/>
              </w:rPr>
              <w:t>—</w:t>
            </w:r>
          </w:p>
        </w:tc>
        <w:tc>
          <w:tcPr>
            <w:tcW w:w="44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80"/>
              <w:spacing w:after="0" w:line="137" w:lineRule="exact"/>
              <w:rPr>
                <w:sz w:val="20"/>
                <w:szCs w:val="20"/>
                <w:color w:val="auto"/>
              </w:rPr>
            </w:pPr>
            <w:r>
              <w:rPr>
                <w:rFonts w:ascii="Arial" w:cs="Arial" w:eastAsia="Arial" w:hAnsi="Arial"/>
                <w:sz w:val="12"/>
                <w:szCs w:val="12"/>
                <w:color w:val="auto"/>
                <w:w w:val="82"/>
              </w:rPr>
              <w:t>—</w:t>
            </w:r>
          </w:p>
        </w:tc>
        <w:tc>
          <w:tcPr>
            <w:tcW w:w="42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3"/>
          </w:tcPr>
          <w:p>
            <w:pPr>
              <w:ind w:left="400"/>
              <w:spacing w:after="0" w:line="137"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840" w:type="dxa"/>
            <w:vAlign w:val="bottom"/>
            <w:gridSpan w:val="2"/>
          </w:tcPr>
          <w:p>
            <w:pPr>
              <w:ind w:left="5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380"/>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380"/>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80"/>
              <w:spacing w:after="0" w:line="137" w:lineRule="exact"/>
              <w:rPr>
                <w:sz w:val="20"/>
                <w:szCs w:val="20"/>
                <w:color w:val="auto"/>
              </w:rPr>
            </w:pPr>
            <w:r>
              <w:rPr>
                <w:rFonts w:ascii="Arial" w:cs="Arial" w:eastAsia="Arial" w:hAnsi="Arial"/>
                <w:sz w:val="12"/>
                <w:szCs w:val="12"/>
                <w:color w:val="auto"/>
              </w:rPr>
              <w:t>—</w:t>
            </w:r>
          </w:p>
        </w:tc>
      </w:tr>
      <w:tr>
        <w:trPr>
          <w:trHeight w:val="121"/>
        </w:trPr>
        <w:tc>
          <w:tcPr>
            <w:tcW w:w="78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Travis Barnes</w:t>
            </w:r>
          </w:p>
        </w:tc>
        <w:tc>
          <w:tcPr>
            <w:tcW w:w="400" w:type="dxa"/>
            <w:vAlign w:val="bottom"/>
            <w:shd w:val="clear" w:color="auto" w:fill="CCEEFF"/>
          </w:tcPr>
          <w:p>
            <w:pPr>
              <w:jc w:val="center"/>
              <w:ind w:left="101"/>
              <w:spacing w:after="0" w:line="121"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60"/>
              <w:spacing w:after="0" w:line="121" w:lineRule="exact"/>
              <w:rPr>
                <w:sz w:val="20"/>
                <w:szCs w:val="20"/>
                <w:color w:val="auto"/>
              </w:rPr>
            </w:pPr>
            <w:r>
              <w:rPr>
                <w:rFonts w:ascii="Arial" w:cs="Arial" w:eastAsia="Arial" w:hAnsi="Arial"/>
                <w:sz w:val="12"/>
                <w:szCs w:val="12"/>
                <w:color w:val="auto"/>
                <w:w w:val="99"/>
              </w:rPr>
              <w:t>—</w:t>
            </w:r>
          </w:p>
        </w:tc>
        <w:tc>
          <w:tcPr>
            <w:tcW w:w="4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80"/>
              <w:spacing w:after="0" w:line="121" w:lineRule="exact"/>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ind w:left="400"/>
              <w:spacing w:after="0" w:line="121"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380"/>
              <w:spacing w:after="0" w:line="121"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380"/>
              <w:spacing w:after="0" w:line="121"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2"/>
                <w:szCs w:val="12"/>
                <w:color w:val="auto"/>
              </w:rPr>
              <w:t>—</w:t>
            </w:r>
          </w:p>
        </w:tc>
      </w:tr>
      <w:tr>
        <w:trPr>
          <w:trHeight w:val="121"/>
        </w:trPr>
        <w:tc>
          <w:tcPr>
            <w:tcW w:w="780" w:type="dxa"/>
            <w:vAlign w:val="bottom"/>
            <w:gridSpan w:val="2"/>
          </w:tcPr>
          <w:p>
            <w:pPr>
              <w:spacing w:after="0" w:line="121" w:lineRule="exact"/>
              <w:rPr>
                <w:sz w:val="20"/>
                <w:szCs w:val="20"/>
                <w:color w:val="auto"/>
              </w:rPr>
            </w:pPr>
            <w:r>
              <w:rPr>
                <w:rFonts w:ascii="Arial" w:cs="Arial" w:eastAsia="Arial" w:hAnsi="Arial"/>
                <w:sz w:val="12"/>
                <w:szCs w:val="12"/>
                <w:color w:val="auto"/>
                <w:w w:val="99"/>
              </w:rPr>
              <w:t>Scott Gwilliam</w:t>
            </w:r>
          </w:p>
        </w:tc>
        <w:tc>
          <w:tcPr>
            <w:tcW w:w="400" w:type="dxa"/>
            <w:vAlign w:val="bottom"/>
          </w:tcPr>
          <w:p>
            <w:pPr>
              <w:jc w:val="center"/>
              <w:ind w:left="101"/>
              <w:spacing w:after="0" w:line="121"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0"/>
                <w:szCs w:val="10"/>
                <w:color w:val="auto"/>
              </w:rPr>
            </w:pPr>
          </w:p>
        </w:tc>
        <w:tc>
          <w:tcPr>
            <w:tcW w:w="540" w:type="dxa"/>
            <w:vAlign w:val="bottom"/>
            <w:gridSpan w:val="2"/>
          </w:tcPr>
          <w:p>
            <w:pPr>
              <w:ind w:left="180"/>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60"/>
              <w:spacing w:after="0" w:line="121" w:lineRule="exact"/>
              <w:rPr>
                <w:sz w:val="20"/>
                <w:szCs w:val="20"/>
                <w:color w:val="auto"/>
              </w:rPr>
            </w:pPr>
            <w:r>
              <w:rPr>
                <w:rFonts w:ascii="Arial" w:cs="Arial" w:eastAsia="Arial" w:hAnsi="Arial"/>
                <w:sz w:val="12"/>
                <w:szCs w:val="12"/>
                <w:color w:val="auto"/>
                <w:w w:val="99"/>
              </w:rPr>
              <w:t>—</w:t>
            </w:r>
          </w:p>
        </w:tc>
        <w:tc>
          <w:tcPr>
            <w:tcW w:w="440" w:type="dxa"/>
            <w:vAlign w:val="bottom"/>
            <w:gridSpan w:val="2"/>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80"/>
              <w:spacing w:after="0" w:line="121" w:lineRule="exact"/>
              <w:rPr>
                <w:sz w:val="20"/>
                <w:szCs w:val="20"/>
                <w:color w:val="auto"/>
              </w:rPr>
            </w:pPr>
            <w:r>
              <w:rPr>
                <w:rFonts w:ascii="Arial" w:cs="Arial" w:eastAsia="Arial" w:hAnsi="Arial"/>
                <w:sz w:val="12"/>
                <w:szCs w:val="12"/>
                <w:color w:val="auto"/>
                <w:w w:val="82"/>
              </w:rPr>
              <w:t>—</w:t>
            </w:r>
          </w:p>
        </w:tc>
        <w:tc>
          <w:tcPr>
            <w:tcW w:w="42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700" w:type="dxa"/>
            <w:vAlign w:val="bottom"/>
            <w:gridSpan w:val="3"/>
          </w:tcPr>
          <w:p>
            <w:pPr>
              <w:ind w:left="400"/>
              <w:spacing w:after="0" w:line="121"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40"/>
              <w:spacing w:after="0" w:line="121" w:lineRule="exact"/>
              <w:rPr>
                <w:sz w:val="20"/>
                <w:szCs w:val="20"/>
                <w:color w:val="auto"/>
              </w:rPr>
            </w:pPr>
            <w:r>
              <w:rPr>
                <w:rFonts w:ascii="Arial" w:cs="Arial" w:eastAsia="Arial" w:hAnsi="Arial"/>
                <w:sz w:val="12"/>
                <w:szCs w:val="12"/>
                <w:color w:val="auto"/>
              </w:rPr>
              <w:t>—</w:t>
            </w:r>
          </w:p>
        </w:tc>
        <w:tc>
          <w:tcPr>
            <w:tcW w:w="840" w:type="dxa"/>
            <w:vAlign w:val="bottom"/>
            <w:gridSpan w:val="2"/>
          </w:tcPr>
          <w:p>
            <w:pPr>
              <w:ind w:left="56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380"/>
              <w:spacing w:after="0" w:line="121"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380"/>
              <w:spacing w:after="0" w:line="121"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80"/>
              <w:spacing w:after="0" w:line="121" w:lineRule="exact"/>
              <w:rPr>
                <w:sz w:val="20"/>
                <w:szCs w:val="20"/>
                <w:color w:val="auto"/>
              </w:rPr>
            </w:pPr>
            <w:r>
              <w:rPr>
                <w:rFonts w:ascii="Arial" w:cs="Arial" w:eastAsia="Arial" w:hAnsi="Arial"/>
                <w:sz w:val="12"/>
                <w:szCs w:val="12"/>
                <w:color w:val="auto"/>
              </w:rPr>
              <w:t>—</w:t>
            </w:r>
          </w:p>
        </w:tc>
      </w:tr>
      <w:tr>
        <w:trPr>
          <w:trHeight w:val="105"/>
        </w:trPr>
        <w:tc>
          <w:tcPr>
            <w:tcW w:w="78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Edwin</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r>
        <w:trPr>
          <w:trHeight w:val="136"/>
        </w:trPr>
        <w:tc>
          <w:tcPr>
            <w:tcW w:w="7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rPr>
              <w:t>Poston(3)</w:t>
            </w:r>
          </w:p>
        </w:tc>
        <w:tc>
          <w:tcPr>
            <w:tcW w:w="400" w:type="dxa"/>
            <w:vAlign w:val="bottom"/>
            <w:shd w:val="clear" w:color="auto" w:fill="CCEEFF"/>
          </w:tcPr>
          <w:p>
            <w:pPr>
              <w:jc w:val="center"/>
              <w:ind w:left="101"/>
              <w:spacing w:after="0" w:line="137" w:lineRule="exact"/>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8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60"/>
              <w:spacing w:after="0" w:line="137" w:lineRule="exact"/>
              <w:rPr>
                <w:sz w:val="20"/>
                <w:szCs w:val="20"/>
                <w:color w:val="auto"/>
              </w:rPr>
            </w:pPr>
            <w:r>
              <w:rPr>
                <w:rFonts w:ascii="Arial" w:cs="Arial" w:eastAsia="Arial" w:hAnsi="Arial"/>
                <w:sz w:val="12"/>
                <w:szCs w:val="12"/>
                <w:color w:val="auto"/>
                <w:w w:val="99"/>
              </w:rPr>
              <w:t>—</w:t>
            </w:r>
          </w:p>
        </w:tc>
        <w:tc>
          <w:tcPr>
            <w:tcW w:w="44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center"/>
              <w:ind w:right="80"/>
              <w:spacing w:after="0" w:line="137" w:lineRule="exact"/>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9,856,769</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9.33%</w:t>
            </w:r>
          </w:p>
        </w:tc>
        <w:tc>
          <w:tcPr>
            <w:tcW w:w="8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818,016</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9,038,753</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9.30%</w:t>
            </w:r>
          </w:p>
        </w:tc>
        <w:tc>
          <w:tcPr>
            <w:tcW w:w="82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8,699,474</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9.24%</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9,038,753</w:t>
            </w:r>
          </w:p>
        </w:tc>
        <w:tc>
          <w:tcPr>
            <w:tcW w:w="52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9.12%</w:t>
            </w:r>
          </w:p>
        </w:tc>
      </w:tr>
      <w:tr>
        <w:trPr>
          <w:trHeight w:val="121"/>
        </w:trPr>
        <w:tc>
          <w:tcPr>
            <w:tcW w:w="780" w:type="dxa"/>
            <w:vAlign w:val="bottom"/>
            <w:gridSpan w:val="2"/>
          </w:tcPr>
          <w:p>
            <w:pPr>
              <w:spacing w:after="0" w:line="121" w:lineRule="exact"/>
              <w:rPr>
                <w:sz w:val="20"/>
                <w:szCs w:val="20"/>
                <w:color w:val="auto"/>
              </w:rPr>
            </w:pPr>
            <w:r>
              <w:rPr>
                <w:rFonts w:ascii="Arial" w:cs="Arial" w:eastAsia="Arial" w:hAnsi="Arial"/>
                <w:sz w:val="12"/>
                <w:szCs w:val="12"/>
                <w:color w:val="auto"/>
                <w:w w:val="98"/>
              </w:rPr>
              <w:t>Jeff P. Gehl(4)</w:t>
            </w:r>
          </w:p>
        </w:tc>
        <w:tc>
          <w:tcPr>
            <w:tcW w:w="400" w:type="dxa"/>
            <w:vAlign w:val="bottom"/>
          </w:tcPr>
          <w:p>
            <w:pPr>
              <w:jc w:val="center"/>
              <w:ind w:left="101"/>
              <w:spacing w:after="0" w:line="121"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0"/>
                <w:szCs w:val="10"/>
                <w:color w:val="auto"/>
              </w:rPr>
            </w:pPr>
          </w:p>
        </w:tc>
        <w:tc>
          <w:tcPr>
            <w:tcW w:w="540" w:type="dxa"/>
            <w:vAlign w:val="bottom"/>
            <w:gridSpan w:val="2"/>
          </w:tcPr>
          <w:p>
            <w:pPr>
              <w:ind w:left="180"/>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60"/>
              <w:spacing w:after="0" w:line="121" w:lineRule="exact"/>
              <w:rPr>
                <w:sz w:val="20"/>
                <w:szCs w:val="20"/>
                <w:color w:val="auto"/>
              </w:rPr>
            </w:pPr>
            <w:r>
              <w:rPr>
                <w:rFonts w:ascii="Arial" w:cs="Arial" w:eastAsia="Arial" w:hAnsi="Arial"/>
                <w:sz w:val="12"/>
                <w:szCs w:val="12"/>
                <w:color w:val="auto"/>
                <w:w w:val="99"/>
              </w:rPr>
              <w:t>—</w:t>
            </w:r>
          </w:p>
        </w:tc>
        <w:tc>
          <w:tcPr>
            <w:tcW w:w="440" w:type="dxa"/>
            <w:vAlign w:val="bottom"/>
            <w:gridSpan w:val="2"/>
          </w:tcPr>
          <w:p>
            <w:pPr>
              <w:jc w:val="right"/>
              <w:ind w:right="260"/>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80"/>
              <w:spacing w:after="0" w:line="121" w:lineRule="exact"/>
              <w:rPr>
                <w:sz w:val="20"/>
                <w:szCs w:val="20"/>
                <w:color w:val="auto"/>
              </w:rPr>
            </w:pPr>
            <w:r>
              <w:rPr>
                <w:rFonts w:ascii="Arial" w:cs="Arial" w:eastAsia="Arial" w:hAnsi="Arial"/>
                <w:sz w:val="12"/>
                <w:szCs w:val="12"/>
                <w:color w:val="auto"/>
                <w:w w:val="82"/>
              </w:rPr>
              <w:t>—</w:t>
            </w:r>
          </w:p>
        </w:tc>
        <w:tc>
          <w:tcPr>
            <w:tcW w:w="42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4,905,274</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4.64%</w:t>
            </w:r>
          </w:p>
        </w:tc>
        <w:tc>
          <w:tcPr>
            <w:tcW w:w="84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474,540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4,430,734</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4.56%</w:t>
            </w:r>
          </w:p>
        </w:tc>
        <w:tc>
          <w:tcPr>
            <w:tcW w:w="82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168,795</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4,264,422</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4.53%</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4,430,734</w:t>
            </w:r>
          </w:p>
        </w:tc>
        <w:tc>
          <w:tcPr>
            <w:tcW w:w="52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4.47%</w:t>
            </w:r>
          </w:p>
        </w:tc>
      </w:tr>
      <w:tr>
        <w:trPr>
          <w:trHeight w:val="105"/>
        </w:trPr>
        <w:tc>
          <w:tcPr>
            <w:tcW w:w="78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Amanda</w:t>
            </w: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r>
        <w:trPr>
          <w:trHeight w:val="136"/>
        </w:trPr>
        <w:tc>
          <w:tcPr>
            <w:tcW w:w="780" w:type="dxa"/>
            <w:vAlign w:val="bottom"/>
            <w:gridSpan w:val="2"/>
            <w:shd w:val="clear" w:color="auto" w:fill="CCEEFF"/>
          </w:tcPr>
          <w:p>
            <w:pPr>
              <w:ind w:left="120"/>
              <w:spacing w:after="0" w:line="137" w:lineRule="exact"/>
              <w:rPr>
                <w:sz w:val="20"/>
                <w:szCs w:val="20"/>
                <w:color w:val="auto"/>
              </w:rPr>
            </w:pPr>
            <w:r>
              <w:rPr>
                <w:rFonts w:ascii="Arial" w:cs="Arial" w:eastAsia="Arial" w:hAnsi="Arial"/>
                <w:sz w:val="12"/>
                <w:szCs w:val="12"/>
                <w:color w:val="auto"/>
                <w:w w:val="94"/>
              </w:rPr>
              <w:t>Coussens(5)</w:t>
            </w:r>
          </w:p>
        </w:tc>
        <w:tc>
          <w:tcPr>
            <w:tcW w:w="400" w:type="dxa"/>
            <w:vAlign w:val="bottom"/>
            <w:shd w:val="clear" w:color="auto" w:fill="CCEEFF"/>
          </w:tcPr>
          <w:p>
            <w:pPr>
              <w:jc w:val="center"/>
              <w:ind w:left="81"/>
              <w:spacing w:after="0" w:line="137" w:lineRule="exact"/>
              <w:rPr>
                <w:sz w:val="20"/>
                <w:szCs w:val="20"/>
                <w:color w:val="auto"/>
              </w:rPr>
            </w:pPr>
            <w:r>
              <w:rPr>
                <w:rFonts w:ascii="Arial" w:cs="Arial" w:eastAsia="Arial" w:hAnsi="Arial"/>
                <w:sz w:val="12"/>
                <w:szCs w:val="12"/>
                <w:color w:val="auto"/>
                <w:w w:val="86"/>
              </w:rPr>
              <w:t>6,650</w:t>
            </w:r>
          </w:p>
        </w:tc>
        <w:tc>
          <w:tcPr>
            <w:tcW w:w="660" w:type="dxa"/>
            <w:vAlign w:val="bottom"/>
            <w:gridSpan w:val="3"/>
            <w:shd w:val="clear" w:color="auto" w:fill="CCEEFF"/>
          </w:tcPr>
          <w:p>
            <w:pPr>
              <w:ind w:left="260"/>
              <w:spacing w:after="0" w:line="137" w:lineRule="exact"/>
              <w:rPr>
                <w:sz w:val="20"/>
                <w:szCs w:val="20"/>
                <w:color w:val="auto"/>
              </w:rPr>
            </w:pPr>
            <w:r>
              <w:rPr>
                <w:rFonts w:ascii="Arial" w:cs="Arial" w:eastAsia="Arial" w:hAnsi="Arial"/>
                <w:sz w:val="12"/>
                <w:szCs w:val="12"/>
                <w:color w:val="auto"/>
              </w:rPr>
              <w:t>0.01%</w:t>
            </w:r>
          </w:p>
        </w:tc>
        <w:tc>
          <w:tcPr>
            <w:tcW w:w="520" w:type="dxa"/>
            <w:vAlign w:val="bottom"/>
            <w:gridSpan w:val="2"/>
            <w:shd w:val="clear" w:color="auto" w:fill="CCEEFF"/>
          </w:tcPr>
          <w:p>
            <w:pPr>
              <w:jc w:val="center"/>
              <w:spacing w:after="0" w:line="137" w:lineRule="exact"/>
              <w:rPr>
                <w:sz w:val="20"/>
                <w:szCs w:val="20"/>
                <w:color w:val="auto"/>
              </w:rPr>
            </w:pPr>
            <w:r>
              <w:rPr>
                <w:rFonts w:ascii="Arial" w:cs="Arial" w:eastAsia="Arial" w:hAnsi="Arial"/>
                <w:sz w:val="12"/>
                <w:szCs w:val="12"/>
                <w:color w:val="auto"/>
                <w:w w:val="93"/>
              </w:rPr>
              <w:t>6,650</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rPr>
              <w:t>0.01%</w:t>
            </w:r>
          </w:p>
        </w:tc>
        <w:tc>
          <w:tcPr>
            <w:tcW w:w="520" w:type="dxa"/>
            <w:vAlign w:val="bottom"/>
            <w:gridSpan w:val="2"/>
            <w:shd w:val="clear" w:color="auto" w:fill="CCEEFF"/>
          </w:tcPr>
          <w:p>
            <w:pPr>
              <w:jc w:val="center"/>
              <w:ind w:right="20"/>
              <w:spacing w:after="0" w:line="137" w:lineRule="exact"/>
              <w:rPr>
                <w:sz w:val="20"/>
                <w:szCs w:val="20"/>
                <w:color w:val="auto"/>
              </w:rPr>
            </w:pPr>
            <w:r>
              <w:rPr>
                <w:rFonts w:ascii="Arial" w:cs="Arial" w:eastAsia="Arial" w:hAnsi="Arial"/>
                <w:sz w:val="12"/>
                <w:szCs w:val="12"/>
                <w:color w:val="auto"/>
                <w:w w:val="86"/>
              </w:rPr>
              <w:t>6,650</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rPr>
              <w:t>0.01%</w:t>
            </w:r>
          </w:p>
        </w:tc>
        <w:tc>
          <w:tcPr>
            <w:tcW w:w="700" w:type="dxa"/>
            <w:vAlign w:val="bottom"/>
            <w:gridSpan w:val="3"/>
            <w:shd w:val="clear" w:color="auto" w:fill="CCEEFF"/>
          </w:tcPr>
          <w:p>
            <w:pPr>
              <w:ind w:left="400"/>
              <w:spacing w:after="0" w:line="137"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ind w:left="5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380"/>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380"/>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80"/>
              <w:spacing w:after="0" w:line="137" w:lineRule="exact"/>
              <w:rPr>
                <w:sz w:val="20"/>
                <w:szCs w:val="20"/>
                <w:color w:val="auto"/>
              </w:rPr>
            </w:pPr>
            <w:r>
              <w:rPr>
                <w:rFonts w:ascii="Arial" w:cs="Arial" w:eastAsia="Arial" w:hAnsi="Arial"/>
                <w:sz w:val="12"/>
                <w:szCs w:val="12"/>
                <w:color w:val="auto"/>
              </w:rPr>
              <w:t>—</w:t>
            </w:r>
          </w:p>
        </w:tc>
      </w:tr>
      <w:tr>
        <w:trPr>
          <w:trHeight w:val="105"/>
        </w:trPr>
        <w:tc>
          <w:tcPr>
            <w:tcW w:w="780" w:type="dxa"/>
            <w:vAlign w:val="bottom"/>
            <w:gridSpan w:val="2"/>
          </w:tcPr>
          <w:p>
            <w:pPr>
              <w:spacing w:after="0" w:line="106" w:lineRule="exact"/>
              <w:rPr>
                <w:sz w:val="20"/>
                <w:szCs w:val="20"/>
                <w:color w:val="auto"/>
              </w:rPr>
            </w:pPr>
            <w:r>
              <w:rPr>
                <w:rFonts w:ascii="Arial" w:cs="Arial" w:eastAsia="Arial" w:hAnsi="Arial"/>
                <w:sz w:val="12"/>
                <w:szCs w:val="12"/>
                <w:color w:val="auto"/>
              </w:rPr>
              <w:t>Nell M.</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36"/>
        </w:trPr>
        <w:tc>
          <w:tcPr>
            <w:tcW w:w="78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Blatherwick</w:t>
            </w:r>
          </w:p>
        </w:tc>
        <w:tc>
          <w:tcPr>
            <w:tcW w:w="400" w:type="dxa"/>
            <w:vAlign w:val="bottom"/>
          </w:tcPr>
          <w:p>
            <w:pPr>
              <w:jc w:val="center"/>
              <w:ind w:left="101"/>
              <w:spacing w:after="0" w:line="137" w:lineRule="exact"/>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1"/>
                <w:szCs w:val="11"/>
                <w:color w:val="auto"/>
              </w:rPr>
            </w:pPr>
          </w:p>
        </w:tc>
        <w:tc>
          <w:tcPr>
            <w:tcW w:w="540" w:type="dxa"/>
            <w:vAlign w:val="bottom"/>
            <w:gridSpan w:val="2"/>
          </w:tcPr>
          <w:p>
            <w:pPr>
              <w:ind w:left="18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60"/>
              <w:spacing w:after="0" w:line="137" w:lineRule="exact"/>
              <w:rPr>
                <w:sz w:val="20"/>
                <w:szCs w:val="20"/>
                <w:color w:val="auto"/>
              </w:rPr>
            </w:pPr>
            <w:r>
              <w:rPr>
                <w:rFonts w:ascii="Arial" w:cs="Arial" w:eastAsia="Arial" w:hAnsi="Arial"/>
                <w:sz w:val="12"/>
                <w:szCs w:val="12"/>
                <w:color w:val="auto"/>
                <w:w w:val="99"/>
              </w:rPr>
              <w:t>—</w:t>
            </w:r>
          </w:p>
        </w:tc>
        <w:tc>
          <w:tcPr>
            <w:tcW w:w="440" w:type="dxa"/>
            <w:vAlign w:val="bottom"/>
            <w:gridSpan w:val="2"/>
          </w:tcPr>
          <w:p>
            <w:pPr>
              <w:jc w:val="right"/>
              <w:ind w:right="260"/>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3"/>
          </w:tcPr>
          <w:p>
            <w:pPr>
              <w:jc w:val="center"/>
              <w:ind w:right="80"/>
              <w:spacing w:after="0" w:line="137" w:lineRule="exact"/>
              <w:rPr>
                <w:sz w:val="20"/>
                <w:szCs w:val="20"/>
                <w:color w:val="auto"/>
              </w:rPr>
            </w:pPr>
            <w:r>
              <w:rPr>
                <w:rFonts w:ascii="Arial" w:cs="Arial" w:eastAsia="Arial" w:hAnsi="Arial"/>
                <w:sz w:val="12"/>
                <w:szCs w:val="12"/>
                <w:color w:val="auto"/>
                <w:w w:val="82"/>
              </w:rPr>
              <w:t>—</w:t>
            </w:r>
          </w:p>
        </w:tc>
        <w:tc>
          <w:tcPr>
            <w:tcW w:w="42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1,163,963</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1.10%</w:t>
            </w:r>
          </w:p>
        </w:tc>
        <w:tc>
          <w:tcPr>
            <w:tcW w:w="84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112,603</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1,051,360</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1.08%</w:t>
            </w:r>
          </w:p>
        </w:tc>
        <w:tc>
          <w:tcPr>
            <w:tcW w:w="8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40,053</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1,011,896</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1.07%</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1,051,360</w:t>
            </w:r>
          </w:p>
        </w:tc>
        <w:tc>
          <w:tcPr>
            <w:tcW w:w="52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1.06%</w:t>
            </w:r>
          </w:p>
        </w:tc>
      </w:tr>
      <w:tr>
        <w:trPr>
          <w:trHeight w:val="103"/>
        </w:trPr>
        <w:tc>
          <w:tcPr>
            <w:tcW w:w="78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All executive</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r>
      <w:tr>
        <w:trPr>
          <w:trHeight w:val="121"/>
        </w:trPr>
        <w:tc>
          <w:tcPr>
            <w:tcW w:w="78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2"/>
                <w:szCs w:val="12"/>
                <w:b w:val="1"/>
                <w:bCs w:val="1"/>
                <w:color w:val="auto"/>
                <w:w w:val="94"/>
              </w:rPr>
              <w:t>officers and</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21"/>
        </w:trPr>
        <w:tc>
          <w:tcPr>
            <w:tcW w:w="78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2"/>
                <w:szCs w:val="12"/>
                <w:b w:val="1"/>
                <w:bCs w:val="1"/>
                <w:color w:val="auto"/>
                <w:w w:val="94"/>
              </w:rPr>
              <w:t>directors as</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21"/>
        </w:trPr>
        <w:tc>
          <w:tcPr>
            <w:tcW w:w="78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2"/>
                <w:szCs w:val="12"/>
                <w:b w:val="1"/>
                <w:bCs w:val="1"/>
                <w:color w:val="auto"/>
                <w:w w:val="98"/>
              </w:rPr>
              <w:t>a group (10</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38"/>
        </w:trPr>
        <w:tc>
          <w:tcPr>
            <w:tcW w:w="78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w w:val="95"/>
              </w:rPr>
              <w:t>individuals)</w:t>
            </w:r>
          </w:p>
        </w:tc>
        <w:tc>
          <w:tcPr>
            <w:tcW w:w="400" w:type="dxa"/>
            <w:vAlign w:val="bottom"/>
            <w:shd w:val="clear" w:color="auto" w:fill="CCEEFF"/>
          </w:tcPr>
          <w:p>
            <w:pPr>
              <w:jc w:val="center"/>
              <w:ind w:left="81"/>
              <w:spacing w:after="0"/>
              <w:rPr>
                <w:sz w:val="20"/>
                <w:szCs w:val="20"/>
                <w:color w:val="auto"/>
              </w:rPr>
            </w:pPr>
            <w:r>
              <w:rPr>
                <w:rFonts w:ascii="Arial" w:cs="Arial" w:eastAsia="Arial" w:hAnsi="Arial"/>
                <w:sz w:val="12"/>
                <w:szCs w:val="12"/>
                <w:b w:val="1"/>
                <w:bCs w:val="1"/>
                <w:color w:val="auto"/>
                <w:w w:val="86"/>
              </w:rPr>
              <w:t>6,650</w:t>
            </w:r>
          </w:p>
        </w:tc>
        <w:tc>
          <w:tcPr>
            <w:tcW w:w="660" w:type="dxa"/>
            <w:vAlign w:val="bottom"/>
            <w:gridSpan w:val="3"/>
            <w:shd w:val="clear" w:color="auto" w:fill="CCEEFF"/>
          </w:tcPr>
          <w:p>
            <w:pPr>
              <w:ind w:left="260"/>
              <w:spacing w:after="0"/>
              <w:rPr>
                <w:sz w:val="20"/>
                <w:szCs w:val="20"/>
                <w:color w:val="auto"/>
              </w:rPr>
            </w:pPr>
            <w:r>
              <w:rPr>
                <w:rFonts w:ascii="Arial" w:cs="Arial" w:eastAsia="Arial" w:hAnsi="Arial"/>
                <w:sz w:val="12"/>
                <w:szCs w:val="12"/>
                <w:b w:val="1"/>
                <w:bCs w:val="1"/>
                <w:color w:val="auto"/>
              </w:rPr>
              <w:t>0.01%</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2"/>
                <w:szCs w:val="12"/>
                <w:b w:val="1"/>
                <w:bCs w:val="1"/>
                <w:color w:val="auto"/>
                <w:w w:val="93"/>
              </w:rPr>
              <w:t>6,650</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0.01%</w:t>
            </w: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b w:val="1"/>
                <w:bCs w:val="1"/>
                <w:color w:val="auto"/>
                <w:w w:val="86"/>
              </w:rPr>
              <w:t>6,650</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0.01%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35,693,059</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8"/>
              </w:rPr>
              <w:t>33.78%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3,052,583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32,640,476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33.60%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899,141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31,415,282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8"/>
              </w:rPr>
              <w:t>33.37%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32,640,476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98"/>
              </w:rPr>
              <w:t>32.92%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-1687830</wp:posOffset>
            </wp:positionV>
            <wp:extent cx="228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 cy="698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-1778635</wp:posOffset>
            </wp:positionV>
            <wp:extent cx="228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ectPr>
          <w:pgSz w:w="11900" w:h="16838" w:orient="portrait"/>
          <w:cols w:equalWidth="0" w:num="1">
            <w:col w:w="10220"/>
          </w:cols>
          <w:pgMar w:left="1440" w:top="243" w:right="239" w:bottom="1440" w:gutter="0" w:footer="0" w:header="0"/>
        </w:sectPr>
      </w:pPr>
    </w:p>
    <w:bookmarkStart w:id="4" w:name="page5"/>
    <w:bookmarkEnd w:id="4"/>
    <w:p>
      <w:pPr>
        <w:ind w:left="380" w:right="119" w:firstLine="344"/>
        <w:spacing w:after="0" w:line="294" w:lineRule="auto"/>
        <w:tabs>
          <w:tab w:leader="none" w:pos="931" w:val="left"/>
        </w:tabs>
        <w:numPr>
          <w:ilvl w:val="1"/>
          <w:numId w:val="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Shares beneficially owned by 210/P10 Acquisition Partners, LLC (“210/P10”). 210/P10 is managed by its sole member, 210 Capital, LLC (“210 Capital”), which is managed by its members Covenant RHA Partners, L.P. (“RHA Partners”) and CCW/LAW Holdings, LLC (“CCW Holdings”). Mr. Webb has the power to direct the affairs of CCW Holdings as its sole member. In addition, RHA Partners is managed by its general partner RHA Investments, Inc. (“RHA Investments”), and Robert Alpert has the power to direct the affairs of RHA Investments as its President and sole shareholder. Accordingly, 210/P10 may be deemed to share voting and dispositive power with 210 Capital, RHA Partners, CCW Holdings, RHA Investments, Mr. Alpert and Mr. Webb over the shares of the Issuer’s common stock that it holds.</w:t>
      </w:r>
    </w:p>
    <w:p>
      <w:pPr>
        <w:spacing w:after="0" w:line="43" w:lineRule="exact"/>
        <w:rPr>
          <w:rFonts w:ascii="Arial" w:cs="Arial" w:eastAsia="Arial" w:hAnsi="Arial"/>
          <w:sz w:val="13"/>
          <w:szCs w:val="13"/>
          <w:color w:val="auto"/>
        </w:rPr>
      </w:pPr>
    </w:p>
    <w:p>
      <w:pPr>
        <w:ind w:left="940" w:hanging="216"/>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Shares beneficially owned by Souder Family LLC. Mr. Souder has the power to direct the affairs of Souder Family LLC as its managing</w:t>
      </w:r>
    </w:p>
    <w:p>
      <w:pPr>
        <w:spacing w:after="0" w:line="36"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5"/>
          <w:szCs w:val="15"/>
          <w:color w:val="auto"/>
        </w:rPr>
        <w:t>member.</w:t>
      </w:r>
    </w:p>
    <w:p>
      <w:pPr>
        <w:spacing w:after="0" w:line="80" w:lineRule="exact"/>
        <w:rPr>
          <w:rFonts w:ascii="Arial" w:cs="Arial" w:eastAsia="Arial" w:hAnsi="Arial"/>
          <w:sz w:val="13"/>
          <w:szCs w:val="13"/>
          <w:color w:val="auto"/>
        </w:rPr>
      </w:pPr>
    </w:p>
    <w:p>
      <w:pPr>
        <w:ind w:left="380" w:right="599" w:firstLine="344"/>
        <w:spacing w:after="0" w:line="264" w:lineRule="auto"/>
        <w:tabs>
          <w:tab w:leader="none" w:pos="931" w:val="left"/>
        </w:tabs>
        <w:numPr>
          <w:ilvl w:val="1"/>
          <w:numId w:val="4"/>
        </w:numPr>
        <w:rPr>
          <w:rFonts w:ascii="Arial" w:cs="Arial" w:eastAsia="Arial" w:hAnsi="Arial"/>
          <w:sz w:val="15"/>
          <w:szCs w:val="15"/>
          <w:color w:val="auto"/>
        </w:rPr>
      </w:pPr>
      <w:r>
        <w:rPr>
          <w:rFonts w:ascii="Arial" w:cs="Arial" w:eastAsia="Arial" w:hAnsi="Arial"/>
          <w:sz w:val="15"/>
          <w:szCs w:val="15"/>
          <w:color w:val="auto"/>
        </w:rPr>
        <w:t>Shares beneficially owned by TrueBridge Colonial Fund, u/a dated 11/15/2015. Mr. Poston has the power to direct the affairs of TrueBridge Colonial Fund, u/a dated 11/15/2015 as its trustee.</w:t>
      </w:r>
    </w:p>
    <w:p>
      <w:pPr>
        <w:spacing w:after="0" w:line="60" w:lineRule="exact"/>
        <w:rPr>
          <w:rFonts w:ascii="Arial" w:cs="Arial" w:eastAsia="Arial" w:hAnsi="Arial"/>
          <w:sz w:val="15"/>
          <w:szCs w:val="15"/>
          <w:color w:val="auto"/>
        </w:rPr>
      </w:pPr>
    </w:p>
    <w:p>
      <w:pPr>
        <w:ind w:left="380" w:right="59" w:firstLine="344"/>
        <w:spacing w:after="0" w:line="264" w:lineRule="auto"/>
        <w:tabs>
          <w:tab w:leader="none" w:pos="931" w:val="left"/>
        </w:tabs>
        <w:numPr>
          <w:ilvl w:val="1"/>
          <w:numId w:val="4"/>
        </w:numPr>
        <w:rPr>
          <w:rFonts w:ascii="Arial" w:cs="Arial" w:eastAsia="Arial" w:hAnsi="Arial"/>
          <w:sz w:val="15"/>
          <w:szCs w:val="15"/>
          <w:color w:val="auto"/>
        </w:rPr>
      </w:pPr>
      <w:r>
        <w:rPr>
          <w:rFonts w:ascii="Arial" w:cs="Arial" w:eastAsia="Arial" w:hAnsi="Arial"/>
          <w:sz w:val="15"/>
          <w:szCs w:val="15"/>
          <w:color w:val="auto"/>
        </w:rPr>
        <w:t>Shares beneficially owned by the Jeff P. Gehl Living Trust dated January 25, 2011. Mr. Gehl has the power to direct the affairs of the Jeff P. Gehl Living Trust dated January 25, 2011 as its trustee.</w:t>
      </w:r>
    </w:p>
    <w:p>
      <w:pPr>
        <w:spacing w:after="0" w:line="59" w:lineRule="exact"/>
        <w:rPr>
          <w:rFonts w:ascii="Arial" w:cs="Arial" w:eastAsia="Arial" w:hAnsi="Arial"/>
          <w:sz w:val="15"/>
          <w:szCs w:val="15"/>
          <w:color w:val="auto"/>
        </w:rPr>
      </w:pPr>
    </w:p>
    <w:p>
      <w:pPr>
        <w:ind w:left="940" w:hanging="216"/>
        <w:spacing w:after="0"/>
        <w:tabs>
          <w:tab w:leader="none" w:pos="940" w:val="left"/>
        </w:tabs>
        <w:numPr>
          <w:ilvl w:val="1"/>
          <w:numId w:val="4"/>
        </w:numPr>
        <w:rPr>
          <w:rFonts w:ascii="Arial" w:cs="Arial" w:eastAsia="Arial" w:hAnsi="Arial"/>
          <w:sz w:val="15"/>
          <w:szCs w:val="15"/>
          <w:color w:val="auto"/>
        </w:rPr>
      </w:pPr>
      <w:r>
        <w:rPr>
          <w:rFonts w:ascii="Arial" w:cs="Arial" w:eastAsia="Arial" w:hAnsi="Arial"/>
          <w:sz w:val="15"/>
          <w:szCs w:val="15"/>
          <w:color w:val="auto"/>
        </w:rPr>
        <w:t>Consists of options to purchase 6,605 shares of Class A common stock exercisable within 60 days of October 12, 2021.</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SELLING STOCKHOLDERS</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table sets forth the total number of shares of Class B common stock beneficially owned by the selling stockholders (i) before the offering,</w:t>
      </w:r>
    </w:p>
    <w:p>
      <w:pPr>
        <w:spacing w:after="0" w:line="37" w:lineRule="exact"/>
        <w:rPr>
          <w:sz w:val="20"/>
          <w:szCs w:val="20"/>
          <w:color w:val="auto"/>
        </w:rPr>
      </w:pPr>
    </w:p>
    <w:p>
      <w:pPr>
        <w:ind w:left="20" w:right="39" w:firstLine="1"/>
        <w:spacing w:after="0" w:line="265"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color w:val="auto"/>
        </w:rPr>
        <w:t>after giving effect to the sale of shares by the selling stockholders in the offering and (iii) as a result of the exercise of the underwriters’ over-allotment option in full. As the Class B common stock is automatically convertible at any time into one share of Class A common stock, pursuant to Rule 13d-3 of the Exchange Act, the selling stockholders will be the beneficial owner of the same number of shares of Class A common stock as Class B common stock. This table does not reflect beneficial ownership of Class A common stock as a result of beneficial ownership of the Class B common stock. In addition, as the holders of Class B common stock are entitled to ten votes for each share of Class B common stock, the following table also sets forth the voting power of the selling stockholders after giving effect to the offering and the exercise of the underwriters’ over-allotment option. The shares being sold by each selling stockholder are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67945</wp:posOffset>
            </wp:positionV>
            <wp:extent cx="5692775" cy="537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775" cy="53721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8"/>
          </w:tcPr>
          <w:p>
            <w:pPr>
              <w:ind w:left="260"/>
              <w:spacing w:after="0"/>
              <w:rPr>
                <w:sz w:val="20"/>
                <w:szCs w:val="20"/>
                <w:color w:val="auto"/>
              </w:rPr>
            </w:pPr>
            <w:r>
              <w:rPr>
                <w:rFonts w:ascii="Arial" w:cs="Arial" w:eastAsia="Arial" w:hAnsi="Arial"/>
                <w:sz w:val="12"/>
                <w:szCs w:val="12"/>
                <w:b w:val="1"/>
                <w:bCs w:val="1"/>
                <w:color w:val="auto"/>
              </w:rPr>
              <w:t>Class B Common Stock Beneficially Owned</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b w:val="1"/>
                <w:bCs w:val="1"/>
                <w:color w:val="auto"/>
              </w:rPr>
              <w:t>Combined Voting Power</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rPr>
              <w:t>Additional</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5"/>
              </w:rPr>
              <w:t>Shares Offered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90"/>
              </w:rPr>
              <w:t>After Giving</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9"/>
              </w:rPr>
              <w:t>Effect to the</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110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90"/>
              </w:rPr>
              <w:t>After Giving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Shares</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Effect to the</w:t>
            </w:r>
          </w:p>
        </w:tc>
        <w:tc>
          <w:tcPr>
            <w:tcW w:w="86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5"/>
              </w:rPr>
              <w:t>Transactions</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Effect to the</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Effect to the</w:t>
            </w:r>
          </w:p>
        </w:tc>
        <w:tc>
          <w:tcPr>
            <w:tcW w:w="110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89"/>
              </w:rPr>
              <w:t>Effect to the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8"/>
              </w:rPr>
              <w:t>Offered</w:t>
            </w:r>
          </w:p>
        </w:tc>
        <w:tc>
          <w:tcPr>
            <w:tcW w:w="116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86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6"/>
              </w:rPr>
              <w:t>and this</w:t>
            </w:r>
          </w:p>
        </w:tc>
        <w:tc>
          <w:tcPr>
            <w:tcW w:w="116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114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110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5"/>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5"/>
              </w:rPr>
              <w:t>Assuming No</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this Offering</w:t>
            </w: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9"/>
              </w:rPr>
              <w:t>Offering</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this Offering</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9"/>
              </w:rPr>
              <w:t>this Offering</w:t>
            </w:r>
          </w:p>
        </w:tc>
        <w:tc>
          <w:tcPr>
            <w:tcW w:w="1100" w:type="dxa"/>
            <w:vAlign w:val="bottom"/>
            <w:gridSpan w:val="4"/>
          </w:tcPr>
          <w:p>
            <w:pPr>
              <w:jc w:val="center"/>
              <w:ind w:right="100"/>
              <w:spacing w:after="0" w:line="121" w:lineRule="exact"/>
              <w:rPr>
                <w:sz w:val="20"/>
                <w:szCs w:val="20"/>
                <w:color w:val="auto"/>
              </w:rPr>
            </w:pPr>
            <w:r>
              <w:rPr>
                <w:rFonts w:ascii="Arial" w:cs="Arial" w:eastAsia="Arial" w:hAnsi="Arial"/>
                <w:sz w:val="12"/>
                <w:szCs w:val="12"/>
                <w:b w:val="1"/>
                <w:bCs w:val="1"/>
                <w:color w:val="auto"/>
                <w:w w:val="89"/>
              </w:rPr>
              <w:t>this Offering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Effect to the</w:t>
            </w: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Exercise of</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7"/>
              </w:rPr>
              <w:t>Assuming No</w:t>
            </w: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9"/>
              </w:rPr>
              <w:t>Assuming Full</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7"/>
              </w:rPr>
              <w:t>Assuming Full</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7"/>
              </w:rPr>
              <w:t>Assuming No</w:t>
            </w:r>
          </w:p>
        </w:tc>
        <w:tc>
          <w:tcPr>
            <w:tcW w:w="110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89"/>
              </w:rPr>
              <w:t>Assuming Full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Transactions and</w:t>
            </w:r>
          </w:p>
        </w:tc>
        <w:tc>
          <w:tcPr>
            <w:tcW w:w="84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8"/>
              </w:rPr>
              <w:t>the</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84"/>
              </w:rPr>
              <w:t>Exercise of the</w:t>
            </w: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86"/>
              </w:rPr>
              <w:t>Exercise of the</w:t>
            </w:r>
          </w:p>
        </w:tc>
        <w:tc>
          <w:tcPr>
            <w:tcW w:w="116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6"/>
              </w:rPr>
              <w:t>Exercise of the</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84"/>
              </w:rPr>
              <w:t>Exercise of the</w:t>
            </w:r>
          </w:p>
        </w:tc>
        <w:tc>
          <w:tcPr>
            <w:tcW w:w="110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86"/>
              </w:rPr>
              <w:t>Exercise of the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5"/>
          </w:tcPr>
          <w:p>
            <w:pPr>
              <w:jc w:val="center"/>
              <w:ind w:right="200"/>
              <w:spacing w:after="0" w:line="121" w:lineRule="exact"/>
              <w:rPr>
                <w:sz w:val="20"/>
                <w:szCs w:val="20"/>
                <w:color w:val="auto"/>
              </w:rPr>
            </w:pPr>
            <w:r>
              <w:rPr>
                <w:rFonts w:ascii="Arial" w:cs="Arial" w:eastAsia="Arial" w:hAnsi="Arial"/>
                <w:sz w:val="12"/>
                <w:szCs w:val="12"/>
                <w:b w:val="1"/>
                <w:bCs w:val="1"/>
                <w:color w:val="auto"/>
                <w:w w:val="86"/>
              </w:rPr>
              <w:t>Before this</w:t>
            </w:r>
          </w:p>
        </w:tc>
        <w:tc>
          <w:tcPr>
            <w:tcW w:w="84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93"/>
              </w:rPr>
              <w:t>Underwriters’</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Underwriters’</w:t>
            </w:r>
          </w:p>
        </w:tc>
        <w:tc>
          <w:tcPr>
            <w:tcW w:w="86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90"/>
              </w:rPr>
              <w:t>Underwriters’</w:t>
            </w:r>
          </w:p>
        </w:tc>
        <w:tc>
          <w:tcPr>
            <w:tcW w:w="1160" w:type="dxa"/>
            <w:vAlign w:val="bottom"/>
            <w:gridSpan w:val="4"/>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Underwriters’</w:t>
            </w:r>
          </w:p>
        </w:tc>
        <w:tc>
          <w:tcPr>
            <w:tcW w:w="1140" w:type="dxa"/>
            <w:vAlign w:val="bottom"/>
            <w:gridSpan w:val="4"/>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Underwriters’</w:t>
            </w:r>
          </w:p>
        </w:tc>
        <w:tc>
          <w:tcPr>
            <w:tcW w:w="1100" w:type="dxa"/>
            <w:vAlign w:val="bottom"/>
            <w:gridSpan w:val="4"/>
          </w:tcPr>
          <w:p>
            <w:pPr>
              <w:jc w:val="center"/>
              <w:ind w:right="120"/>
              <w:spacing w:after="0" w:line="121" w:lineRule="exact"/>
              <w:rPr>
                <w:sz w:val="20"/>
                <w:szCs w:val="20"/>
                <w:color w:val="auto"/>
              </w:rPr>
            </w:pPr>
            <w:r>
              <w:rPr>
                <w:rFonts w:ascii="Arial" w:cs="Arial" w:eastAsia="Arial" w:hAnsi="Arial"/>
                <w:sz w:val="12"/>
                <w:szCs w:val="12"/>
                <w:b w:val="1"/>
                <w:bCs w:val="1"/>
                <w:color w:val="auto"/>
                <w:w w:val="90"/>
              </w:rPr>
              <w:t>Underwriters’</w:t>
            </w:r>
          </w:p>
        </w:tc>
        <w:tc>
          <w:tcPr>
            <w:tcW w:w="0" w:type="dxa"/>
            <w:vAlign w:val="bottom"/>
          </w:tcPr>
          <w:p>
            <w:pPr>
              <w:spacing w:after="0"/>
              <w:rPr>
                <w:sz w:val="1"/>
                <w:szCs w:val="1"/>
                <w:color w:val="auto"/>
              </w:rPr>
            </w:pPr>
          </w:p>
        </w:tc>
      </w:tr>
      <w:tr>
        <w:trPr>
          <w:trHeight w:val="138"/>
        </w:trPr>
        <w:tc>
          <w:tcPr>
            <w:tcW w:w="1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w:t>
            </w:r>
          </w:p>
        </w:tc>
        <w:tc>
          <w:tcPr>
            <w:tcW w:w="700" w:type="dxa"/>
            <w:vAlign w:val="bottom"/>
            <w:gridSpan w:val="3"/>
          </w:tcPr>
          <w:p>
            <w:pPr>
              <w:jc w:val="center"/>
              <w:ind w:left="181"/>
              <w:spacing w:after="0"/>
              <w:rPr>
                <w:sz w:val="20"/>
                <w:szCs w:val="20"/>
                <w:color w:val="auto"/>
              </w:rPr>
            </w:pPr>
            <w:r>
              <w:rPr>
                <w:rFonts w:ascii="Arial" w:cs="Arial" w:eastAsia="Arial" w:hAnsi="Arial"/>
                <w:sz w:val="12"/>
                <w:szCs w:val="12"/>
                <w:b w:val="1"/>
                <w:bCs w:val="1"/>
                <w:color w:val="auto"/>
                <w:w w:val="89"/>
              </w:rPr>
              <w:t>Offering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Option</w:t>
            </w:r>
          </w:p>
        </w:tc>
        <w:tc>
          <w:tcPr>
            <w:tcW w:w="660" w:type="dxa"/>
            <w:vAlign w:val="bottom"/>
            <w:gridSpan w:val="2"/>
          </w:tcPr>
          <w:p>
            <w:pPr>
              <w:jc w:val="center"/>
              <w:ind w:left="241"/>
              <w:spacing w:after="0"/>
              <w:rPr>
                <w:sz w:val="20"/>
                <w:szCs w:val="20"/>
                <w:color w:val="auto"/>
              </w:rPr>
            </w:pPr>
            <w:r>
              <w:rPr>
                <w:rFonts w:ascii="Arial" w:cs="Arial" w:eastAsia="Arial" w:hAnsi="Arial"/>
                <w:sz w:val="12"/>
                <w:szCs w:val="12"/>
                <w:b w:val="1"/>
                <w:bCs w:val="1"/>
                <w:color w:val="auto"/>
                <w:w w:val="92"/>
              </w:rPr>
              <w:t>Option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Option</w:t>
            </w:r>
          </w:p>
        </w:tc>
        <w:tc>
          <w:tcPr>
            <w:tcW w:w="680" w:type="dxa"/>
            <w:vAlign w:val="bottom"/>
            <w:gridSpan w:val="2"/>
          </w:tcPr>
          <w:p>
            <w:pPr>
              <w:jc w:val="center"/>
              <w:ind w:left="221"/>
              <w:spacing w:after="0"/>
              <w:rPr>
                <w:sz w:val="20"/>
                <w:szCs w:val="20"/>
                <w:color w:val="auto"/>
              </w:rPr>
            </w:pPr>
            <w:r>
              <w:rPr>
                <w:rFonts w:ascii="Arial" w:cs="Arial" w:eastAsia="Arial" w:hAnsi="Arial"/>
                <w:sz w:val="12"/>
                <w:szCs w:val="12"/>
                <w:b w:val="1"/>
                <w:bCs w:val="1"/>
                <w:color w:val="auto"/>
                <w:w w:val="92"/>
              </w:rPr>
              <w:t>Option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left="241"/>
              <w:spacing w:after="0"/>
              <w:rPr>
                <w:sz w:val="20"/>
                <w:szCs w:val="20"/>
                <w:color w:val="auto"/>
              </w:rPr>
            </w:pPr>
            <w:r>
              <w:rPr>
                <w:rFonts w:ascii="Arial" w:cs="Arial" w:eastAsia="Arial" w:hAnsi="Arial"/>
                <w:sz w:val="12"/>
                <w:szCs w:val="12"/>
                <w:b w:val="1"/>
                <w:bCs w:val="1"/>
                <w:color w:val="auto"/>
                <w:w w:val="92"/>
              </w:rPr>
              <w:t>Option</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left="241"/>
              <w:spacing w:after="0"/>
              <w:rPr>
                <w:sz w:val="20"/>
                <w:szCs w:val="20"/>
                <w:color w:val="auto"/>
              </w:rPr>
            </w:pPr>
            <w:r>
              <w:rPr>
                <w:rFonts w:ascii="Arial" w:cs="Arial" w:eastAsia="Arial" w:hAnsi="Arial"/>
                <w:sz w:val="12"/>
                <w:szCs w:val="12"/>
                <w:b w:val="1"/>
                <w:bCs w:val="1"/>
                <w:color w:val="auto"/>
                <w:w w:val="87"/>
              </w:rPr>
              <w:t>Option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60" w:type="dxa"/>
            <w:vAlign w:val="bottom"/>
            <w:gridSpan w:val="3"/>
            <w:vMerge w:val="continue"/>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Stockholder</w:t>
            </w: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Share</w:t>
            </w:r>
          </w:p>
        </w:tc>
        <w:tc>
          <w:tcPr>
            <w:tcW w:w="260" w:type="dxa"/>
            <w:vAlign w:val="bottom"/>
          </w:tcPr>
          <w:p>
            <w:pPr>
              <w:jc w:val="right"/>
              <w:ind w:right="41"/>
              <w:spacing w:after="0" w:line="132"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8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8"/>
              </w:rPr>
              <w:t>Offered</w:t>
            </w:r>
          </w:p>
        </w:tc>
        <w:tc>
          <w:tcPr>
            <w:tcW w:w="6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Share</w:t>
            </w:r>
          </w:p>
        </w:tc>
        <w:tc>
          <w:tcPr>
            <w:tcW w:w="300" w:type="dxa"/>
            <w:vAlign w:val="bottom"/>
          </w:tcPr>
          <w:p>
            <w:pPr>
              <w:jc w:val="right"/>
              <w:ind w:right="21"/>
              <w:spacing w:after="0" w:line="132"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86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5"/>
              </w:rPr>
              <w:t>Shares Offered</w:t>
            </w:r>
          </w:p>
        </w:tc>
        <w:tc>
          <w:tcPr>
            <w:tcW w:w="68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rPr>
              <w:t>Share</w:t>
            </w:r>
          </w:p>
        </w:tc>
        <w:tc>
          <w:tcPr>
            <w:tcW w:w="280" w:type="dxa"/>
            <w:vAlign w:val="bottom"/>
          </w:tcPr>
          <w:p>
            <w:pPr>
              <w:jc w:val="right"/>
              <w:ind w:right="21"/>
              <w:spacing w:after="0" w:line="132"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6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Share</w:t>
            </w:r>
          </w:p>
        </w:tc>
        <w:tc>
          <w:tcPr>
            <w:tcW w:w="300" w:type="dxa"/>
            <w:vAlign w:val="bottom"/>
          </w:tcPr>
          <w:p>
            <w:pPr>
              <w:jc w:val="right"/>
              <w:ind w:right="21"/>
              <w:spacing w:after="0" w:line="132"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rPr>
              <w:t>Share</w:t>
            </w:r>
          </w:p>
        </w:tc>
        <w:tc>
          <w:tcPr>
            <w:tcW w:w="300" w:type="dxa"/>
            <w:vAlign w:val="bottom"/>
          </w:tcPr>
          <w:p>
            <w:pPr>
              <w:jc w:val="right"/>
              <w:ind w:right="41"/>
              <w:spacing w:after="0" w:line="132"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540" w:type="dxa"/>
            <w:vAlign w:val="bottom"/>
            <w:gridSpan w:val="2"/>
            <w:shd w:val="clear" w:color="auto" w:fill="CCEEFF"/>
          </w:tcPr>
          <w:p>
            <w:pPr>
              <w:spacing w:after="0" w:line="77" w:lineRule="exact"/>
              <w:rPr>
                <w:sz w:val="20"/>
                <w:szCs w:val="20"/>
                <w:color w:val="auto"/>
              </w:rPr>
            </w:pPr>
            <w:r>
              <w:rPr>
                <w:rFonts w:ascii="Arial" w:cs="Arial" w:eastAsia="Arial" w:hAnsi="Arial"/>
                <w:sz w:val="8"/>
                <w:szCs w:val="8"/>
                <w:color w:val="auto"/>
              </w:rPr>
              <w:t>210/P10 Acquisition Partners</w:t>
            </w: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LLC(1)</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14,861,779</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83"/>
              </w:rPr>
              <w:t>14.07%</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1,172,884</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89"/>
              </w:rPr>
              <w:t>13,688,895</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93"/>
              </w:rPr>
              <w:t>14.09%</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521,498</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w w:val="89"/>
              </w:rPr>
              <w:t>13,175,068</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8"/>
              </w:rPr>
              <w:t>13.99%</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13,688,895</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3"/>
              </w:rPr>
              <w:t>13.81%</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w w:val="89"/>
              </w:rPr>
              <w:t>13,175,068</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93"/>
              </w:rPr>
              <w:t>13.66%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w w:val="99"/>
              </w:rPr>
              <w:t>National Christian Charitable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Foundation(2)</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293,221</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0.28%</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293,221</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0.00%</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0.00%</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0.00%</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0</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Thomas P. Danis, Jr., as</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Trustee of the Thomas P.</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w w:val="97"/>
              </w:rPr>
              <w:t>Danis, Jr. Revocable Living</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w w:val="94"/>
              </w:rPr>
              <w:t>Trust dated March 10, 2003,</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as amended(3)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4,905,274</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4.64%</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474,540</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4,430,734</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4.56%</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168,795</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4,430,734</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4.47%</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w w:val="97"/>
              </w:rPr>
              <w:t>Jeff P. Gehl as Trustee of the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Jeff P. Gehl Living Trust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dated January 25, 2011(4)</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4,905,274</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4.64%</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474,540</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4,430,734</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4.56%</w:t>
            </w:r>
          </w:p>
        </w:tc>
        <w:tc>
          <w:tcPr>
            <w:tcW w:w="8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168,795</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4.53%</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4,430,734</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4.47%</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4.42%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w w:val="91"/>
              </w:rPr>
              <w:t>Charles K. Huebner as Trustee</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of the Charles K. Huebner</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Trust dated January 16,</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2001(5)</w:t>
            </w:r>
          </w:p>
        </w:tc>
        <w:tc>
          <w:tcPr>
            <w:tcW w:w="9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4,905,274</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4.64%</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474,540</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4,430,734</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4.56%</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168,795</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4,430,734</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4.47%</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Souder Family LLC(6)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4,905,274</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4.64%</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474,540</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4,430,734</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4.56%</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168,795</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4,264,422</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4.53%</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4,430,734</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4.47%</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4,264,422</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4.42%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w w:val="96"/>
              </w:rPr>
              <w:t>Jon I. Madorsky as Trustee of</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the Jon I. Madorsky</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Revocable Trust dated</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December 1, 2008(7)</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4,905,274</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4.64%</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474,540</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4,430,734</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4.56%</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168,795</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4.53%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4,430,734</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4.47%</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4,264,422</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David McCoy(8)</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3,242,469</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3.07%</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313,679</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2,928,790</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3.01%</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111,577</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2,818,855</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2.99%</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2,928,790</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2.95%</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2,818,855</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Alexander Abell(9)</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1,579,665</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1.50%</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152,818</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1,426,847</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1.47%</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54,358</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1,373,289</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1.46%</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1,426,847</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1.44%</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1,373,289</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Michael Feinglass(10)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1,579,665</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1.50%</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152,818</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1,426,847</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1.47%</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54,358</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1,373,289</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1.46%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1,426,847</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1.44%</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1,373,289</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Andrew Nelson(11)</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1,163,963</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1.10%</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112,603</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1,051,360</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1.08%</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40,053</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1,011,896</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1.07%</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1,051,360</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1.06%</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1,011,896</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Nell Blatherwick(12)</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1,163,963</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1.10%</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112,603</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1,051,360</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1.08%</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40,053</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1,011,896</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1.07%</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1,051,360</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1.06%</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1,011,896</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Keystone Capital XXX,</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LLC(13)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w w:val="89"/>
              </w:rPr>
              <w:t>10,266,667</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9.72%</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993,204</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9,273,463</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9.54%</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353,286</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8,925,374</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9.48%</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9,273,463</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9.35%</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8,925,374</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9.25%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rPr>
              <w:t>Margaret D. Townsend,</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Trustee of the David G.</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Townsend Family 2020</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Generation-Skipping</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Trust(14)</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1,038,695</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0.98%</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100,484</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938,211</w:t>
            </w: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0.97%</w:t>
            </w:r>
          </w:p>
        </w:tc>
        <w:tc>
          <w:tcPr>
            <w:tcW w:w="8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35,742</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902,994</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0.96%</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938,211</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0.95%</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902,994</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w w:val="99"/>
              </w:rPr>
              <w:t>Susan Bradford Gilmore and</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Rick Wimmer, Trustees of</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the Martin Paul Gilmore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w w:val="92"/>
              </w:rPr>
              <w:t>2020 Irrevocable Trust dated</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July 23, 2020(15)</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871,448</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0.82%</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84,304</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787,144</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0.81%</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29,987</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757,598</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0.80%</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787,144</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0.79%</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757,598</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Thomas H. Westbrook(16)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435,724</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0.41%</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42,152</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393,572</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0.41%</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14,994</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378,799</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0.40%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393,572</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0.40%</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378,799</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Anne Rollins Westbrook,</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Trustee of the Thomas H.</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w w:val="94"/>
              </w:rPr>
              <w:t>Westbrook 2012 Irrevocable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Trust dated Dec 11,</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9"/>
              </w:rPr>
              <w:t>2012(17)</w:t>
            </w:r>
          </w:p>
        </w:tc>
        <w:tc>
          <w:tcPr>
            <w:tcW w:w="9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435,725</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0.41%</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42,152</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393,573</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0.41%</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14,994</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378,800</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0.40%</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393,573</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0.40%</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378,800</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rPr>
              <w:t>Christopher N. Jones 2014</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Revocable Trust dated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March 10, 2014(18)</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214,410</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0.20%</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52,500</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193,668</w:t>
            </w: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0.20%</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186,398</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0.20%</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193,668</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0.20%</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186,398</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w w:val="92"/>
              </w:rPr>
              <w:t>Lucinda Kellam Jones, Trustee</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of the Jones Family 2020</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Descendants’ Trust dated</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July 31, 2020(19)</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525,000</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0.50%</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0</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474,211</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0.49%</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456,411</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0.48%</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474,211</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0.48%</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456,411</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Project Star LLC(20)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1,169,000</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1.11%</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0</w:t>
            </w:r>
          </w:p>
        </w:tc>
        <w:tc>
          <w:tcPr>
            <w:tcW w:w="560" w:type="dxa"/>
            <w:vAlign w:val="bottom"/>
          </w:tcPr>
          <w:p>
            <w:pPr>
              <w:jc w:val="right"/>
              <w:spacing w:after="0" w:line="121" w:lineRule="exact"/>
              <w:rPr>
                <w:sz w:val="20"/>
                <w:szCs w:val="20"/>
                <w:color w:val="auto"/>
              </w:rPr>
            </w:pPr>
            <w:r>
              <w:rPr>
                <w:rFonts w:ascii="Arial" w:cs="Arial" w:eastAsia="Arial" w:hAnsi="Arial"/>
                <w:sz w:val="12"/>
                <w:szCs w:val="12"/>
                <w:color w:val="auto"/>
              </w:rPr>
              <w:t>1,169,000</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1.20%</w:t>
            </w:r>
          </w:p>
        </w:tc>
        <w:tc>
          <w:tcPr>
            <w:tcW w:w="760" w:type="dxa"/>
            <w:vAlign w:val="bottom"/>
          </w:tcPr>
          <w:p>
            <w:pPr>
              <w:jc w:val="right"/>
              <w:spacing w:after="0" w:line="121"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0"/>
                <w:szCs w:val="10"/>
                <w:color w:val="auto"/>
              </w:rPr>
            </w:pP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1,169,000</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1.24%</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1,169,000</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1.18%</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1,169,000</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w w:val="94"/>
              </w:rPr>
              <w:t>FPC/P10 Investment, LLC(21)</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233,334</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0.22%</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0</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233,334</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0.24%</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233,334</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0.25%</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233,334</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0.24%</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233,334</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MAW Management Co.(22)</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120,501</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0.11%</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11,657</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108,844</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0.11%</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4,146</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104,758</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0.11%</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108,844</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0.11%</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104,758</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w w:val="94"/>
              </w:rPr>
              <w:t>TrueBridge Colonial Fund, u/a</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dated 11/15/2015(23)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9,856,769</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9.33%</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818,016</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9,038,753</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9.30%</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344,344</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8,699,474</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9.24%</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9,038,753</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9.12%</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8,699,474</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9.02%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rPr>
              <w:t>Triangle Community</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Foundation(24)</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150,050</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0.14%</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150,050</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0.00%</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0</w:t>
            </w:r>
          </w:p>
        </w:tc>
        <w:tc>
          <w:tcPr>
            <w:tcW w:w="100" w:type="dxa"/>
            <w:vAlign w:val="bottom"/>
          </w:tcPr>
          <w:p>
            <w:pPr>
              <w:spacing w:after="0"/>
              <w:rPr>
                <w:sz w:val="11"/>
                <w:szCs w:val="11"/>
                <w:color w:val="auto"/>
              </w:rPr>
            </w:pP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0.00%</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0.00%</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0</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Alliance Trust Company,</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Trustee of Mel Williams</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Irrevocable Trust u/a/d</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shd w:val="clear" w:color="auto" w:fill="CCEEFF"/>
          </w:tcPr>
          <w:p>
            <w:pPr>
              <w:ind w:left="100"/>
              <w:spacing w:after="0" w:line="137" w:lineRule="exact"/>
              <w:rPr>
                <w:sz w:val="20"/>
                <w:szCs w:val="20"/>
                <w:color w:val="auto"/>
              </w:rPr>
            </w:pPr>
            <w:r>
              <w:rPr>
                <w:rFonts w:ascii="Arial" w:cs="Arial" w:eastAsia="Arial" w:hAnsi="Arial"/>
                <w:sz w:val="12"/>
                <w:szCs w:val="12"/>
                <w:color w:val="auto"/>
              </w:rPr>
              <w:t>August 12, 2015(25)</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9,886,319</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9.36%</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956,409</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8,929,910</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9.19%</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340,197</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8,594,717</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9.13%</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8,929,910</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9.01%</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8,594,717</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8.91%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TrueBridge Ascent LLC(26)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200,000</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0.19%</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19,348</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180,652</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0.19%</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6,882</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173,871</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0.18%</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180,652</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0.18%</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173,871</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Michael Korengold(27)</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166,297</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0.16%</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16,088</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150,209</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0.15%</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5,723</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144,571</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0.15%</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150,209</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0.15%</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144,571</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w w:val="96"/>
              </w:rPr>
              <w:t>Korengold Family Associates,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LLC(28)</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944,427</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0.89%</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91,365</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853,062</w:t>
            </w: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0.88%</w:t>
            </w:r>
          </w:p>
        </w:tc>
        <w:tc>
          <w:tcPr>
            <w:tcW w:w="8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32,499</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821,041</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0.87%</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853,062</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0.86%</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821,041</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MK Note Holdings, LLC(29)</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326,600</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0.31%</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31,596</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295,004</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0.30%</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11,239</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283,930</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0.30%</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295,004</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0.30%</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283,930</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APMK Holdings, LLC(30)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155,053</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0.15%</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15,000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140,053</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0.14%</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5,336</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134,796</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0.14%</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140,053</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0.14%</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134,796</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Shane McCarthy(31)</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600,000</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0.57%</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58,044</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541,956</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0.56%</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20,646</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521,613</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0.55%</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541,956</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0.55%</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521,613</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Richard Montgomery(32)</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500,000</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0.47%</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48,370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451,630</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0.46%</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17,205</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434,678</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0.46%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451,630</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0.46%</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434,678</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Paul Kasper(33)</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129,500</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0.12%</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12,528</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116,972</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0.12%</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4,456</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112,581</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0.12%</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116,972</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0.12%</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112,581</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VCPE III(34)</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882,234</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0.84%</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85,348</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796,886</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0.82%</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30,359</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766,974</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0.81%</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796,886</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0.80%</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766,974</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Chaparral LLC(35)</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276,739</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0.26%</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26,772</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249,967</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0.26%</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9,523</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240,584</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0.26%</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249,967</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0.25%</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240,584</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0.25%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Trident V, L.P.(36)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802,200</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0.76%</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77,605</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724,595</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0.75%</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27,604</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697,397</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0.74%</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724,595</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0.73%</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697,397</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rPr>
              <w:t>Trident V Parallel Fund, L.P.</w:t>
            </w: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(37)</w:t>
            </w:r>
          </w:p>
        </w:tc>
        <w:tc>
          <w:tcPr>
            <w:tcW w:w="9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562,660</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w w:val="99"/>
              </w:rPr>
              <w:t>0.53%</w:t>
            </w:r>
          </w:p>
        </w:tc>
        <w:tc>
          <w:tcPr>
            <w:tcW w:w="8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54,432</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508,228</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0.52%</w:t>
            </w:r>
          </w:p>
        </w:tc>
        <w:tc>
          <w:tcPr>
            <w:tcW w:w="8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19,362</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489,151</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0.52%</w:t>
            </w:r>
          </w:p>
        </w:tc>
        <w:tc>
          <w:tcPr>
            <w:tcW w:w="6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508,228</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0.51%</w:t>
            </w:r>
          </w:p>
        </w:tc>
        <w:tc>
          <w:tcPr>
            <w:tcW w:w="6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2"/>
                <w:szCs w:val="12"/>
                <w:color w:val="auto"/>
              </w:rPr>
              <w:t>489,151</w:t>
            </w:r>
          </w:p>
        </w:tc>
        <w:tc>
          <w:tcPr>
            <w:tcW w:w="4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gridSpan w:val="2"/>
          </w:tcPr>
          <w:p>
            <w:pPr>
              <w:spacing w:after="0" w:line="106" w:lineRule="exact"/>
              <w:rPr>
                <w:sz w:val="20"/>
                <w:szCs w:val="20"/>
                <w:color w:val="auto"/>
              </w:rPr>
            </w:pPr>
            <w:r>
              <w:rPr>
                <w:rFonts w:ascii="Arial" w:cs="Arial" w:eastAsia="Arial" w:hAnsi="Arial"/>
                <w:sz w:val="12"/>
                <w:szCs w:val="12"/>
                <w:color w:val="auto"/>
                <w:w w:val="96"/>
              </w:rPr>
              <w:t>Trident V Professionals Fund,</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L.P.(38)</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35,140</w:t>
            </w:r>
          </w:p>
        </w:tc>
        <w:tc>
          <w:tcPr>
            <w:tcW w:w="40" w:type="dxa"/>
            <w:vAlign w:val="bottom"/>
          </w:tcPr>
          <w:p>
            <w:pPr>
              <w:spacing w:after="0"/>
              <w:rPr>
                <w:sz w:val="11"/>
                <w:szCs w:val="11"/>
                <w:color w:val="auto"/>
              </w:rPr>
            </w:pPr>
          </w:p>
        </w:tc>
        <w:tc>
          <w:tcPr>
            <w:tcW w:w="4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w w:val="99"/>
              </w:rPr>
              <w:t>0.03%</w:t>
            </w:r>
          </w:p>
        </w:tc>
        <w:tc>
          <w:tcPr>
            <w:tcW w:w="84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3,399</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31,741</w:t>
            </w:r>
          </w:p>
        </w:tc>
        <w:tc>
          <w:tcPr>
            <w:tcW w:w="50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0.03%</w:t>
            </w:r>
          </w:p>
        </w:tc>
        <w:tc>
          <w:tcPr>
            <w:tcW w:w="8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1,209</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30,550</w:t>
            </w:r>
          </w:p>
        </w:tc>
        <w:tc>
          <w:tcPr>
            <w:tcW w:w="4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0.03%</w:t>
            </w:r>
          </w:p>
        </w:tc>
        <w:tc>
          <w:tcPr>
            <w:tcW w:w="6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31,741</w:t>
            </w: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0.03%</w:t>
            </w:r>
          </w:p>
        </w:tc>
        <w:tc>
          <w:tcPr>
            <w:tcW w:w="680" w:type="dxa"/>
            <w:vAlign w:val="bottom"/>
            <w:gridSpan w:val="2"/>
          </w:tcPr>
          <w:p>
            <w:pPr>
              <w:jc w:val="right"/>
              <w:ind w:right="120"/>
              <w:spacing w:after="0" w:line="137" w:lineRule="exact"/>
              <w:rPr>
                <w:sz w:val="20"/>
                <w:szCs w:val="20"/>
                <w:color w:val="auto"/>
              </w:rPr>
            </w:pPr>
            <w:r>
              <w:rPr>
                <w:rFonts w:ascii="Arial" w:cs="Arial" w:eastAsia="Arial" w:hAnsi="Arial"/>
                <w:sz w:val="12"/>
                <w:szCs w:val="12"/>
                <w:color w:val="auto"/>
              </w:rPr>
              <w:t>30,550</w:t>
            </w:r>
          </w:p>
        </w:tc>
        <w:tc>
          <w:tcPr>
            <w:tcW w:w="4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0.03%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David Huston(39)</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10,500</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0.01%</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1,016</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9,484</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0.01%</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361</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9,128</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0.01%</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9,484</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0.01%</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9,128</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tcPr>
          <w:p>
            <w:pPr>
              <w:spacing w:after="0" w:line="121" w:lineRule="exact"/>
              <w:rPr>
                <w:sz w:val="20"/>
                <w:szCs w:val="20"/>
                <w:color w:val="auto"/>
              </w:rPr>
            </w:pPr>
            <w:r>
              <w:rPr>
                <w:rFonts w:ascii="Arial" w:cs="Arial" w:eastAsia="Arial" w:hAnsi="Arial"/>
                <w:sz w:val="12"/>
                <w:szCs w:val="12"/>
                <w:color w:val="auto"/>
              </w:rPr>
              <w:t>Mark Slusar(40)</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60,000</w:t>
            </w:r>
          </w:p>
        </w:tc>
        <w:tc>
          <w:tcPr>
            <w:tcW w:w="40" w:type="dxa"/>
            <w:vAlign w:val="bottom"/>
          </w:tcPr>
          <w:p>
            <w:pPr>
              <w:spacing w:after="0"/>
              <w:rPr>
                <w:sz w:val="10"/>
                <w:szCs w:val="10"/>
                <w:color w:val="auto"/>
              </w:rPr>
            </w:pPr>
          </w:p>
        </w:tc>
        <w:tc>
          <w:tcPr>
            <w:tcW w:w="44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w w:val="99"/>
              </w:rPr>
              <w:t>0.06%</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5,804</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54,196</w:t>
            </w:r>
          </w:p>
        </w:tc>
        <w:tc>
          <w:tcPr>
            <w:tcW w:w="50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0.06%</w:t>
            </w:r>
          </w:p>
        </w:tc>
        <w:tc>
          <w:tcPr>
            <w:tcW w:w="8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2,065</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52,162</w:t>
            </w:r>
          </w:p>
        </w:tc>
        <w:tc>
          <w:tcPr>
            <w:tcW w:w="48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0.06%</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2"/>
                <w:szCs w:val="12"/>
                <w:color w:val="auto"/>
              </w:rPr>
              <w:t>54,196</w:t>
            </w:r>
          </w:p>
        </w:tc>
        <w:tc>
          <w:tcPr>
            <w:tcW w:w="48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0.05%</w:t>
            </w:r>
          </w:p>
        </w:tc>
        <w:tc>
          <w:tcPr>
            <w:tcW w:w="680" w:type="dxa"/>
            <w:vAlign w:val="bottom"/>
            <w:gridSpan w:val="2"/>
          </w:tcPr>
          <w:p>
            <w:pPr>
              <w:jc w:val="right"/>
              <w:ind w:right="120"/>
              <w:spacing w:after="0" w:line="121" w:lineRule="exact"/>
              <w:rPr>
                <w:sz w:val="20"/>
                <w:szCs w:val="20"/>
                <w:color w:val="auto"/>
              </w:rPr>
            </w:pPr>
            <w:r>
              <w:rPr>
                <w:rFonts w:ascii="Arial" w:cs="Arial" w:eastAsia="Arial" w:hAnsi="Arial"/>
                <w:sz w:val="12"/>
                <w:szCs w:val="12"/>
                <w:color w:val="auto"/>
              </w:rPr>
              <w:t>52,162</w:t>
            </w:r>
          </w:p>
        </w:tc>
        <w:tc>
          <w:tcPr>
            <w:tcW w:w="420" w:type="dxa"/>
            <w:vAlign w:val="bottom"/>
            <w:gridSpan w:val="2"/>
          </w:tcPr>
          <w:p>
            <w:pPr>
              <w:jc w:val="right"/>
              <w:ind w:right="20"/>
              <w:spacing w:after="0" w:line="121" w:lineRule="exact"/>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color w:val="auto"/>
              </w:rPr>
              <w:t>Mark Hood(41)</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86,854</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w w:val="99"/>
              </w:rPr>
              <w:t>0.08%</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19,031</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86,854</w:t>
            </w:r>
          </w:p>
        </w:tc>
        <w:tc>
          <w:tcPr>
            <w:tcW w:w="5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0.09%</w:t>
            </w:r>
          </w:p>
        </w:tc>
        <w:tc>
          <w:tcPr>
            <w:tcW w:w="8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1,969</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65,854</w:t>
            </w:r>
          </w:p>
        </w:tc>
        <w:tc>
          <w:tcPr>
            <w:tcW w:w="4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0.07%</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86,854</w:t>
            </w:r>
          </w:p>
        </w:tc>
        <w:tc>
          <w:tcPr>
            <w:tcW w:w="4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color w:val="auto"/>
              </w:rPr>
              <w:t>0.09%</w:t>
            </w:r>
          </w:p>
        </w:tc>
        <w:tc>
          <w:tcPr>
            <w:tcW w:w="68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2"/>
                <w:szCs w:val="12"/>
                <w:color w:val="auto"/>
              </w:rPr>
              <w:t>65,854</w:t>
            </w:r>
          </w:p>
        </w:tc>
        <w:tc>
          <w:tcPr>
            <w:tcW w:w="4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15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TOTAL SHARES</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rPr>
              <w:t>OFFERED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8,500,000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3,000,000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3" w:right="1440" w:bottom="1440" w:gutter="0" w:footer="0" w:header="0"/>
        </w:sectPr>
      </w:pPr>
      <w:r>
        <w:rPr>
          <w:sz w:val="20"/>
          <w:szCs w:val="20"/>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r>
    </w:p>
    <w:bookmarkStart w:id="6" w:name="page7"/>
    <w:bookmarkEnd w:id="6"/>
    <w:p>
      <w:pPr>
        <w:ind w:left="380" w:right="59" w:hanging="359"/>
        <w:spacing w:after="0" w:line="27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Shares beneficially owned by 210/P10. 210/P10 is managed by its sole member, 210 Capital, which is managed by its members RHA Partners and CCW Holdings. Mr. Webb has the power to direct the affairs of CCW Holdings as its sole member. In addition, RHA Partners is managed by its general partner RHA Investments, and Robert Alpert has the power to direct the affairs of RHA Investments as its President and sole shareholder. Accordingly, 210/P10 may be deemed to share voting and dispositive power with 210 Capital, RHA Partners, CCW Holdings, RHA Investments, Mr. Alpert and Mr. Webb over the shares of the Issuer’s common stock that it holds.</w:t>
      </w:r>
    </w:p>
    <w:p>
      <w:pPr>
        <w:spacing w:after="0" w:line="68" w:lineRule="exact"/>
        <w:rPr>
          <w:rFonts w:ascii="Arial" w:cs="Arial" w:eastAsia="Arial" w:hAnsi="Arial"/>
          <w:sz w:val="14"/>
          <w:szCs w:val="14"/>
          <w:color w:val="auto"/>
        </w:rPr>
      </w:pPr>
    </w:p>
    <w:p>
      <w:pPr>
        <w:ind w:left="380" w:hanging="359"/>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Shares beneficially owned by the National Christian Charitable Foundation, which shares were acquired from a charitable donation by 210/P10.</w:t>
      </w:r>
    </w:p>
    <w:p>
      <w:pPr>
        <w:spacing w:after="0" w:line="125" w:lineRule="exact"/>
        <w:rPr>
          <w:rFonts w:ascii="Arial" w:cs="Arial" w:eastAsia="Arial" w:hAnsi="Arial"/>
          <w:sz w:val="13"/>
          <w:szCs w:val="13"/>
          <w:color w:val="auto"/>
        </w:rPr>
      </w:pPr>
    </w:p>
    <w:p>
      <w:pPr>
        <w:ind w:left="380" w:right="299" w:hanging="359"/>
        <w:spacing w:after="0" w:line="251"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Shares beneficially owned by the Thomas P. Danis, Jr. Revocable Living Trust dated March 10, 2003, as amended. Mr. Danis has the power to direct the affairs of Thomas P. Danis, Jr. Revocable Living Trust dated March 10, 2003, as amended as the trustee. The Thomas P. Danis, Jr. Revocable Living Trust dated March 10, 2003, as amended was a member of P10 Intermediate prior to the P10 Reorganization. Mr. Danis is a managing partner and co-founder of RCP Advisors.</w:t>
      </w:r>
    </w:p>
    <w:p>
      <w:pPr>
        <w:spacing w:after="0" w:line="80" w:lineRule="exact"/>
        <w:rPr>
          <w:rFonts w:ascii="Arial" w:cs="Arial" w:eastAsia="Arial" w:hAnsi="Arial"/>
          <w:sz w:val="15"/>
          <w:szCs w:val="15"/>
          <w:color w:val="auto"/>
        </w:rPr>
      </w:pPr>
    </w:p>
    <w:p>
      <w:pPr>
        <w:ind w:left="380" w:right="159" w:hanging="359"/>
        <w:spacing w:after="0" w:line="264"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Shares beneficially owned by the Jeff P. Gehl Living Trust dated January 25, 2011. Mr. Gehl has the power to direct the affairs of the Jeff P. Gehl Living Trust dated January 25, 2011 as its trustee.</w:t>
      </w:r>
    </w:p>
    <w:p>
      <w:pPr>
        <w:spacing w:after="0" w:line="70" w:lineRule="exact"/>
        <w:rPr>
          <w:rFonts w:ascii="Arial" w:cs="Arial" w:eastAsia="Arial" w:hAnsi="Arial"/>
          <w:sz w:val="15"/>
          <w:szCs w:val="15"/>
          <w:color w:val="auto"/>
        </w:rPr>
      </w:pPr>
    </w:p>
    <w:p>
      <w:pPr>
        <w:jc w:val="both"/>
        <w:ind w:left="380" w:right="99" w:hanging="359"/>
        <w:spacing w:after="0" w:line="28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Shares beneficially owned by the Charles K. Huebner Trust dated January 16, 2001. Mr. Huebner has the power to direct the affairs of the Charles K. Huebner Trust dated January 16, 2001 as the trustee. The Charles K. Huebner Trust dated January 16, 2001 was a member of P10 Intermediate prior to the P10 Reorganization. Mr. Huebner is a managing partner and co-founder of RCP Advisors.</w:t>
      </w:r>
    </w:p>
    <w:p>
      <w:pPr>
        <w:spacing w:after="0" w:line="60" w:lineRule="exact"/>
        <w:rPr>
          <w:rFonts w:ascii="Arial" w:cs="Arial" w:eastAsia="Arial" w:hAnsi="Arial"/>
          <w:sz w:val="14"/>
          <w:szCs w:val="14"/>
          <w:color w:val="auto"/>
        </w:rPr>
      </w:pPr>
    </w:p>
    <w:p>
      <w:pPr>
        <w:ind w:left="380" w:hanging="359"/>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Shares beneficially owned by Souder Family LLC. Mr. Souder has the power to direct the affairs of Souder Family LLC as its managing member.</w:t>
      </w:r>
    </w:p>
    <w:p>
      <w:pPr>
        <w:spacing w:after="0" w:line="125" w:lineRule="exact"/>
        <w:rPr>
          <w:rFonts w:ascii="Arial" w:cs="Arial" w:eastAsia="Arial" w:hAnsi="Arial"/>
          <w:sz w:val="13"/>
          <w:szCs w:val="13"/>
          <w:color w:val="auto"/>
        </w:rPr>
      </w:pPr>
    </w:p>
    <w:p>
      <w:pPr>
        <w:ind w:left="380" w:right="79" w:hanging="359"/>
        <w:spacing w:after="0" w:line="311"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Shares beneficially owned by the Jon I. Madorsky Revocable Trust dated December 1, 2008. Mr. Madorsky has the power to direct the affairs of the Jon I. Madorsky Revocable Trust dated December 1, 2008 as the trustee. The Jon I. Madorsky Revocable Trust dated December 1, 2008 was a member of P10 Intermediate prior to the P10 Reorganization. Mr. Madorsky is a managing partner of RCP Advisors.</w:t>
      </w:r>
    </w:p>
    <w:p>
      <w:pPr>
        <w:spacing w:after="0" w:line="45" w:lineRule="exact"/>
        <w:rPr>
          <w:rFonts w:ascii="Arial" w:cs="Arial" w:eastAsia="Arial" w:hAnsi="Arial"/>
          <w:sz w:val="13"/>
          <w:szCs w:val="13"/>
          <w:color w:val="auto"/>
        </w:rPr>
      </w:pPr>
    </w:p>
    <w:p>
      <w:pPr>
        <w:ind w:left="380" w:right="279" w:hanging="359"/>
        <w:spacing w:after="0" w:line="264"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Mr. McCoy was a member of P10 Intermediate prior to the P10 Reorganization is a managing partner and portfolio manager of RCP Advisors’ co-investment funds.</w:t>
      </w:r>
    </w:p>
    <w:p>
      <w:pPr>
        <w:spacing w:after="0" w:line="70" w:lineRule="exact"/>
        <w:rPr>
          <w:rFonts w:ascii="Arial" w:cs="Arial" w:eastAsia="Arial" w:hAnsi="Arial"/>
          <w:sz w:val="15"/>
          <w:szCs w:val="15"/>
          <w:color w:val="auto"/>
        </w:rPr>
      </w:pPr>
    </w:p>
    <w:p>
      <w:pPr>
        <w:ind w:left="380" w:hanging="359"/>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Mr. Abell was a member of P10 Intermediate prior to the P10 Reorganization and is a partner of RCP Advisors.</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Mr. Feinglass was a member of P10 Intermediate prior to the P10 Reorganization and is a partner of RCP Advisors.</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Mr. Nelson was a member of P10 Intermediate prior to the P10 Reorganization and is a partner and the chief financial officer of RCP Advisors.</w:t>
      </w:r>
    </w:p>
    <w:p>
      <w:pPr>
        <w:spacing w:after="0" w:line="125" w:lineRule="exact"/>
        <w:rPr>
          <w:rFonts w:ascii="Arial" w:cs="Arial" w:eastAsia="Arial" w:hAnsi="Arial"/>
          <w:sz w:val="13"/>
          <w:szCs w:val="13"/>
          <w:color w:val="auto"/>
        </w:rPr>
      </w:pPr>
    </w:p>
    <w:p>
      <w:pPr>
        <w:ind w:left="380" w:right="379" w:hanging="359"/>
        <w:spacing w:after="0" w:line="264"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Ms. Blatherwick was a member of P10 Intermediate prior to the P10 Reorganization and is a partner and the chief compliance officer of RCP Advisors.</w:t>
      </w:r>
    </w:p>
    <w:p>
      <w:pPr>
        <w:spacing w:after="0" w:line="70" w:lineRule="exact"/>
        <w:rPr>
          <w:rFonts w:ascii="Arial" w:cs="Arial" w:eastAsia="Arial" w:hAnsi="Arial"/>
          <w:sz w:val="15"/>
          <w:szCs w:val="15"/>
          <w:color w:val="auto"/>
        </w:rPr>
      </w:pPr>
    </w:p>
    <w:p>
      <w:pPr>
        <w:ind w:left="380" w:right="319" w:hanging="359"/>
        <w:spacing w:after="0" w:line="264"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Keystone Capital XXX, LLC was a member of P10 Intermediate prior to the P10 Reorganization. Mr.Gwilliam serves as Managing Partner of Keystone Capital.</w:t>
      </w:r>
    </w:p>
    <w:p>
      <w:pPr>
        <w:sectPr>
          <w:pgSz w:w="11900" w:h="16838" w:orient="portrait"/>
          <w:cols w:equalWidth="0" w:num="1">
            <w:col w:w="9019"/>
          </w:cols>
          <w:pgMar w:left="1440" w:top="250" w:right="1440" w:bottom="1440" w:gutter="0" w:footer="0" w:header="0"/>
        </w:sectPr>
      </w:pPr>
    </w:p>
    <w:bookmarkStart w:id="7" w:name="page8"/>
    <w:bookmarkEnd w:id="7"/>
    <w:p>
      <w:pPr>
        <w:ind w:left="380" w:right="179" w:hanging="359"/>
        <w:spacing w:after="0" w:line="254"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Shares beneficially owned by the David G. Townsend Family 2020 Generation-Skipping Trust. Ms. Townsend has the power to direct the affairs of the David G. Townsend Family 2020 Generation- Skipping Trust as the trustee. The David G. Townsend Family 2020 Generation-Skipping Trust was a member of P10 Intermediate prior to the P10 Reorganization.</w:t>
      </w:r>
    </w:p>
    <w:p>
      <w:pPr>
        <w:spacing w:after="0" w:line="78" w:lineRule="exact"/>
        <w:rPr>
          <w:rFonts w:ascii="Arial" w:cs="Arial" w:eastAsia="Arial" w:hAnsi="Arial"/>
          <w:sz w:val="15"/>
          <w:szCs w:val="15"/>
          <w:color w:val="auto"/>
        </w:rPr>
      </w:pPr>
    </w:p>
    <w:p>
      <w:pPr>
        <w:ind w:left="380" w:right="259" w:hanging="359"/>
        <w:spacing w:after="0" w:line="28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beneficially owned by the Martin Paul Gilmore 2020 Irrevocable Trust dated July 23, 2020. Susan Bradford Gilmore and Rick Wimmer have the power to direct the affairs of the Martin Paul Gilmore 2020 Irrevocable Trust dated July 23, 2020 as the trustees. The Martin Paul Gilmore 2020 Irrevocable Trust dated July 23, 2020 was a member of P10 Intermediate prior to the P10 Reorganization.</w:t>
      </w:r>
    </w:p>
    <w:p>
      <w:pPr>
        <w:spacing w:after="0" w:line="60" w:lineRule="exact"/>
        <w:rPr>
          <w:rFonts w:ascii="Arial" w:cs="Arial" w:eastAsia="Arial" w:hAnsi="Arial"/>
          <w:sz w:val="14"/>
          <w:szCs w:val="14"/>
          <w:color w:val="auto"/>
        </w:rPr>
      </w:pPr>
    </w:p>
    <w:p>
      <w:pPr>
        <w:ind w:left="380" w:hanging="359"/>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Mr. Westbrook was a member of P10 Intermediate prior to the P10 Reorganization and a founder partner of Five Points.</w:t>
      </w:r>
    </w:p>
    <w:p>
      <w:pPr>
        <w:spacing w:after="0" w:line="102" w:lineRule="exact"/>
        <w:rPr>
          <w:rFonts w:ascii="Arial" w:cs="Arial" w:eastAsia="Arial" w:hAnsi="Arial"/>
          <w:sz w:val="15"/>
          <w:szCs w:val="15"/>
          <w:color w:val="auto"/>
        </w:rPr>
      </w:pPr>
    </w:p>
    <w:p>
      <w:pPr>
        <w:ind w:left="380" w:right="259" w:hanging="359"/>
        <w:spacing w:after="0" w:line="28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beneficially owned by the Martin Paul Gilmore 2020 Irrevocable Trust dated July 23, 2020. Susan Bradford Gilmore and Rick Wimmer have the power to direct the affairs of the Martin Paul Gilmore 2020 Irrevocable Trust dated July 23, 2020 as the trustees. The Martin Paul Gilmore 2020 Irrevocable Trust dated July 23, 2020 was a member of P10 Intermediate prior to the P10 Reorganization.</w:t>
      </w:r>
    </w:p>
    <w:p>
      <w:pPr>
        <w:spacing w:after="0" w:line="60" w:lineRule="exact"/>
        <w:rPr>
          <w:rFonts w:ascii="Arial" w:cs="Arial" w:eastAsia="Arial" w:hAnsi="Arial"/>
          <w:sz w:val="14"/>
          <w:szCs w:val="14"/>
          <w:color w:val="auto"/>
        </w:rPr>
      </w:pPr>
    </w:p>
    <w:p>
      <w:pPr>
        <w:ind w:left="380" w:right="239" w:hanging="359"/>
        <w:spacing w:after="0" w:line="264"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Shares beneficially owned by the Christopher N. Jones 2014 Revocable Trust dated March 10, 2014. The Christopher N. Jones 2014 Revocable Trust dated March 10, 2014 was a member of P10 Intermediate prior to the P10 Reorganization.</w:t>
      </w:r>
    </w:p>
    <w:p>
      <w:pPr>
        <w:spacing w:after="0" w:line="70" w:lineRule="exact"/>
        <w:rPr>
          <w:rFonts w:ascii="Arial" w:cs="Arial" w:eastAsia="Arial" w:hAnsi="Arial"/>
          <w:sz w:val="15"/>
          <w:szCs w:val="15"/>
          <w:color w:val="auto"/>
        </w:rPr>
      </w:pPr>
    </w:p>
    <w:p>
      <w:pPr>
        <w:ind w:left="380" w:right="139" w:hanging="359"/>
        <w:spacing w:after="0" w:line="254"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Shares beneficially owned by the Jones Family 2020 Descendants’ Trust dated July 31, 2020. Lucinda Kellam Jones has the power to direct the affairs of the Jones Family 2020 Descendants’ Trust dated July 31, 2020 as the trustee. The Jones Family 2020 Descendants’ Trust dated July 31, 2020 was a member of P10 Intermediate prior to the P10 Reorganization.</w:t>
      </w:r>
    </w:p>
    <w:p>
      <w:pPr>
        <w:spacing w:after="0" w:line="78" w:lineRule="exact"/>
        <w:rPr>
          <w:rFonts w:ascii="Arial" w:cs="Arial" w:eastAsia="Arial" w:hAnsi="Arial"/>
          <w:sz w:val="15"/>
          <w:szCs w:val="15"/>
          <w:color w:val="auto"/>
        </w:rPr>
      </w:pPr>
    </w:p>
    <w:p>
      <w:pPr>
        <w:ind w:left="380" w:hanging="359"/>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Project Star LLC was a member of P10 Intermediate prior to the P10 Reorganization.</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FPC/P10 Investment, LLC was a member of P10 Intermediate prior to the P10 Reorganization.</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MAW Management Co. was a member of P10 Intermediate prior to the P10 Reorganization.</w:t>
      </w:r>
    </w:p>
    <w:p>
      <w:pPr>
        <w:spacing w:after="0" w:line="102" w:lineRule="exact"/>
        <w:rPr>
          <w:rFonts w:ascii="Arial" w:cs="Arial" w:eastAsia="Arial" w:hAnsi="Arial"/>
          <w:sz w:val="15"/>
          <w:szCs w:val="15"/>
          <w:color w:val="auto"/>
        </w:rPr>
      </w:pPr>
    </w:p>
    <w:p>
      <w:pPr>
        <w:ind w:left="380" w:right="459" w:hanging="359"/>
        <w:spacing w:after="0" w:line="264"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Shares beneficially owned by TrueBridge Colonial Fund, u/a dated 11/15/2015. Mr. Poston has the power to direct the affairs of TrueBridge Colonial Fund, u/a dated 11/15/2015 as its trustee.</w:t>
      </w:r>
    </w:p>
    <w:p>
      <w:pPr>
        <w:spacing w:after="0" w:line="70" w:lineRule="exact"/>
        <w:rPr>
          <w:rFonts w:ascii="Arial" w:cs="Arial" w:eastAsia="Arial" w:hAnsi="Arial"/>
          <w:sz w:val="15"/>
          <w:szCs w:val="15"/>
          <w:color w:val="auto"/>
        </w:rPr>
      </w:pPr>
    </w:p>
    <w:p>
      <w:pPr>
        <w:ind w:left="380" w:right="559" w:hanging="359"/>
        <w:spacing w:after="0" w:line="264"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Shares beneficially owned by the Triangle Community Foundation, which shares were acquired from a charitable donation by TrueBridge Colonial Fund, u/a dated 11/15/2015.</w:t>
      </w:r>
    </w:p>
    <w:p>
      <w:pPr>
        <w:spacing w:after="0" w:line="70" w:lineRule="exact"/>
        <w:rPr>
          <w:rFonts w:ascii="Arial" w:cs="Arial" w:eastAsia="Arial" w:hAnsi="Arial"/>
          <w:sz w:val="15"/>
          <w:szCs w:val="15"/>
          <w:color w:val="auto"/>
        </w:rPr>
      </w:pPr>
    </w:p>
    <w:p>
      <w:pPr>
        <w:ind w:left="380" w:right="99" w:hanging="359"/>
        <w:spacing w:after="0" w:line="254"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Shares beneficially owned by the Mel Williams Irrevocable Trust u/a/d August 12, 2015. Alliance Trust Company has the power to direct the affairs of the Mel Williams Irrevocable Trust u/a/d August 12, 2015 as the trustee. The Mel Williams Irrevocable Trust u/a/d August 12, 2015 was a member of P10 Intermediate prior to the P10 Reorganization.</w:t>
      </w:r>
    </w:p>
    <w:p>
      <w:pPr>
        <w:sectPr>
          <w:pgSz w:w="11900" w:h="16838" w:orient="portrait"/>
          <w:cols w:equalWidth="0" w:num="1">
            <w:col w:w="9019"/>
          </w:cols>
          <w:pgMar w:left="1440" w:top="250" w:right="1440" w:bottom="1440" w:gutter="0" w:footer="0" w:header="0"/>
        </w:sectPr>
      </w:pPr>
    </w:p>
    <w:bookmarkStart w:id="8" w:name="page9"/>
    <w:bookmarkEnd w:id="8"/>
    <w:p>
      <w:pPr>
        <w:ind w:left="380" w:hanging="359"/>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Truebridge Ascent LLC was a member of P10 Intermediate prior to the P10 Reorganization.</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Korengold is the president and chief executive officer of Enhanced and was a member of P10 Intermediate prior to the P10 Reorganization.</w:t>
      </w:r>
    </w:p>
    <w:p>
      <w:pPr>
        <w:spacing w:after="0" w:line="125" w:lineRule="exact"/>
        <w:rPr>
          <w:rFonts w:ascii="Arial" w:cs="Arial" w:eastAsia="Arial" w:hAnsi="Arial"/>
          <w:sz w:val="13"/>
          <w:szCs w:val="13"/>
          <w:color w:val="auto"/>
        </w:rPr>
      </w:pPr>
    </w:p>
    <w:p>
      <w:pPr>
        <w:ind w:left="380" w:right="99" w:hanging="359"/>
        <w:spacing w:after="0" w:line="264"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Mr. Korengold has the power to direct the affairs of Korengold Family Associates, LLC as its manager. Korengold Family Associates, LLC was a member of P10 Intermediate prior to the P10 Reorganization.</w:t>
      </w:r>
    </w:p>
    <w:p>
      <w:pPr>
        <w:spacing w:after="0" w:line="70" w:lineRule="exact"/>
        <w:rPr>
          <w:rFonts w:ascii="Arial" w:cs="Arial" w:eastAsia="Arial" w:hAnsi="Arial"/>
          <w:sz w:val="15"/>
          <w:szCs w:val="15"/>
          <w:color w:val="auto"/>
        </w:rPr>
      </w:pPr>
    </w:p>
    <w:p>
      <w:pPr>
        <w:ind w:left="380" w:right="379" w:hanging="359"/>
        <w:spacing w:after="0" w:line="264"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Mr. Korengold has the power to direct the affairs of MK Note Holdings, LLC as its manager. MK Note Holdings, LLC was a member of P10 Intermediate prior to the P10 Reorganization.</w:t>
      </w:r>
    </w:p>
    <w:p>
      <w:pPr>
        <w:spacing w:after="0" w:line="70" w:lineRule="exact"/>
        <w:rPr>
          <w:rFonts w:ascii="Arial" w:cs="Arial" w:eastAsia="Arial" w:hAnsi="Arial"/>
          <w:sz w:val="15"/>
          <w:szCs w:val="15"/>
          <w:color w:val="auto"/>
        </w:rPr>
      </w:pPr>
    </w:p>
    <w:p>
      <w:pPr>
        <w:ind w:left="380" w:right="259" w:hanging="359"/>
        <w:spacing w:after="0" w:line="264"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Mr. Paul has the power to direct the affairs of APMK Holdings, LLC as its member. APMK Holdings, LLC was a member of P10 Intermediate prior to the P10 Reorganization.</w:t>
      </w:r>
    </w:p>
    <w:p>
      <w:pPr>
        <w:spacing w:after="0" w:line="70" w:lineRule="exact"/>
        <w:rPr>
          <w:rFonts w:ascii="Arial" w:cs="Arial" w:eastAsia="Arial" w:hAnsi="Arial"/>
          <w:sz w:val="15"/>
          <w:szCs w:val="15"/>
          <w:color w:val="auto"/>
        </w:rPr>
      </w:pPr>
    </w:p>
    <w:p>
      <w:pPr>
        <w:ind w:left="380" w:hanging="359"/>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Mr. McCarthy is a managing partner at Enhanced and was a member of P10 Intermediate prior to the P10 Reorganization.</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Mr. Montgomery is a managing partner at Enhanced and was a member of P10 Intermediate prior to the P10 Reorganization.</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Kasper is an independent advisory consultant at Enhanced and was a member of P10 Intermediate prior to the P10 Reorganization.</w:t>
      </w:r>
    </w:p>
    <w:p>
      <w:pPr>
        <w:spacing w:after="0" w:line="113" w:lineRule="exact"/>
        <w:rPr>
          <w:rFonts w:ascii="Arial" w:cs="Arial" w:eastAsia="Arial" w:hAnsi="Arial"/>
          <w:sz w:val="14"/>
          <w:szCs w:val="14"/>
          <w:color w:val="auto"/>
        </w:rPr>
      </w:pPr>
    </w:p>
    <w:p>
      <w:pPr>
        <w:ind w:left="380" w:right="319" w:hanging="359"/>
        <w:spacing w:after="0" w:line="300"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Shares beneficially owned by VCPE III LLC. VCPE III LLC is managed by VCPE Management III, which is managed by Cougar Investment Holdings LLC, its managing member. VCPE III LLC was a member of P10 Intermediate prior to the P10 Reorganization.</w:t>
      </w:r>
    </w:p>
    <w:p>
      <w:pPr>
        <w:spacing w:after="0" w:line="47" w:lineRule="exact"/>
        <w:rPr>
          <w:rFonts w:ascii="Arial" w:cs="Arial" w:eastAsia="Arial" w:hAnsi="Arial"/>
          <w:sz w:val="14"/>
          <w:szCs w:val="14"/>
          <w:color w:val="auto"/>
        </w:rPr>
      </w:pPr>
    </w:p>
    <w:p>
      <w:pPr>
        <w:ind w:left="380" w:right="119" w:hanging="359"/>
        <w:spacing w:after="0" w:line="264"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Shares beneficially owned by Chaparral LLC. Chaparral LLC is managed by its sole member, Andrew Paul.Chaparral LLC was a member of P10 Intermediate prior to the P10 Reorganization.</w:t>
      </w:r>
    </w:p>
    <w:p>
      <w:pPr>
        <w:spacing w:after="0" w:line="70" w:lineRule="exact"/>
        <w:rPr>
          <w:rFonts w:ascii="Arial" w:cs="Arial" w:eastAsia="Arial" w:hAnsi="Arial"/>
          <w:sz w:val="15"/>
          <w:szCs w:val="15"/>
          <w:color w:val="auto"/>
        </w:rPr>
      </w:pPr>
    </w:p>
    <w:p>
      <w:pPr>
        <w:ind w:left="380" w:right="139" w:hanging="359"/>
        <w:spacing w:after="0" w:line="254"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Shares directly owned by Trident V, L.P. (“Trident V LP”). Stone Point Capital LLC, a Delaware limited liability company, is the manager (the “Manager”) of Trident V LP. Trident Capital V, L.P. is the general partner of Trident V LP. Trident V LP was a member of P10 Intermediate prior to the P10 Reorganization.</w:t>
      </w:r>
    </w:p>
    <w:p>
      <w:pPr>
        <w:spacing w:after="0" w:line="78" w:lineRule="exact"/>
        <w:rPr>
          <w:rFonts w:ascii="Arial" w:cs="Arial" w:eastAsia="Arial" w:hAnsi="Arial"/>
          <w:sz w:val="15"/>
          <w:szCs w:val="15"/>
          <w:color w:val="auto"/>
        </w:rPr>
      </w:pPr>
    </w:p>
    <w:p>
      <w:pPr>
        <w:ind w:left="380" w:right="159" w:hanging="359"/>
        <w:spacing w:after="0" w:line="341"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Shares directly owned by Trident V Parallel Fund, L.P. (“Trident V Parallel”). The Manager is the manager of Trident V Parallel. Trident Capital V, L.P. is the general partner of Trident V Parallel. Trident V Parallel was a member of P10 Intermediate prior to the P10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5692775" cy="537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775" cy="53721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 w:name="page10"/>
    <w:bookmarkEnd w:id="9"/>
    <w:p>
      <w:pPr>
        <w:jc w:val="both"/>
        <w:ind w:left="380" w:right="59" w:hanging="359"/>
        <w:spacing w:after="0" w:line="254" w:lineRule="auto"/>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Shares directly owned by Trident V Professionals Fund, L.P. (“Trident V Professionals”). The Manager is the manager of Trident V Professionals. Trident Capital V-PF, L.P. is the general partner of Trident V Professionals. Trident V Professionals was a member of P10 Intermediate prior to the P10 Reorganization.</w:t>
      </w:r>
    </w:p>
    <w:p>
      <w:pPr>
        <w:spacing w:after="0" w:line="78" w:lineRule="exact"/>
        <w:rPr>
          <w:rFonts w:ascii="Arial" w:cs="Arial" w:eastAsia="Arial" w:hAnsi="Arial"/>
          <w:sz w:val="15"/>
          <w:szCs w:val="15"/>
          <w:color w:val="auto"/>
        </w:rPr>
      </w:pPr>
    </w:p>
    <w:p>
      <w:pPr>
        <w:ind w:left="380" w:right="559" w:hanging="359"/>
        <w:spacing w:after="0" w:line="264" w:lineRule="auto"/>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Mr. Huston is the chief financial officer and chief compliance officer of Enhanced and was a member of P10 Intermediate prior to the P10 Reorganization.</w:t>
      </w:r>
    </w:p>
    <w:p>
      <w:pPr>
        <w:spacing w:after="0" w:line="70" w:lineRule="exact"/>
        <w:rPr>
          <w:rFonts w:ascii="Arial" w:cs="Arial" w:eastAsia="Arial" w:hAnsi="Arial"/>
          <w:sz w:val="15"/>
          <w:szCs w:val="15"/>
          <w:color w:val="auto"/>
        </w:rPr>
      </w:pPr>
    </w:p>
    <w:p>
      <w:pPr>
        <w:ind w:left="380" w:hanging="359"/>
        <w:spacing w:after="0"/>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Mr. Slusar is a managing partner at Enhanced and was a member of P10 Intermediate prior to the P10 Reorganization.</w:t>
      </w:r>
    </w:p>
    <w:p>
      <w:pPr>
        <w:spacing w:after="0" w:line="102" w:lineRule="exact"/>
        <w:rPr>
          <w:rFonts w:ascii="Arial" w:cs="Arial" w:eastAsia="Arial" w:hAnsi="Arial"/>
          <w:sz w:val="15"/>
          <w:szCs w:val="15"/>
          <w:color w:val="auto"/>
        </w:rPr>
      </w:pPr>
    </w:p>
    <w:p>
      <w:pPr>
        <w:ind w:left="380" w:hanging="359"/>
        <w:spacing w:after="0"/>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Mr. Hood is the Investor Relations Director at P10 Holdings.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5"/>
          <w:szCs w:val="15"/>
          <w:i w:val="1"/>
          <w:iCs w:val="1"/>
          <w:u w:val="single" w:color="auto"/>
          <w:color w:val="auto"/>
        </w:rPr>
        <w:t>Exhibit Index, page iii</w:t>
      </w:r>
    </w:p>
    <w:p>
      <w:pPr>
        <w:spacing w:after="0" w:line="102" w:lineRule="exact"/>
        <w:rPr>
          <w:sz w:val="20"/>
          <w:szCs w:val="20"/>
          <w:color w:val="auto"/>
        </w:rPr>
      </w:pPr>
    </w:p>
    <w:p>
      <w:pPr>
        <w:ind w:left="820" w:right="39" w:hanging="447"/>
        <w:spacing w:after="0" w:line="248" w:lineRule="auto"/>
        <w:tabs>
          <w:tab w:leader="none" w:pos="8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We note your disclosure in your registration statement that the exclusive forum provision in your amended and restated certificate of incorporation does not apply to actions arising under the Exchange Act. Please ensure that the exclusive forum provision in the governing documents states this clearly, or tell us how you will inform investors in future filings that the provision does not apply to any actions arising under the Exchange Act. In this regard, we note that Article XIII of your Form of Amended and Restated Certificate of Incorporation of P10, Inc., filed as Exhibit 3.1 to your registration statement, is silent as to whether the provision applies to actions arising under the Exchange Act.</w:t>
      </w:r>
    </w:p>
    <w:p>
      <w:pPr>
        <w:spacing w:after="0" w:line="161" w:lineRule="exact"/>
        <w:rPr>
          <w:sz w:val="20"/>
          <w:szCs w:val="20"/>
          <w:color w:val="auto"/>
        </w:rPr>
      </w:pPr>
    </w:p>
    <w:p>
      <w:pPr>
        <w:ind w:left="20" w:right="39" w:firstLine="359"/>
        <w:spacing w:after="0" w:line="300" w:lineRule="auto"/>
        <w:rPr>
          <w:sz w:val="20"/>
          <w:szCs w:val="20"/>
          <w:color w:val="auto"/>
        </w:rPr>
      </w:pPr>
      <w:r>
        <w:rPr>
          <w:rFonts w:ascii="Arial" w:cs="Arial" w:eastAsia="Arial" w:hAnsi="Arial"/>
          <w:sz w:val="14"/>
          <w:szCs w:val="14"/>
          <w:color w:val="auto"/>
        </w:rPr>
        <w:t>In response to the Staff’s comment, the Company advises the Staff that the Company will file a revised form of amended and restated certificate to revise Article XIII to clearly state that the exclusive forum provision does not apply to actions arising under the Exchange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14" w:lineRule="exact"/>
        <w:rPr>
          <w:sz w:val="20"/>
          <w:szCs w:val="20"/>
          <w:color w:val="auto"/>
        </w:rPr>
      </w:pPr>
    </w:p>
    <w:p>
      <w:pPr>
        <w:ind w:left="20" w:right="39" w:firstLine="359"/>
        <w:spacing w:after="0" w:line="245" w:lineRule="auto"/>
        <w:rPr>
          <w:sz w:val="20"/>
          <w:szCs w:val="20"/>
          <w:color w:val="auto"/>
        </w:rPr>
      </w:pPr>
      <w:r>
        <w:rPr>
          <w:rFonts w:ascii="Arial" w:cs="Arial" w:eastAsia="Arial" w:hAnsi="Arial"/>
          <w:sz w:val="15"/>
          <w:szCs w:val="15"/>
          <w:color w:val="auto"/>
        </w:rPr>
        <w:t>We believe we have been responsive to the Staff’s comments. Subject to hearing any additional comments from the Staff, the Company anticipates filing an amended Registration Statement as soon as possible as the Company plans to submit an acceleration request on Monday, October 18, 2021, that the effective date of the Registration Statement be accelerated to Wednesday, October 20, 2021. In accordance with the Company’s planned acceleration request, we would appreciate any additional comments at your earliest opportunity. Please direct any questions concerning this letter to the undersigned at (212) 451-2289 or (</w:t>
      </w:r>
      <w:r>
        <w:rPr>
          <w:rFonts w:ascii="Arial" w:cs="Arial" w:eastAsia="Arial" w:hAnsi="Arial"/>
          <w:sz w:val="15"/>
          <w:szCs w:val="15"/>
          <w:u w:val="single" w:color="auto"/>
          <w:color w:val="auto"/>
        </w:rPr>
        <w:t>afinerman@olshanlaw.com</w:t>
      </w:r>
      <w:r>
        <w:rPr>
          <w:rFonts w:ascii="Arial" w:cs="Arial" w:eastAsia="Arial" w:hAnsi="Arial"/>
          <w:sz w:val="15"/>
          <w:szCs w:val="15"/>
          <w:color w:val="auto"/>
        </w:rPr>
        <w:t>).</w:t>
      </w:r>
    </w:p>
    <w:p>
      <w:pPr>
        <w:spacing w:after="0" w:line="87"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Sincerely</w:t>
      </w:r>
    </w:p>
    <w:p>
      <w:pPr>
        <w:spacing w:after="0" w:line="179"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/s/ Adam W. Finerman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8890</wp:posOffset>
            </wp:positionV>
            <wp:extent cx="22745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4570" cy="698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5"/>
          <w:szCs w:val="15"/>
          <w:color w:val="auto"/>
        </w:rPr>
        <w:t>Adam W. Finerman</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w:t>
      </w:r>
    </w:p>
    <w:sectPr>
      <w:pgSz w:w="11900" w:h="16838" w:orient="portrait"/>
      <w:cols w:equalWidth="0" w:num="1">
        <w:col w:w="9019"/>
      </w:cols>
      <w:pgMar w:left="1440" w:top="2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upperLetter"/>
      <w:start w:val="1"/>
    </w:lvl>
    <w:lvl w:ilvl="1">
      <w:lvlJc w:val="left"/>
      <w:lvlText w:val="(%2)"/>
      <w:numFmt w:val="decimal"/>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4"/>
    </w:lvl>
  </w:abstractNum>
  <w:abstractNum w:abstractNumId="7">
    <w:nsid w:val="5BD062C2"/>
    <w:multiLevelType w:val="hybridMultilevel"/>
    <w:lvl w:ilvl="0">
      <w:lvlJc w:val="left"/>
      <w:lvlText w:val="(%1)"/>
      <w:numFmt w:val="decimal"/>
      <w:start w:val="26"/>
    </w:lvl>
  </w:abstractNum>
  <w:abstractNum w:abstractNumId="8">
    <w:nsid w:val="12200854"/>
    <w:multiLevelType w:val="hybridMultilevel"/>
    <w:lvl w:ilvl="0">
      <w:lvlJc w:val="left"/>
      <w:lvlText w:val="(%1)"/>
      <w:numFmt w:val="decimal"/>
      <w:start w:val="38"/>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2021-11-18T23:07:20Z</dcterms:created>
  <dcterms:modified xsi:type="dcterms:W3CDTF">2021-11-18T23:07:20Z</dcterms:modified>
</cp:coreProperties>
</file>