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March 25, 2005</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3175</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0" w:gutter="0" w:footer="0" w:header="0"/>
        </w:sectPr>
      </w:pPr>
    </w:p>
    <w:p>
      <w:pPr>
        <w:spacing w:after="0" w:line="121"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56" w:lineRule="exact"/>
        <w:rPr>
          <w:sz w:val="24"/>
          <w:szCs w:val="24"/>
          <w:color w:val="auto"/>
        </w:rPr>
      </w:pPr>
    </w:p>
    <w:p>
      <w:pPr>
        <w:sectPr>
          <w:pgSz w:w="11900" w:h="16838" w:orient="portrait"/>
          <w:cols w:equalWidth="0" w:num="2">
            <w:col w:w="7540" w:space="720"/>
            <w:col w:w="3160"/>
          </w:cols>
          <w:pgMar w:left="240" w:top="230" w:right="239" w:bottom="0" w:gutter="0" w:footer="0" w:header="0"/>
          <w:type w:val="continuous"/>
        </w:sectPr>
      </w:pPr>
    </w:p>
    <w:p>
      <w:pPr>
        <w:ind w:left="11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47" w:lineRule="exact"/>
        <w:rPr>
          <w:sz w:val="24"/>
          <w:szCs w:val="24"/>
          <w:color w:val="auto"/>
        </w:rPr>
      </w:pPr>
    </w:p>
    <w:p>
      <w:pPr>
        <w:sectPr>
          <w:pgSz w:w="11900" w:h="16838" w:orient="portrait"/>
          <w:cols w:equalWidth="0" w:num="2">
            <w:col w:w="6940" w:space="720"/>
            <w:col w:w="3760"/>
          </w:cols>
          <w:pgMar w:left="240" w:top="23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w:t>
      </w:r>
    </w:p>
    <w:p>
      <w:pPr>
        <w:jc w:val="center"/>
        <w:spacing w:after="0"/>
        <w:rPr>
          <w:sz w:val="20"/>
          <w:szCs w:val="20"/>
          <w:color w:val="auto"/>
        </w:rPr>
      </w:pPr>
      <w:r>
        <w:rPr>
          <w:rFonts w:ascii="Arial" w:cs="Arial" w:eastAsia="Arial" w:hAnsi="Arial"/>
          <w:sz w:val="14"/>
          <w:szCs w:val="14"/>
          <w:b w:val="1"/>
          <w:bCs w:val="1"/>
          <w:color w:val="auto"/>
        </w:rPr>
        <w:t>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102870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Pinkerton, III</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w:t>
      </w:r>
    </w:p>
    <w:p>
      <w:pPr>
        <w:jc w:val="center"/>
        <w:spacing w:after="0"/>
        <w:rPr>
          <w:sz w:val="20"/>
          <w:szCs w:val="20"/>
          <w:color w:val="auto"/>
        </w:rPr>
      </w:pPr>
      <w:r>
        <w:rPr>
          <w:rFonts w:ascii="Arial" w:cs="Arial" w:eastAsia="Arial" w:hAnsi="Arial"/>
          <w:sz w:val="14"/>
          <w:szCs w:val="14"/>
          <w:b w:val="1"/>
          <w:b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102870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Matthew Lyons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Andrews Kurth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Congress Avenue, Suite 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320-9200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 Registration Statement,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light of market conditions and other factors.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93980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6"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13"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143510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340" w:type="dxa"/>
            <w:vAlign w:val="bottom"/>
          </w:tcPr>
          <w:p>
            <w:pPr>
              <w:jc w:val="center"/>
              <w:ind w:left="54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220" w:type="dxa"/>
            <w:vAlign w:val="bottom"/>
          </w:tcPr>
          <w:p>
            <w:pPr>
              <w:jc w:val="center"/>
              <w:ind w:left="20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49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340" w:type="dxa"/>
            <w:vAlign w:val="bottom"/>
            <w:tcBorders>
              <w:bottom w:val="single" w:sz="8" w:color="auto"/>
            </w:tcBorders>
          </w:tcPr>
          <w:p>
            <w:pPr>
              <w:jc w:val="center"/>
              <w:ind w:left="546"/>
              <w:spacing w:after="0"/>
              <w:rPr>
                <w:sz w:val="20"/>
                <w:szCs w:val="20"/>
                <w:color w:val="auto"/>
              </w:rPr>
            </w:pPr>
            <w:r>
              <w:rPr>
                <w:rFonts w:ascii="Arial" w:cs="Arial" w:eastAsia="Arial" w:hAnsi="Arial"/>
                <w:sz w:val="14"/>
                <w:szCs w:val="14"/>
                <w:b w:val="1"/>
                <w:bCs w:val="1"/>
                <w:color w:val="auto"/>
                <w:w w:val="87"/>
              </w:rPr>
              <w:t>Registered(1)(2)(3)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 Unit (4)</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 (4)</w:t>
            </w:r>
          </w:p>
        </w:tc>
        <w:tc>
          <w:tcPr>
            <w:tcW w:w="1220" w:type="dxa"/>
            <w:vAlign w:val="bottom"/>
            <w:tcBorders>
              <w:bottom w:val="single" w:sz="8" w:color="auto"/>
            </w:tcBorders>
          </w:tcPr>
          <w:p>
            <w:pPr>
              <w:jc w:val="center"/>
              <w:ind w:left="186"/>
              <w:spacing w:after="0"/>
              <w:rPr>
                <w:sz w:val="20"/>
                <w:szCs w:val="20"/>
                <w:color w:val="auto"/>
              </w:rPr>
            </w:pPr>
            <w:r>
              <w:rPr>
                <w:rFonts w:ascii="Arial" w:cs="Arial" w:eastAsia="Arial" w:hAnsi="Arial"/>
                <w:sz w:val="14"/>
                <w:szCs w:val="14"/>
                <w:b w:val="1"/>
                <w:bCs w:val="1"/>
                <w:color w:val="auto"/>
                <w:w w:val="87"/>
              </w:rPr>
              <w:t>Registration Fee</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Common Stock, par value $0.001 per share</w:t>
            </w:r>
          </w:p>
        </w:tc>
        <w:tc>
          <w:tcPr>
            <w:tcW w:w="2340" w:type="dxa"/>
            <w:vAlign w:val="bottom"/>
          </w:tcPr>
          <w:p>
            <w:pPr>
              <w:jc w:val="center"/>
              <w:ind w:left="566"/>
              <w:spacing w:after="0"/>
              <w:rPr>
                <w:sz w:val="20"/>
                <w:szCs w:val="20"/>
                <w:color w:val="auto"/>
              </w:rPr>
            </w:pPr>
            <w:r>
              <w:rPr>
                <w:rFonts w:ascii="Arial" w:cs="Arial" w:eastAsia="Arial" w:hAnsi="Arial"/>
                <w:sz w:val="18"/>
                <w:szCs w:val="18"/>
                <w:color w:val="auto"/>
                <w:w w:val="84"/>
              </w:rPr>
              <w:t>7,090,863 shares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$3.395</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$24,073,480</w:t>
            </w:r>
          </w:p>
        </w:tc>
        <w:tc>
          <w:tcPr>
            <w:tcW w:w="1220" w:type="dxa"/>
            <w:vAlign w:val="bottom"/>
          </w:tcPr>
          <w:p>
            <w:pPr>
              <w:jc w:val="center"/>
              <w:ind w:left="186"/>
              <w:spacing w:after="0"/>
              <w:rPr>
                <w:sz w:val="20"/>
                <w:szCs w:val="20"/>
                <w:color w:val="auto"/>
              </w:rPr>
            </w:pPr>
            <w:r>
              <w:rPr>
                <w:rFonts w:ascii="Arial" w:cs="Arial" w:eastAsia="Arial" w:hAnsi="Arial"/>
                <w:sz w:val="18"/>
                <w:szCs w:val="18"/>
                <w:color w:val="auto"/>
                <w:w w:val="89"/>
              </w:rPr>
              <w:t>$2,833.45</w:t>
            </w:r>
          </w:p>
        </w:tc>
      </w:tr>
      <w:tr>
        <w:trPr>
          <w:trHeight w:val="125"/>
        </w:trPr>
        <w:tc>
          <w:tcPr>
            <w:tcW w:w="2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4"/>
          <w:szCs w:val="24"/>
          <w:color w:val="auto"/>
        </w:rPr>
      </w:pPr>
    </w:p>
    <w:p>
      <w:pPr>
        <w:ind w:left="46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Shares of the registrant’s common stock being registered hereby are accompanied by the registrant’s preferred stock purchase rights. Until the occurrence of certain prescribed events, such rights are not exercisable, are evidenced by each certificate for common stock and will be transferred along with and only with the common stock.</w:t>
      </w:r>
    </w:p>
    <w:p>
      <w:pPr>
        <w:sectPr>
          <w:pgSz w:w="11900" w:h="16838" w:orient="portrait"/>
          <w:cols w:equalWidth="0" w:num="1">
            <w:col w:w="11420"/>
          </w:cols>
          <w:pgMar w:left="240" w:top="230" w:right="239" w:bottom="0" w:gutter="0" w:footer="0" w:header="0"/>
          <w:type w:val="continuous"/>
        </w:sectPr>
      </w:pPr>
    </w:p>
    <w:bookmarkStart w:id="1" w:name="page2"/>
    <w:bookmarkEnd w:id="1"/>
    <w:p>
      <w:pPr>
        <w:ind w:lef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Registration Statement also relates to such indeterminate number of additional shares of the registrant’s common stock as may become issuable in the event of a stock dividend, reverse stock split, split-up, recapitalization or other similar event.</w:t>
      </w:r>
    </w:p>
    <w:p>
      <w:pPr>
        <w:spacing w:after="0" w:line="37" w:lineRule="exact"/>
        <w:rPr>
          <w:rFonts w:ascii="Arial" w:cs="Arial" w:eastAsia="Arial" w:hAnsi="Arial"/>
          <w:sz w:val="18"/>
          <w:szCs w:val="18"/>
          <w:color w:val="auto"/>
        </w:rPr>
      </w:pPr>
    </w:p>
    <w:p>
      <w:pPr>
        <w:ind w:left="460" w:right="44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1,636,353 shares of the registrant’s common stock that may be issued to the selling stockholders only if and when such selling stockholders exercise their additional investment rights to acquire such shares within 180 days of the effective date of this Registration Statement.</w:t>
      </w:r>
    </w:p>
    <w:p>
      <w:pPr>
        <w:spacing w:after="0" w:line="1"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of 1933 as amended, and based on the average of the high and low prices as quoted on the Nasdaq National Market on March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97790</wp:posOffset>
            </wp:positionV>
            <wp:extent cx="1243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a solicitation of an offer to buy these securities in any state where the offer or sale is not permitted.</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DE1A1E"/>
        </w:rPr>
        <w:t>Subject to completion, dated March 25,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7,090,863 Shares</w:t>
      </w: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relates solely to the resale of up to an aggregate of 7,090,863 shares of Active Power, Inc. common stock, comprised of 5,454,510 shares that we sold to certain of the selling stockholders listed on page 12 of this prospectus in a private placement that closed on February 4, 2005 and 1,636,353 shares that may be issued to the selling stockholders only if and when they exercise their additional investment rights to acquire these shares within 180 days following the effective date of the registration statement of which this prospectus is a part.</w:t>
      </w:r>
    </w:p>
    <w:p>
      <w:pPr>
        <w:spacing w:after="0" w:line="9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selling stockholders may sell the shares of common stock at various times and in various types of transactions, including sales in the open market, sales in negotiated transactions and sales by a combination of these methods. Shares may be sold at the market price of the common stock at the time of a sale, at prices relating to the market price over a period of time, or at prices negotiated with the buyers of shares. The selling stockholders will pay all brokerage fees and commissions and similar sale-related expenses. We are paying expenses relating to the registration of the shares with the Securities and Exchange Commission.</w:t>
      </w:r>
    </w:p>
    <w:p>
      <w:pPr>
        <w:spacing w:after="0" w:line="8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“ACPW.” On March 23, 2005, the closing price of our common stock as reported by Nasdaq was $3.36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97790</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9" w:lineRule="exact"/>
        <w:rPr>
          <w:sz w:val="20"/>
          <w:szCs w:val="20"/>
          <w:color w:val="auto"/>
        </w:rPr>
      </w:pPr>
    </w:p>
    <w:p>
      <w:pPr>
        <w:ind w:right="120"/>
        <w:spacing w:after="0" w:line="275" w:lineRule="auto"/>
        <w:rPr>
          <w:rFonts w:ascii="Arial" w:cs="Arial" w:eastAsia="Arial" w:hAnsi="Arial"/>
          <w:sz w:val="18"/>
          <w:szCs w:val="18"/>
          <w:b w:val="1"/>
          <w:bCs w:val="1"/>
          <w:color w:val="0000EE"/>
        </w:rPr>
      </w:pPr>
      <w:r>
        <w:rPr>
          <w:rFonts w:ascii="Arial" w:cs="Arial" w:eastAsia="Arial" w:hAnsi="Arial"/>
          <w:sz w:val="18"/>
          <w:szCs w:val="18"/>
          <w:b w:val="1"/>
          <w:bCs w:val="1"/>
          <w:color w:val="auto"/>
        </w:rPr>
        <w:t xml:space="preserve">You should carefully review and consider the information under the headings “Special Note Regarding Forward-Looking Statements” on page 1 and “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93980</wp:posOffset>
            </wp:positionV>
            <wp:extent cx="1534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67" w:lineRule="exact"/>
        <w:rPr>
          <w:sz w:val="20"/>
          <w:szCs w:val="20"/>
          <w:color w:val="auto"/>
        </w:rPr>
      </w:pPr>
    </w:p>
    <w:tbl>
      <w:tblPr>
        <w:tblLayout w:type="fixed"/>
        <w:tblInd w:w="398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color w:val="auto"/>
              </w:rPr>
              <w:t>, 2005.</w:t>
            </w: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80" w:type="dxa"/>
            <w:vAlign w:val="bottom"/>
            <w:gridSpan w:val="2"/>
          </w:tcPr>
          <w:p>
            <w:pPr>
              <w:jc w:val="right"/>
              <w:ind w:right="4760"/>
              <w:spacing w:after="0"/>
              <w:rPr>
                <w:sz w:val="20"/>
                <w:szCs w:val="20"/>
                <w:color w:val="auto"/>
              </w:rPr>
            </w:pPr>
            <w:r>
              <w:rPr>
                <w:rFonts w:ascii="Arial" w:cs="Arial" w:eastAsia="Arial" w:hAnsi="Arial"/>
                <w:sz w:val="18"/>
                <w:szCs w:val="18"/>
                <w:b w:val="1"/>
                <w:bCs w:val="1"/>
                <w:color w:val="auto"/>
                <w:w w:val="97"/>
              </w:rPr>
              <w:t>TABLE OF CONTENTS</w:t>
            </w:r>
          </w:p>
        </w:tc>
      </w:tr>
      <w:tr>
        <w:trPr>
          <w:trHeight w:val="434"/>
        </w:trPr>
        <w:tc>
          <w:tcPr>
            <w:tcW w:w="38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Special Note Regarding Forward-Looking Statements</w:t>
              </w:r>
            </w:hyperlink>
          </w:p>
        </w:tc>
        <w:tc>
          <w:tcPr>
            <w:tcW w:w="940" w:type="dxa"/>
            <w:vAlign w:val="bottom"/>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50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Summary</w:t>
              </w:r>
            </w:hyperlink>
          </w:p>
        </w:tc>
        <w:tc>
          <w:tcPr>
            <w:tcW w:w="3240" w:type="dxa"/>
            <w:vAlign w:val="bottom"/>
            <w:gridSpan w:val="3"/>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840" w:type="dxa"/>
            <w:vAlign w:val="bottom"/>
            <w:gridSpan w:val="9"/>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Registration Rights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Selling Stockholders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460" w:type="dxa"/>
            <w:vAlign w:val="bottom"/>
            <w:tcBorders>
              <w:top w:val="single" w:sz="8" w:color="0000EE"/>
            </w:tcBorders>
            <w:gridSpan w:val="7"/>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Plan of Distribution</w:t>
              </w:r>
            </w:hyperlink>
          </w:p>
        </w:tc>
        <w:tc>
          <w:tcPr>
            <w:tcW w:w="3280" w:type="dxa"/>
            <w:vAlign w:val="bottom"/>
            <w:gridSpan w:val="4"/>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40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3340" w:type="dxa"/>
            <w:vAlign w:val="bottom"/>
            <w:gridSpan w:val="5"/>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3760" w:type="dxa"/>
            <w:vAlign w:val="bottom"/>
            <w:gridSpan w:val="8"/>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5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4720" w:type="dxa"/>
            <w:vAlign w:val="bottom"/>
          </w:tcPr>
          <w:p>
            <w:pPr>
              <w:spacing w:after="0"/>
              <w:rPr>
                <w:sz w:val="17"/>
                <w:szCs w:val="17"/>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any prospectus supplement and the documents we have incorporated by reference. We have not authorized anyone else to give you different information. These securities are not being offered in any state or other jurisdiction that does not permit the offer. We will disclose any material changes in our affairs in an amendment to this prospectus, a prospectus supplement or a future filing with the SEC incorporated by reference in this prospectus.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“Active Power,” “we,” “us” and “our” refer to Active Power, Inc.</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any accompanying prospectus supplement and the documents we have incorporated by reference contain forward-looking statements as defined in the Private Securities Litigation Reform Act of 1995. We rely on the safe harbor of the act in making such disclosures.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5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this prospectus as well as any cautionary language in this prospectus,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or incorporated by reference in this prospectus. It may not contain all of the information that is important to you. You should carefully read the entire prospectus and the documents incorporated by reference in this prospectus before deciding whether to invest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 Inc.</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Our first commercial product was a battery-free DC system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UPS” and by Active Power as the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UPS. In 2003 and 2004, we broadened our product offerings and expanded our available market by developing additional power quality systems to address customer needs at both higher and lower power levels. Our family of battery-free UPS products currently ranges from 65 kVA – 1200 kVA. By paralleling our 1200 kVA UPS systems together, we can provide up to a 3600 kVA battery-free UPS system to customers.</w:t>
      </w:r>
    </w:p>
    <w:p>
      <w:pPr>
        <w:spacing w:after="0" w:line="10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were founded as a Texas corporation in 1992. We began our efforts to develop a flywheel energy storage product for the power quality market in 1996 and subsequently changed our name from Magnetic Bearing Technologies, Inc. to Active Power, Inc. We re-incorporated in Delaware in 2000.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Offering</w:t>
      </w:r>
    </w:p>
    <w:p>
      <w:pPr>
        <w:spacing w:after="0" w:line="83" w:lineRule="exact"/>
        <w:rPr>
          <w:sz w:val="20"/>
          <w:szCs w:val="20"/>
          <w:color w:val="auto"/>
        </w:rPr>
      </w:pPr>
    </w:p>
    <w:p>
      <w:pPr>
        <w:ind w:right="100" w:firstLine="456"/>
        <w:spacing w:after="0" w:line="307" w:lineRule="auto"/>
        <w:rPr>
          <w:sz w:val="20"/>
          <w:szCs w:val="20"/>
          <w:color w:val="auto"/>
        </w:rPr>
      </w:pPr>
      <w:r>
        <w:rPr>
          <w:rFonts w:ascii="Arial" w:cs="Arial" w:eastAsia="Arial" w:hAnsi="Arial"/>
          <w:sz w:val="15"/>
          <w:szCs w:val="15"/>
          <w:color w:val="auto"/>
        </w:rPr>
        <w:t>We have filed with the SEC a registration statement on Form S-3 under the Securities Act of 1933, as amended (the “Securities Act”), with respect to the securities offered under this prospectus. This prospectus relates to an aggregate amount of up to 7,090,863 shares of our common stock that may be offered for sale by the selling stockholders which includes 1,636,353 shares that may be issued to the selling stockholders upon the exercise of their additional investment rights within 180 days after the effective date of the registration statement of which this prospectus is a part. We are registering the shares of common stock covered by this prospectus to fulfill our contractual obligations under a registration rights agreement with the selling stockholders. We have agreed to bear the expenses of the registration of the shares of common stock under federal and state securities laws, but we will not receive any proceeds from the sale of any shares of common stock offered under this prospectus. The selling stockholders may sell these shares of common stock directly to purchasers or they may sell these shares of common stock to purchasers through agents or dealers pursuant to this prospectus. The selling stockholders will receive all of the proceeds from the sale of their common stock and will pay all selling commissions and transfer taxes applicable to any sale. Registration of these shares of common stock does not necessarily mean that the selling stockholders will actually sell these shares of common stock. You should read both this prospectus and any prospectus supplement together with additional information described under the heading “Where You Can Find More Information” beginning on page 17 of this prospectus.</w:t>
      </w:r>
    </w:p>
    <w:p>
      <w:pPr>
        <w:spacing w:after="0" w:line="9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principal executive offices are located at 2128 W. Braker Lane, BK12, Austin, Texas 78758. Our telephone number is (512) 836-6464. Our website is www.activepower.com. The information found on our website and on websites linked to it are not incorporated into or a part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In addition to the other information in this prospectus and the information incorporated by reference herein, you should carefully consider the risks described below before purchasing our common stock. If any of the following risks occur, our business could be materially harmed, and our financial condition and results of operations could be materially and adversely affected. As a result, the price of our common stock could decline, and you could lose all or part of your investment. These risk factors are dated as of the date of this prospectus. You should also read the risk factors we include in our reports we file with the Securities and Exchange Commission after the date hereof that are incorporated by reference in this prospectus from the date of filing of the reports. Please see “Where You Can Find More Information” beginning on page 17 of this prospectus for information on these reports.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December 31, 2004, we had an accumulated deficit of $157.8 million. To date, we have funded our operations principally through the sale of our stock, product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9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generated a total of $62.6 million in product revenue since January 1, 1998, with $4.8 million generated in the three months ended December 31, 2004.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and are difficult to predict, which could negatively impact the price of our stock.</w:t>
      </w:r>
    </w:p>
    <w:p>
      <w:pPr>
        <w:spacing w:after="0" w:line="8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Our product revenue, expense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12" w:lineRule="exact"/>
        <w:rPr>
          <w:sz w:val="20"/>
          <w:szCs w:val="20"/>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 DC products, as well as our other products which are currently under development, including the CleanSource XR;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deferred revenue components associated with large orders;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Expenses related to the requirement to expense employee stock options, which are a significant portion of our employee compensation and retention;</w:t>
      </w:r>
    </w:p>
    <w:p>
      <w:pPr>
        <w:spacing w:after="0" w:line="138" w:lineRule="exact"/>
        <w:rPr>
          <w:rFonts w:ascii="Arial" w:cs="Arial" w:eastAsia="Arial" w:hAnsi="Arial"/>
          <w:sz w:val="15"/>
          <w:szCs w:val="15"/>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Several OEMs purchased a substantial number of our CleanSource DC and UPS systems during 2001, many of which have remained in those OEMs’ inventories rather than being sold to end-user customers. During 2004, Caterpillar dealers’ stocking levels declined by approximately $4.2 million, or 48%. As our OEMs fill some of their orders with existing inventory stock, as opposed to placing orders with Active Power, our revenue will suffer for the next few fiscal quarters as this inventory held by these OEMs is reduced.</w:t>
      </w:r>
    </w:p>
    <w:p>
      <w:pPr>
        <w:spacing w:after="0" w:line="12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3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50%, 48% and 37% in 2004, 2003 and 2002, respectively. Our international operations are subject to a number of risks, including:</w:t>
      </w:r>
    </w:p>
    <w:p>
      <w:pPr>
        <w:spacing w:after="0" w:line="3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including taxes;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instability, particularly in the Middle East and Northern Africa;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applications engineers;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currency exchange risk.</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the Company increases sales in foreign markets, it is making more sales that are denominated in other currencies, primarily Euros. Those sales in currencies other than U.S. dollars can result in translation gains and losses. Currently, we do not engage in hedging activities for our international operations. However, we may engage in hedging activities in the future.</w:t>
      </w:r>
    </w:p>
    <w:p>
      <w:pPr>
        <w:spacing w:after="0" w:line="96"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A significant portion of our operating expenses, including rent and salaries, is largely fixed in nature. Accordingly, if our product revenue is below expectations, our operating results are likely to be adversely and disproportionately affected because these operating expenses are not variable in the short term and cannot be quickly reduced to respond to unanticipated decreases in revenues.</w:t>
      </w:r>
    </w:p>
    <w:p>
      <w:pPr>
        <w:spacing w:after="0" w:line="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potential end-user customers limit capital spending due to overall economic conditions, our business will suffer.</w:t>
      </w:r>
    </w:p>
    <w:p>
      <w:pPr>
        <w:spacing w:after="0" w:line="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w:t>
      </w:r>
    </w:p>
    <w:p>
      <w:pPr>
        <w:spacing w:after="0" w:line="10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declined in recent years.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may result in decreased revenues. We may be especially prone to this as a result of the relatively high percentage of revenue we have historically derived from the high-tech industry, which has historically been more volatile in its fluctuations compared to other industries. Customers may defer or reconsider purchasing our products if they continue to experience a lack of growth in their business or if the general economy fails to continue to improve and stabilize.</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2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demand for any of our more significant products, including CleanSource UPS or CleanSource DC;</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products to achieve continued market acceptance;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improved version of our products being offered by a competitor;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change that we are unable to address with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release new products on a timely basis and/or the failure of these products to achieve market acceptance.</w:t>
      </w:r>
    </w:p>
    <w:p>
      <w:pPr>
        <w:spacing w:after="0" w:line="17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future success will depend on our ability to reduce our dependence on a few products by developing and introducing to the market new products and product enhancements in a timely manner. Specifically, our ability to capture significant market share depends on our ability to develop and market extensions to our existing UPS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product line at higher and lower power range offerings, and on our ability to develop and market our extended runtime products, such as the CleanSource XR. Even if we are able to develop and commercially introduce new products and enhancements, they may not achieve market acceptance, which would substantially impair our revenue, profitability and overall financial prospects. Successful product development and market acceptance of our new products depend on a number of factors, including:</w:t>
      </w:r>
    </w:p>
    <w:p>
      <w:pPr>
        <w:spacing w:after="0" w:line="4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including the CleanSource XR. For example, we recently broadened our sales and distribution channel by offering our products through manufacturer’s representatives throughout North America and internationally. We also recently entered into a long term supply agreement with GE Zenith Controls to source UPS systems from them that we intend to sell along side the CleanSource XR. Our inability to successfully execute this strategy, and to integrate and manage our existing OEM channel partners, Caterpillar and Eaton Power Quality, and our new manufacturer’s representatives could impede our future growth.</w:t>
      </w:r>
    </w:p>
    <w:p>
      <w:pPr>
        <w:spacing w:after="0" w:line="12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would likely suffer.</w:t>
      </w:r>
    </w:p>
    <w:p>
      <w:pPr>
        <w:spacing w:after="0" w:line="3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would likely suffer. During 2004, 2003 and 2002, Caterpillar and its dealer network accounted for 54%, 60% and 81% of our product revenue, respectively. Pursuant to our distribution agreement with Caterpillar, they are the exclusive OEM distributor, subject to limited exceptions, of our CleanSource UPS product. Caterpillar is not obligated to purchase any CleanSource UPS units. Through December 31, 2004,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continue to underutilize our manufacturing capacity and our business will continue to suffer.</w:t>
      </w:r>
    </w:p>
    <w:p>
      <w:pPr>
        <w:spacing w:after="0" w:line="3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allocate its associated overhead, we must achieve significantly higher sales volumes. We have not been successful at increasing our sales volume to a level that fully utilizes the capacity following the facility expansion and we may never increase our sales volume to necessary levels. We do intend to manufacture and test our CleanSource XR in this facility. If we do not reach these sales volume levels, or if we cannot sell our products at our suggested prices, our ability to reach profitability will be materially limited.</w:t>
      </w:r>
    </w:p>
    <w:p>
      <w:pPr>
        <w:spacing w:after="0" w:line="9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CleanSource UPS or CleanSource XR product lines could significantly affect the market’s perception of our products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and title is transferred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A decline in our stock price has resulted in a substantial number of “underwater” stock options, whereby the exercise price of the option is greater than the current market value of our common stock. As a result, the financial attractiveness of the stock option is substantially diminished, which may cause certain of our employees to seek employment elsewhere as a result of this decreased financial incentive. In April 2003, we reduced our workforce throughout all of our departments.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9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4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From time to time, as part of our corporate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activities for at least 12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9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2004 the sales price of our common stock ranged from $2.53 to $4.95. The market price of our common stock can be expected to fluctuate significantly in response to numerous factors, some of which are beyond our control, including the following:</w:t>
      </w:r>
    </w:p>
    <w:p>
      <w:pPr>
        <w:spacing w:after="0" w:line="4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03"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selling stockholders will receive all of the net proceeds from sales of shares of our common stock offered by this prospectus. We will not receive any of the proceeds upon the resale of the common stock by the selling stockholders.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material terms and provisions of the registration rights agreement that we entered into with the selling stockholders. It may not contain all the information that is important to you. You can access complete information by referring to the registration rights agreement.</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a registration rights agreement dated as of February 3, 2005 by and between us and the selling stockholders, we are obligated to file a registration statement covering the sale by the selling stockholders of the common stock that they purchased from us and the shares of common stock that may be issued upon the exercise of the selling stockholders’ additional investment rights. Under the registration rights agreement, we must use our best efforts to cause the registration statement to be declared effective by the Securities and Exchange Commission and, subject to certain contingencies, to keep the registration statement continuously effective until the earlier of:</w:t>
      </w:r>
    </w:p>
    <w:p>
      <w:pPr>
        <w:spacing w:after="0" w:line="4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that is three years following the date this registration statement first becomes effective;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selling stockholders’ shares common stock covered under this prospectus have been sold; or</w:t>
      </w:r>
    </w:p>
    <w:p>
      <w:pPr>
        <w:spacing w:after="0" w:line="103"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the selling stockholders may sell the shares of common stock covered by this prospectus without restriction pursuant to Rule 144(k) of the Securities Act, or any successor rule.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registration rights agreement requires that we bear all expenses of registering the common stock with the exception of the fees and expenses of any legal counsel the selling stockholders may engage and any broker or similar commissions.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event (i) we fail to file with the Securities and Exchange Commission, or SEC, a request for acceleration of effectiveness within five trading days of the date that we are notified that this registration statement will not be “reviewed,” or is not subject to further review, (ii) prior to the date when this registration statement is first declared effective by the SEC, we fail to file a pre-effective amendment and otherwise respond in writing to comments made by the SEC in respect to this registration statement within 10 trading days after the receipt of comments from the SEC, (iii) this registration statement is not declared effective by the SEC on or before May 4, 2005 (or 30 days after such date if this registration statement is reviewed by the SEC), or (iv) after this registration statement is first declared effective by the SEC, it ceases for any reason to remain continuously effective as to all shares registered for resale hereunder, or the selling stockholders are not permitted to utilize this prospectus to resell the shares, for in any such case 10 consecutive trading days but no more than an aggregate of 20 trading days during any 12 month period (which need not be consecutive trading days), we will be required to pay on the date of such event and to the extent such event continues, on the first and second month anniversaries of the occurrence of the event to each selling stockholder an amount in cash equal to 1% of the aggregate purchase price paid by such selling stockholder for the purchase of the shares of our common stock registered for resale hereby (but not including any shares issuable upon the exercise of the Additional Investment Rights). If such event continues after the second monthly anniversary, we will be required to pay on each successive monthly anniversary thereafter an amount in cash equal to 2% of the aggregate purchase price paid by such selling stockholder for the purchase of the shares of our common stock registered for resale hereby.</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subject to the limitations contained in the registration rights agreement, we also agreed to indemnify each selling stockholder against all losses, claims, damages or liabilities arising under the securities laws in connection with the registration statement or this prospectus or that arise out of or are based upon a violation by the Company of the securities purchase agreement. In addition, subject to the limitations contained in the registration rights agreement, each of the selling stockholders agreed, severally and not jointly, to indemnify us and our directors, officers and any person who controls our company, or any of such other selling stockholders and certain related persons against all losses, claims, damages or liabilities arising under the securities laws that arise out of or are based upon any violation by such selling stockholder of the registration rights agreement, to the extent that such violation occurs in reliance upon and in conformity with written information furnished to us by the selling stockholders for use in the registration statement or this prospectus or any amendment to the registration statement or any prospectus supplements.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the number of shares of common stock beneficially owned by each of the selling stockholders as of March 22, 2005, the number of shares of common stock covered by this prospectus and the percentage of total shares of common stock that each of the selling stockholders will beneficially own upon completion of this offering if such percentage exceeds one percent. This table assumes that the selling stockholders will fully exercise their additional investment rights and will offer for sale all of the shares of common stock covered by this prospectus.</w:t>
      </w:r>
    </w:p>
    <w:p>
      <w:pPr>
        <w:spacing w:after="0" w:line="9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February 4, 2005, we issued to the selling stockholders an aggregate of 5,454,510 shares of our common stock at a price of $3.64 per share for aggregate initial gross proceeds of $19.8 million. We also granted to the selling stockholders additional investment rights to purchase an aggregate of 1,636,353 additional common shares at $3.64 per share during the 180 day period following the effective date of this prospectus.</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common stock offered by this prospectus may be offered from time to time by the selling stockholders named below, or by any of their pledges, donees, transferees or other successors in interest. The amounts and information set forth below are based upon information provided to us by representatives of the selling stockholders, or on our records, as of March 15, 2005 and are accurate to the best of our knowledge. It is possible, however, that the selling stockholders may acquire or dispose of additional shares of common stock from time to time after the date of this prospectus. To our knowledge, none of the selling stockholders has had within the past three years any material relationship with us.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Shares of Common</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Common</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of Beneficial</w:t>
            </w:r>
          </w:p>
        </w:tc>
        <w:tc>
          <w:tcPr>
            <w:tcW w:w="19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20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 Owned</w:t>
            </w:r>
          </w:p>
        </w:tc>
        <w:tc>
          <w:tcPr>
            <w:tcW w:w="6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 of Shares of</w:t>
            </w:r>
          </w:p>
        </w:tc>
        <w:tc>
          <w:tcPr>
            <w:tcW w:w="19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20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Stock Offered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After the Offering</w:t>
            </w:r>
          </w:p>
        </w:tc>
        <w:tc>
          <w:tcPr>
            <w:tcW w:w="6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Owned After</w:t>
            </w:r>
          </w:p>
        </w:tc>
      </w:tr>
      <w:tr>
        <w:trPr>
          <w:trHeight w:val="174"/>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Offering (1)</w:t>
            </w:r>
          </w:p>
        </w:tc>
        <w:tc>
          <w:tcPr>
            <w:tcW w:w="20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Hereby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6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Offering (3)</w:t>
            </w:r>
          </w:p>
        </w:tc>
      </w:tr>
      <w:tr>
        <w:trPr>
          <w:trHeight w:val="95"/>
        </w:trPr>
        <w:tc>
          <w:tcPr>
            <w:tcW w:w="146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16"/>
        </w:trPr>
        <w:tc>
          <w:tcPr>
            <w:tcW w:w="4840" w:type="dxa"/>
            <w:vAlign w:val="bottom"/>
            <w:gridSpan w:val="2"/>
          </w:tcPr>
          <w:p>
            <w:pPr>
              <w:spacing w:after="0"/>
              <w:rPr>
                <w:sz w:val="20"/>
                <w:szCs w:val="20"/>
                <w:color w:val="auto"/>
              </w:rPr>
            </w:pPr>
            <w:r>
              <w:rPr>
                <w:rFonts w:ascii="Arial" w:cs="Arial" w:eastAsia="Arial" w:hAnsi="Arial"/>
                <w:sz w:val="18"/>
                <w:szCs w:val="18"/>
                <w:color w:val="auto"/>
              </w:rPr>
              <w:t>Capital Ventures International (4)</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892,866(5)</w:t>
            </w: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892,866(5)</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Smithfield Fiduciary LLC (6)</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1,300,000(7)</w:t>
            </w: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1,300,000(7)</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D.B. Zwirn Special Opportunities Fund, L.P. (8)</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642,860(9)</w:t>
            </w: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642,860(9)</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D.B. Zwirn Special Opportunities Fund, Ltd. (10)</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964,291(11)</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964,291(11)</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Southport Millennium Fund, L.P.</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233,620(12)</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41,860(12)</w:t>
            </w:r>
          </w:p>
        </w:tc>
        <w:tc>
          <w:tcPr>
            <w:tcW w:w="1100" w:type="dxa"/>
            <w:vAlign w:val="bottom"/>
          </w:tcPr>
          <w:p>
            <w:pPr>
              <w:jc w:val="right"/>
              <w:spacing w:after="0"/>
              <w:rPr>
                <w:sz w:val="20"/>
                <w:szCs w:val="20"/>
                <w:color w:val="auto"/>
              </w:rPr>
            </w:pPr>
            <w:r>
              <w:rPr>
                <w:rFonts w:ascii="Arial" w:cs="Arial" w:eastAsia="Arial" w:hAnsi="Arial"/>
                <w:sz w:val="18"/>
                <w:szCs w:val="18"/>
                <w:color w:val="auto"/>
              </w:rPr>
              <w:t>191,400</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Southport Millennium Fund II, L.P.</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532,210(13)</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69,810(13)</w:t>
            </w:r>
          </w:p>
        </w:tc>
        <w:tc>
          <w:tcPr>
            <w:tcW w:w="1100" w:type="dxa"/>
            <w:vAlign w:val="bottom"/>
          </w:tcPr>
          <w:p>
            <w:pPr>
              <w:jc w:val="right"/>
              <w:spacing w:after="0"/>
              <w:rPr>
                <w:sz w:val="20"/>
                <w:szCs w:val="20"/>
                <w:color w:val="auto"/>
              </w:rPr>
            </w:pPr>
            <w:r>
              <w:rPr>
                <w:rFonts w:ascii="Arial" w:cs="Arial" w:eastAsia="Arial" w:hAnsi="Arial"/>
                <w:sz w:val="18"/>
                <w:szCs w:val="18"/>
                <w:color w:val="auto"/>
              </w:rPr>
              <w:t>462,400</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Southport Millennium Micro Cap Fund, L.P.</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140,030(14)</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17,030(14)</w:t>
            </w:r>
          </w:p>
        </w:tc>
        <w:tc>
          <w:tcPr>
            <w:tcW w:w="1100" w:type="dxa"/>
            <w:vAlign w:val="bottom"/>
          </w:tcPr>
          <w:p>
            <w:pPr>
              <w:jc w:val="right"/>
              <w:spacing w:after="0"/>
              <w:rPr>
                <w:sz w:val="20"/>
                <w:szCs w:val="20"/>
                <w:color w:val="auto"/>
              </w:rPr>
            </w:pPr>
            <w:r>
              <w:rPr>
                <w:rFonts w:ascii="Arial" w:cs="Arial" w:eastAsia="Arial" w:hAnsi="Arial"/>
                <w:sz w:val="18"/>
                <w:szCs w:val="18"/>
                <w:color w:val="auto"/>
              </w:rPr>
              <w:t>123,000</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Southport Millennium Offshore Fund, Inc.</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1,431,830(15)</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196,300(15)</w:t>
            </w:r>
          </w:p>
        </w:tc>
        <w:tc>
          <w:tcPr>
            <w:tcW w:w="1100" w:type="dxa"/>
            <w:vAlign w:val="bottom"/>
          </w:tcPr>
          <w:p>
            <w:pPr>
              <w:jc w:val="right"/>
              <w:spacing w:after="0"/>
              <w:rPr>
                <w:sz w:val="20"/>
                <w:szCs w:val="20"/>
                <w:color w:val="auto"/>
              </w:rPr>
            </w:pPr>
            <w:r>
              <w:rPr>
                <w:rFonts w:ascii="Arial" w:cs="Arial" w:eastAsia="Arial" w:hAnsi="Arial"/>
                <w:sz w:val="18"/>
                <w:szCs w:val="18"/>
                <w:color w:val="auto"/>
              </w:rPr>
              <w:t>1,235,530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Southport Energy Plus Partners, L.P. (16)</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1,475,330(17)</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482,430(17)</w:t>
            </w:r>
          </w:p>
        </w:tc>
        <w:tc>
          <w:tcPr>
            <w:tcW w:w="1100" w:type="dxa"/>
            <w:vAlign w:val="bottom"/>
          </w:tcPr>
          <w:p>
            <w:pPr>
              <w:jc w:val="right"/>
              <w:spacing w:after="0"/>
              <w:rPr>
                <w:sz w:val="20"/>
                <w:szCs w:val="20"/>
                <w:color w:val="auto"/>
              </w:rPr>
            </w:pPr>
            <w:r>
              <w:rPr>
                <w:rFonts w:ascii="Arial" w:cs="Arial" w:eastAsia="Arial" w:hAnsi="Arial"/>
                <w:sz w:val="18"/>
                <w:szCs w:val="18"/>
                <w:color w:val="auto"/>
              </w:rPr>
              <w:t>992,900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Southport Energy Plus Offshore Fund, Inc. (18)</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627,410(19)</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121,810(19)</w:t>
            </w:r>
          </w:p>
        </w:tc>
        <w:tc>
          <w:tcPr>
            <w:tcW w:w="1100" w:type="dxa"/>
            <w:vAlign w:val="bottom"/>
          </w:tcPr>
          <w:p>
            <w:pPr>
              <w:jc w:val="right"/>
              <w:spacing w:after="0"/>
              <w:rPr>
                <w:sz w:val="20"/>
                <w:szCs w:val="20"/>
                <w:color w:val="auto"/>
              </w:rPr>
            </w:pPr>
            <w:r>
              <w:rPr>
                <w:rFonts w:ascii="Arial" w:cs="Arial" w:eastAsia="Arial" w:hAnsi="Arial"/>
                <w:sz w:val="18"/>
                <w:szCs w:val="18"/>
                <w:color w:val="auto"/>
              </w:rPr>
              <w:t>505,600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Sound Energy Capital Offshore Fund, Ltd. (20)</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193,428(21)</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45,760(21)</w:t>
            </w:r>
          </w:p>
        </w:tc>
        <w:tc>
          <w:tcPr>
            <w:tcW w:w="1100" w:type="dxa"/>
            <w:vAlign w:val="bottom"/>
          </w:tcPr>
          <w:p>
            <w:pPr>
              <w:jc w:val="right"/>
              <w:spacing w:after="0"/>
              <w:rPr>
                <w:sz w:val="20"/>
                <w:szCs w:val="20"/>
                <w:color w:val="auto"/>
              </w:rPr>
            </w:pPr>
            <w:r>
              <w:rPr>
                <w:rFonts w:ascii="Arial" w:cs="Arial" w:eastAsia="Arial" w:hAnsi="Arial"/>
                <w:sz w:val="18"/>
                <w:szCs w:val="18"/>
                <w:color w:val="auto"/>
              </w:rPr>
              <w:t>147,668</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SF Capital Partners Ltd.</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650,000(22)</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650,000(22)</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Portside Growth and Opportunity Fund (23)</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1,159,054(24)</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1,159,054(24)</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ALM Brand Bank</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215,000(25)</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195,000(25)</w:t>
            </w: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Impax Environmental Markets (Ireland) Fund</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460,845(26)</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19,500(26)</w:t>
            </w:r>
          </w:p>
        </w:tc>
        <w:tc>
          <w:tcPr>
            <w:tcW w:w="1100" w:type="dxa"/>
            <w:vAlign w:val="bottom"/>
          </w:tcPr>
          <w:p>
            <w:pPr>
              <w:jc w:val="right"/>
              <w:spacing w:after="0"/>
              <w:rPr>
                <w:sz w:val="20"/>
                <w:szCs w:val="20"/>
                <w:color w:val="auto"/>
              </w:rPr>
            </w:pPr>
            <w:r>
              <w:rPr>
                <w:rFonts w:ascii="Arial" w:cs="Arial" w:eastAsia="Arial" w:hAnsi="Arial"/>
                <w:sz w:val="18"/>
                <w:szCs w:val="18"/>
                <w:color w:val="auto"/>
              </w:rPr>
              <w:t>441,345</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Impax Environmental Markets PLC</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392,345(27)</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78,000(27)</w:t>
            </w:r>
          </w:p>
        </w:tc>
        <w:tc>
          <w:tcPr>
            <w:tcW w:w="1100" w:type="dxa"/>
            <w:vAlign w:val="bottom"/>
          </w:tcPr>
          <w:p>
            <w:pPr>
              <w:jc w:val="right"/>
              <w:spacing w:after="0"/>
              <w:rPr>
                <w:sz w:val="20"/>
                <w:szCs w:val="20"/>
                <w:color w:val="auto"/>
              </w:rPr>
            </w:pPr>
            <w:r>
              <w:rPr>
                <w:rFonts w:ascii="Arial" w:cs="Arial" w:eastAsia="Arial" w:hAnsi="Arial"/>
                <w:sz w:val="18"/>
                <w:szCs w:val="18"/>
                <w:color w:val="auto"/>
              </w:rPr>
              <w:t>314,345</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PNE Invest Ltd.</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464,492(28)</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214,292(28)</w:t>
            </w:r>
          </w:p>
        </w:tc>
        <w:tc>
          <w:tcPr>
            <w:tcW w:w="1100" w:type="dxa"/>
            <w:vAlign w:val="bottom"/>
          </w:tcPr>
          <w:p>
            <w:pPr>
              <w:jc w:val="right"/>
              <w:spacing w:after="0"/>
              <w:rPr>
                <w:sz w:val="20"/>
                <w:szCs w:val="20"/>
                <w:color w:val="auto"/>
              </w:rPr>
            </w:pPr>
            <w:r>
              <w:rPr>
                <w:rFonts w:ascii="Arial" w:cs="Arial" w:eastAsia="Arial" w:hAnsi="Arial"/>
                <w:sz w:val="18"/>
                <w:szCs w:val="18"/>
                <w:color w:val="auto"/>
              </w:rPr>
              <w:t>250,000</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Footnotes to Selling Stockholder table:</w:t>
      </w:r>
    </w:p>
    <w:p>
      <w:pPr>
        <w:spacing w:after="0" w:line="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Rule 13d-3 of the Exchange Act, a person is deemed to be the beneficial owner of a security if that person has the right to acquire beneficial ownership of such security within 60 days, including the right to acquire through the exercise of an option or warrant or through the conversion of a security.</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share amount listed in this column assumes that the selling stockholder will exercise all of their additional investment rights and sell all of the shares of our common stock covered by this prospectus, and that they will not sell any shares other than those covered by this prospectus.</w:t>
      </w:r>
    </w:p>
    <w:p>
      <w:pPr>
        <w:spacing w:after="0" w:line="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48,579,595 outstanding shares of our common stock as of March 22, 2005 and assumes that the 1,636,353 shares of common stock issuable upon the exercise of the Additional Investment Rights are not outstanding.</w:t>
      </w:r>
    </w:p>
    <w:p>
      <w:pPr>
        <w:spacing w:after="0" w:line="37" w:lineRule="exact"/>
        <w:rPr>
          <w:rFonts w:ascii="Arial" w:cs="Arial" w:eastAsia="Arial" w:hAnsi="Arial"/>
          <w:sz w:val="18"/>
          <w:szCs w:val="18"/>
          <w:color w:val="auto"/>
        </w:rPr>
      </w:pPr>
    </w:p>
    <w:p>
      <w:pPr>
        <w:ind w:left="460" w:right="18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Heights Capital Management, Inc., the authorized agent of Capital Ventures International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these shares.</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206,046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Highbridge Capital Management, LLC is the trading manager of Smithfield Fiduciary LLC and has voting control and investment discretion over securities held by Smithfield Fiduciary LLC. Glen Dubin and Henry Swieca control Highbridge Capital Management, LLC. Each of Highbridge Capital Management, LLC, Glen Dubin and Henry Swieca disclaims beneficial ownership of the securities held by Smithfield Fiduciary LLC.</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300,000 shares of common stock that may be issued upon the exercise of the additional investment rights.</w:t>
      </w:r>
    </w:p>
    <w:p>
      <w:pPr>
        <w:spacing w:after="0" w:line="76" w:lineRule="exact"/>
        <w:rPr>
          <w:rFonts w:ascii="Arial" w:cs="Arial" w:eastAsia="Arial" w:hAnsi="Arial"/>
          <w:sz w:val="18"/>
          <w:szCs w:val="18"/>
          <w:color w:val="auto"/>
        </w:rPr>
      </w:pPr>
    </w:p>
    <w:p>
      <w:pPr>
        <w:jc w:val="both"/>
        <w:ind w:left="460" w:right="22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D.B. Zwirn &amp; Co., L.P. is the trading manager of D.B. Zwirn Special Opportunities Fund, L.P. Daniel B. Zwirn controls Zwirn Holdings, LLC, which in turn is the managing member of and thereby controls DBZ GP, LLC, which in turn is the general partner of and thereby controls D.B. Zwirn &amp; Co., L.P. The foregoing should not be constructed in and of itself as an admission by any Reporting Person as to beneficial ownership of shares of Common Stock owned by another Reporting Person.</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148,352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D.B. Zwirn &amp; Co., L.P. is the trading manager of D.B. Zwirn Special Opportunities Fund, Ltd. Daniel B. Zwirn controls Zwirn Holdings, LLC, which in turn is the managing member of and thereby controls DBZ GP, LLC, which in turn is the general partner of and thereby controls D.B. Zwirn &amp; Co., L.P. The foregoing should not be construed in and of itself as an admission by any Reporting Person as to beneficial ownership of shares of Common Stock owned by another Reporting Person.</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222,529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9,660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16,110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3,930 shares of common stock that may be issued upon the exercise of the additional investment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45,300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Manager/Advisor for Southport Energy Plus Partners, L.P. and Southport Energy Plus Offshore Fund, Inc. holding the voting and dispositive powers for the funds.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111,330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Manager/Advisor for Southport Energy Plus Partners, L.P. and Southport Energy Plus Offshore Fund, Inc. holding the voting and dispositive powers for the funds.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28,110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Sound Energy Capital Management, L.P. is the Investment Advisor for Sound Energy Capital Offshore Fund, Ltd. holding the voting and dispositive powers for the fund.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10,560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150,000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60" w:hanging="452"/>
        <w:spacing w:after="0" w:line="29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Ramius Capital Group, LLC (“Ramius Capital”) is the investment adviser of Portside Growth and Opportunity Fund (“Portside”) and consequently has voting control and investment discretion over securities held by Portside. Ramius Capital disclaims beneficial ownership of the shares held by Portside. Peter A. Cohen, Morgan B. Stark, Thomas W. Strauss and Jeffrey M. Solomon are the sole managing members of C4S &amp; Co., LLC, the sole managing member of Ramius Capital. As a result, Messrs. Cohen, Stark, Strauss and Solomon may be considered beneficial owners of any shares deemed to be beneficially owned by Ramius Capital. Messrs. Cohen, Stark, Strauss and Solomon disclaim beneficial ownership of these shares.</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267,474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45,000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4,500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18,000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49,452 shares of common stock that may be issued upon the exercise of the additional investment rights.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are registering the shares to be sold under this prospectus on behalf of the selling stockholders. We will receive no proceeds from this offering. When used below, the term “selling stockholders” includes the selling stockholders and their pledgees, donees, transferees or other successors-in-interest selling shares received from the selling stockholder as a gift, distribution or other non-sale-related transfer after the date of this prospectus, if any.</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selling stockholders and any of their pledgees, assignees and successors-in-interest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4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03"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selling stockholders may also sell shares under Rule 144 under the Securities Act of 1933, as amended, if available, rather than under this prospectus.</w:t>
      </w:r>
    </w:p>
    <w:p>
      <w:pPr>
        <w:spacing w:after="0" w:line="19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NASD Rule 2440; and in the case of a principal transaction a markup or markdown in compliance with NASD IM-2440.</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us that it does not have any written or oral agreement or understanding, directly or indirectly, with any person to distribute the common stock. In no event shall any broker-dealer receive fees, commissions and markups which, in the aggregate, would exceed eight percent (8%).</w:t>
      </w:r>
    </w:p>
    <w:p>
      <w:pPr>
        <w:spacing w:after="0" w:line="10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shares. We have agreed to indemnify the selling stockholders against certain losses, claims, damages and liabilities, including liabilities under the Securities Act.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selling stockholders may be deemed to be “underwriters” within the meaning of the Securities Act, they will be subject to the prospectus delivery requirements of the Securities Act. In addition, any securities covered by this prospectus which qualify for sale pursuant to Rule 144 under the Securities Act may be sold under Rule 144 rather than under this prospectus. Each selling stockholder has advised us that they have not entered into any written or oral agreements, understandings or arrangements with any underwriter or broker-dealer regarding the sale of the resale shares. There is no underwriter or coordinating broker acting in connection with the proposed sale of the resale shares by the selling stockholders.</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agreed to keep this prospectus effective until the earliest of (i) the date that is three years following the date this registration statement first becomes effective; (ii) the date on which the shares may be resold by the Selling Stockholders without registration and without regard to any volume limitations by reason of Rule 144(e) under the Securities Act or any other rule of similar effect or (iii) all of the shares have been sold pursuant to the prospectus or Rule 144 under the Securities Act or any other rule of similar effect. The resale shares will be sold only through registered or licensed brokers or dealers if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10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Under applicable rules and regulations under the Exchange Act, any person engaged in the distribution of the resale shares may not simultaneously engage in market making activities with respect to the common stock for a period of two business days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validity of the common stock will be passed upon for us by Andrews Kurth LLP, Austin, Texas. If the common stock is being distributed in an underwritten offering, legal matters will be passed upon for the underwriters by counsel identified in the related prospectus supplement.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financial statements of Active Power, Inc. included in Active Power, Inc.’s Annual Report on Form 10-K for the year ended December 31, 2004, and Active Power, Inc. management’s assessment of the effectiveness of internal control over financial reporting as of December 31, 2004 included therein, have been audited by Ernst &amp; Young LLP, independent registered public accounting firm, as set forth in its reports thereon which conclude, among other things, that Active Power, Inc. did not maintain effective internal control over financial reporting as of December 31, 2004, based on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because of the effects of the material weakness described therein, included therein, and incorporated herein by reference. Such financial statements and management’s assessment have been incorporated herein by reference in reliance upon such reports given on the authority of such firm as experts in accounting and auditing.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file annual, quarterly and other reports and information with the SEC as required by the Securities Exchange Act of 1934. You may read and copy any document we file at the public reference facilities maintained by the SEC at 450 Fifth Street, N.W., Washington, D.C. 20549. Please call the SEC at 1-800-SEC-0330 for further information on the operation of the public reference room. Our SEC filings also may be accessed electronically at the SEC’s web site at http://www.sec.gov.</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allows us to “incorporate by reference” information filed with the SEC. This means that we can disclose important information to you, without actually including the specific information in this prospectus, by referring you to those documents. The following documents which we have previously filed with the SEC pursuant to the Exchange Act are incorporated into this prospectus by reference:</w:t>
      </w:r>
    </w:p>
    <w:p>
      <w:pPr>
        <w:spacing w:after="0" w:line="4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2004 (filed March 15,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Amendment No. 1 to Annual Report on Form 10-K/A for the year ended December 31, 2004 (filed March 23, 2005);</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June 30, 2000), including any amendment or report filed for the purpose of updating such description; and</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December 14, 2001), including any amendment or report filed for the purpose of updating such description.</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All documents we file pursuant to Section 13(a), 13(c), 14 or 15(d) of the Exchange Act after the date of this prospectus and before all of the common stock offered by this prospectus is sold are incorporated by reference in this prospectus from the date of filing of the documents. Information that we file with the SEC will automatically update and may replace information in this prospectus and information previously filed with the SEC.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 filings incorporated by reference in this prospectus, at no cost, by writing or calling us at: Active Power, Inc., 2128 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Braker Lane, BK12, Austin, Texas 78758, Attention: Secretary (telephone: (512) 836-6464).</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240" w:top="459" w:right="6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expenses to be paid in connection with the issuance and distribution of the securities being registered, other than underwriting discounts and commissions,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35,000</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48,334</w:t>
            </w: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-27305</wp:posOffset>
            </wp:positionV>
            <wp:extent cx="37274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Inc. is incorporated under the laws of the State of Delaware. Section 145 (“Section 145”) of Title 8 of the Delaware Code gives a corporation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Section 145 also gives a corporation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Section 145 further provides that, to the extent that a present or former director or officer of a corporation has been successful on the merits or otherwise in defense of any such action, suit or proceeding, or in defense of any claim, issue or matter therein, such person shall be indemnified against expenses (including attorneys’ fees) actually and reasonably incurred by such person in connection therewith.</w:t>
      </w:r>
    </w:p>
    <w:p>
      <w:pPr>
        <w:spacing w:after="0" w:line="11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145 also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arising out of his status as such, whether or not the corporation would otherwise have the power to indemnify him under Section 145.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restated certificate of incorporation and restated bylaws provide for the indemnification of officers and directors to the fullest extent permitted by the Delaware Code.</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our directors and officers are covered by insurance policies against certain liabilities for actions taken in their capacities as such, including liabilities under the Securities Act of 1933.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jc w:val="right"/>
              <w:ind w:right="175"/>
              <w:spacing w:after="0"/>
              <w:rPr>
                <w:sz w:val="20"/>
                <w:szCs w:val="20"/>
                <w:color w:val="auto"/>
              </w:rPr>
            </w:pPr>
            <w:r>
              <w:rPr>
                <w:rFonts w:ascii="Arial" w:cs="Arial" w:eastAsia="Arial" w:hAnsi="Arial"/>
                <w:sz w:val="18"/>
                <w:szCs w:val="18"/>
                <w:b w:val="1"/>
                <w:bCs w:val="1"/>
                <w:color w:val="auto"/>
                <w:w w:val="89"/>
              </w:rPr>
              <w:t>Item 16.</w:t>
            </w:r>
          </w:p>
        </w:tc>
        <w:tc>
          <w:tcPr>
            <w:tcW w:w="104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12"/>
        </w:trPr>
        <w:tc>
          <w:tcPr>
            <w:tcW w:w="880" w:type="dxa"/>
            <w:vAlign w:val="bottom"/>
          </w:tcPr>
          <w:p>
            <w:pPr>
              <w:jc w:val="right"/>
              <w:ind w:right="15"/>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95"/>
        </w:trPr>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340" w:type="dxa"/>
            <w:vAlign w:val="bottom"/>
          </w:tcPr>
          <w:p>
            <w:pPr>
              <w:spacing w:after="0"/>
              <w:rPr>
                <w:sz w:val="8"/>
                <w:szCs w:val="8"/>
                <w:color w:val="auto"/>
              </w:rPr>
            </w:pPr>
          </w:p>
        </w:tc>
      </w:tr>
      <w:tr>
        <w:trPr>
          <w:trHeight w:val="417"/>
        </w:trPr>
        <w:tc>
          <w:tcPr>
            <w:tcW w:w="880" w:type="dxa"/>
            <w:vAlign w:val="bottom"/>
          </w:tcPr>
          <w:p>
            <w:pPr>
              <w:jc w:val="right"/>
              <w:ind w:right="235"/>
              <w:spacing w:after="0"/>
              <w:rPr>
                <w:sz w:val="20"/>
                <w:szCs w:val="20"/>
                <w:color w:val="auto"/>
              </w:rPr>
            </w:pPr>
            <w:r>
              <w:rPr>
                <w:rFonts w:ascii="Arial" w:cs="Arial" w:eastAsia="Arial" w:hAnsi="Arial"/>
                <w:sz w:val="18"/>
                <w:szCs w:val="18"/>
                <w:color w:val="auto"/>
              </w:rPr>
              <w:t>4.1</w:t>
            </w:r>
          </w:p>
        </w:tc>
        <w:tc>
          <w:tcPr>
            <w:tcW w:w="10440" w:type="dxa"/>
            <w:vAlign w:val="bottom"/>
            <w:gridSpan w:val="3"/>
          </w:tcPr>
          <w:p>
            <w:pPr>
              <w:ind w:left="200"/>
              <w:spacing w:after="0"/>
              <w:rPr>
                <w:sz w:val="20"/>
                <w:szCs w:val="20"/>
                <w:color w:val="auto"/>
              </w:rPr>
            </w:pPr>
            <w:r>
              <w:rPr>
                <w:rFonts w:ascii="Arial" w:cs="Arial" w:eastAsia="Arial" w:hAnsi="Arial"/>
                <w:sz w:val="18"/>
                <w:szCs w:val="18"/>
                <w:color w:val="auto"/>
                <w:w w:val="90"/>
              </w:rPr>
              <w:t>—  Specimen certificate for shares of Common Stock (filed as Exhibit 4.1 to Active Power’s Registration Statement on Form S-1 (SEC File No.</w:t>
            </w:r>
          </w:p>
        </w:tc>
      </w:tr>
      <w:tr>
        <w:trPr>
          <w:trHeight w:val="222"/>
        </w:trPr>
        <w:tc>
          <w:tcPr>
            <w:tcW w:w="880" w:type="dxa"/>
            <w:vAlign w:val="bottom"/>
          </w:tcPr>
          <w:p>
            <w:pPr>
              <w:spacing w:after="0"/>
              <w:rPr>
                <w:sz w:val="19"/>
                <w:szCs w:val="19"/>
                <w:color w:val="auto"/>
              </w:rPr>
            </w:pPr>
          </w:p>
        </w:tc>
        <w:tc>
          <w:tcPr>
            <w:tcW w:w="10440" w:type="dxa"/>
            <w:vAlign w:val="bottom"/>
            <w:gridSpan w:val="3"/>
          </w:tcPr>
          <w:p>
            <w:pPr>
              <w:ind w:left="580"/>
              <w:spacing w:after="0"/>
              <w:rPr>
                <w:sz w:val="20"/>
                <w:szCs w:val="20"/>
                <w:color w:val="auto"/>
              </w:rPr>
            </w:pPr>
            <w:r>
              <w:rPr>
                <w:rFonts w:ascii="Arial" w:cs="Arial" w:eastAsia="Arial" w:hAnsi="Arial"/>
                <w:sz w:val="18"/>
                <w:szCs w:val="18"/>
                <w:color w:val="auto"/>
              </w:rPr>
              <w:t>333-36946).</w:t>
            </w:r>
          </w:p>
        </w:tc>
      </w:tr>
      <w:tr>
        <w:trPr>
          <w:trHeight w:val="318"/>
        </w:trPr>
        <w:tc>
          <w:tcPr>
            <w:tcW w:w="880" w:type="dxa"/>
            <w:vAlign w:val="bottom"/>
          </w:tcPr>
          <w:p>
            <w:pPr>
              <w:jc w:val="right"/>
              <w:ind w:right="235"/>
              <w:spacing w:after="0"/>
              <w:rPr>
                <w:sz w:val="20"/>
                <w:szCs w:val="20"/>
                <w:color w:val="auto"/>
              </w:rPr>
            </w:pPr>
            <w:r>
              <w:rPr>
                <w:rFonts w:ascii="Arial" w:cs="Arial" w:eastAsia="Arial" w:hAnsi="Arial"/>
                <w:sz w:val="18"/>
                <w:szCs w:val="18"/>
                <w:color w:val="auto"/>
              </w:rPr>
              <w:t>4.2</w:t>
            </w:r>
          </w:p>
        </w:tc>
        <w:tc>
          <w:tcPr>
            <w:tcW w:w="10440" w:type="dxa"/>
            <w:vAlign w:val="bottom"/>
            <w:gridSpan w:val="3"/>
          </w:tcPr>
          <w:p>
            <w:pPr>
              <w:ind w:left="200"/>
              <w:spacing w:after="0"/>
              <w:rPr>
                <w:sz w:val="20"/>
                <w:szCs w:val="20"/>
                <w:color w:val="auto"/>
              </w:rPr>
            </w:pPr>
            <w:r>
              <w:rPr>
                <w:rFonts w:ascii="Arial" w:cs="Arial" w:eastAsia="Arial" w:hAnsi="Arial"/>
                <w:sz w:val="18"/>
                <w:szCs w:val="18"/>
                <w:color w:val="auto"/>
                <w:w w:val="94"/>
              </w:rPr>
              <w:t>—  Rights Agreement, dated as of December 13, 2001, between the Active Power and Equiserve Trust N.A., which includes the form of</w:t>
            </w:r>
          </w:p>
        </w:tc>
      </w:tr>
      <w:tr>
        <w:trPr>
          <w:trHeight w:val="216"/>
        </w:trPr>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Certificate of Designation for the Series A Junior Participating Preferred Stock as Exhibit A, the form of Rights Certificate as Exhibit B and</w:t>
            </w:r>
          </w:p>
        </w:tc>
      </w:tr>
      <w:tr>
        <w:trPr>
          <w:trHeight w:val="216"/>
        </w:trPr>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the Summary of Rights to Purchase Series A Preferred Stock as Exhibit C (filed as Exhibit 4.1 to Active Power’s Current Report on Form 8-</w:t>
            </w:r>
          </w:p>
        </w:tc>
      </w:tr>
      <w:tr>
        <w:trPr>
          <w:trHeight w:val="222"/>
        </w:trPr>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K dated December 13, 2001).</w:t>
            </w:r>
          </w:p>
        </w:tc>
      </w:tr>
      <w:tr>
        <w:trPr>
          <w:trHeight w:val="324"/>
        </w:trPr>
        <w:tc>
          <w:tcPr>
            <w:tcW w:w="880" w:type="dxa"/>
            <w:vAlign w:val="bottom"/>
          </w:tcPr>
          <w:p>
            <w:pPr>
              <w:jc w:val="right"/>
              <w:ind w:right="155"/>
              <w:spacing w:after="0"/>
              <w:rPr>
                <w:sz w:val="20"/>
                <w:szCs w:val="20"/>
                <w:color w:val="auto"/>
              </w:rPr>
            </w:pPr>
            <w:r>
              <w:rPr>
                <w:rFonts w:ascii="Arial" w:cs="Arial" w:eastAsia="Arial" w:hAnsi="Arial"/>
                <w:sz w:val="18"/>
                <w:szCs w:val="18"/>
                <w:color w:val="auto"/>
              </w:rPr>
              <w:t>5.1*</w:t>
            </w:r>
          </w:p>
        </w:tc>
        <w:tc>
          <w:tcPr>
            <w:tcW w:w="10440" w:type="dxa"/>
            <w:vAlign w:val="bottom"/>
            <w:gridSpan w:val="3"/>
          </w:tcPr>
          <w:p>
            <w:pPr>
              <w:ind w:left="200"/>
              <w:spacing w:after="0"/>
              <w:rPr>
                <w:sz w:val="20"/>
                <w:szCs w:val="20"/>
                <w:color w:val="auto"/>
              </w:rPr>
            </w:pPr>
            <w:r>
              <w:rPr>
                <w:rFonts w:ascii="Arial" w:cs="Arial" w:eastAsia="Arial" w:hAnsi="Arial"/>
                <w:sz w:val="18"/>
                <w:szCs w:val="18"/>
                <w:color w:val="auto"/>
              </w:rPr>
              <w:t>—  Opinion of Andrews Kurth LLP.</w:t>
            </w:r>
          </w:p>
        </w:tc>
      </w:tr>
      <w:tr>
        <w:trPr>
          <w:trHeight w:val="324"/>
        </w:trPr>
        <w:tc>
          <w:tcPr>
            <w:tcW w:w="880" w:type="dxa"/>
            <w:vAlign w:val="bottom"/>
          </w:tcPr>
          <w:p>
            <w:pPr>
              <w:jc w:val="right"/>
              <w:ind w:right="155"/>
              <w:spacing w:after="0"/>
              <w:rPr>
                <w:sz w:val="20"/>
                <w:szCs w:val="20"/>
                <w:color w:val="auto"/>
              </w:rPr>
            </w:pPr>
            <w:r>
              <w:rPr>
                <w:rFonts w:ascii="Arial" w:cs="Arial" w:eastAsia="Arial" w:hAnsi="Arial"/>
                <w:sz w:val="18"/>
                <w:szCs w:val="18"/>
                <w:color w:val="auto"/>
              </w:rPr>
              <w:t>23.1*</w:t>
            </w:r>
          </w:p>
        </w:tc>
        <w:tc>
          <w:tcPr>
            <w:tcW w:w="10440" w:type="dxa"/>
            <w:vAlign w:val="bottom"/>
            <w:gridSpan w:val="3"/>
          </w:tcPr>
          <w:p>
            <w:pPr>
              <w:ind w:left="200"/>
              <w:spacing w:after="0"/>
              <w:rPr>
                <w:sz w:val="20"/>
                <w:szCs w:val="20"/>
                <w:color w:val="auto"/>
              </w:rPr>
            </w:pPr>
            <w:r>
              <w:rPr>
                <w:rFonts w:ascii="Arial" w:cs="Arial" w:eastAsia="Arial" w:hAnsi="Arial"/>
                <w:sz w:val="18"/>
                <w:szCs w:val="18"/>
                <w:color w:val="auto"/>
              </w:rPr>
              <w:t>—  Consent of Ernst &amp; Young LLP.</w:t>
            </w:r>
          </w:p>
        </w:tc>
      </w:tr>
      <w:tr>
        <w:trPr>
          <w:trHeight w:val="324"/>
        </w:trPr>
        <w:tc>
          <w:tcPr>
            <w:tcW w:w="880" w:type="dxa"/>
            <w:vAlign w:val="bottom"/>
          </w:tcPr>
          <w:p>
            <w:pPr>
              <w:jc w:val="right"/>
              <w:ind w:right="155"/>
              <w:spacing w:after="0"/>
              <w:rPr>
                <w:sz w:val="20"/>
                <w:szCs w:val="20"/>
                <w:color w:val="auto"/>
              </w:rPr>
            </w:pPr>
            <w:r>
              <w:rPr>
                <w:rFonts w:ascii="Arial" w:cs="Arial" w:eastAsia="Arial" w:hAnsi="Arial"/>
                <w:sz w:val="18"/>
                <w:szCs w:val="18"/>
                <w:color w:val="auto"/>
              </w:rPr>
              <w:t>23.2*</w:t>
            </w:r>
          </w:p>
        </w:tc>
        <w:tc>
          <w:tcPr>
            <w:tcW w:w="10440" w:type="dxa"/>
            <w:vAlign w:val="bottom"/>
            <w:gridSpan w:val="3"/>
          </w:tcPr>
          <w:p>
            <w:pPr>
              <w:ind w:left="200"/>
              <w:spacing w:after="0"/>
              <w:rPr>
                <w:sz w:val="20"/>
                <w:szCs w:val="20"/>
                <w:color w:val="auto"/>
              </w:rPr>
            </w:pPr>
            <w:r>
              <w:rPr>
                <w:rFonts w:ascii="Arial" w:cs="Arial" w:eastAsia="Arial" w:hAnsi="Arial"/>
                <w:sz w:val="18"/>
                <w:szCs w:val="18"/>
                <w:color w:val="auto"/>
              </w:rPr>
              <w:t>—  Consent of Andrews Kurth LLP (included in Exhibit 5.1).</w:t>
            </w:r>
          </w:p>
        </w:tc>
      </w:tr>
      <w:tr>
        <w:trPr>
          <w:trHeight w:val="324"/>
        </w:trPr>
        <w:tc>
          <w:tcPr>
            <w:tcW w:w="880" w:type="dxa"/>
            <w:vAlign w:val="bottom"/>
          </w:tcPr>
          <w:p>
            <w:pPr>
              <w:jc w:val="right"/>
              <w:ind w:right="155"/>
              <w:spacing w:after="0"/>
              <w:rPr>
                <w:sz w:val="20"/>
                <w:szCs w:val="20"/>
                <w:color w:val="auto"/>
              </w:rPr>
            </w:pPr>
            <w:r>
              <w:rPr>
                <w:rFonts w:ascii="Arial" w:cs="Arial" w:eastAsia="Arial" w:hAnsi="Arial"/>
                <w:sz w:val="18"/>
                <w:szCs w:val="18"/>
                <w:color w:val="auto"/>
              </w:rPr>
              <w:t>24.1*</w:t>
            </w:r>
          </w:p>
        </w:tc>
        <w:tc>
          <w:tcPr>
            <w:tcW w:w="10440" w:type="dxa"/>
            <w:vAlign w:val="bottom"/>
            <w:gridSpan w:val="3"/>
          </w:tcPr>
          <w:p>
            <w:pPr>
              <w:ind w:left="200"/>
              <w:spacing w:after="0"/>
              <w:rPr>
                <w:sz w:val="20"/>
                <w:szCs w:val="20"/>
                <w:color w:val="auto"/>
              </w:rPr>
            </w:pPr>
            <w:r>
              <w:rPr>
                <w:rFonts w:ascii="Arial" w:cs="Arial" w:eastAsia="Arial" w:hAnsi="Arial"/>
                <w:sz w:val="18"/>
                <w:szCs w:val="18"/>
                <w:color w:val="auto"/>
              </w:rPr>
              <w:t>—  Power of Attorney (included in signature page).</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Filed herewith.</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83" w:lineRule="exact"/>
        <w:rPr>
          <w:sz w:val="20"/>
          <w:szCs w:val="20"/>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20" w:firstLine="421"/>
        <w:spacing w:after="0" w:line="314" w:lineRule="auto"/>
        <w:tabs>
          <w:tab w:leader="none" w:pos="1598" w:val="left"/>
        </w:tabs>
        <w:numPr>
          <w:ilvl w:val="2"/>
          <w:numId w:val="17"/>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0"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118"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0" w:firstLine="443"/>
        <w:spacing w:after="0" w:line="268" w:lineRule="auto"/>
        <w:tabs>
          <w:tab w:leader="none" w:pos="11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right="120" w:firstLine="464"/>
        <w:spacing w:after="0" w:line="255"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ind w:firstLine="464"/>
        <w:spacing w:after="0" w:line="290"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4" w:lineRule="exact"/>
        <w:rPr>
          <w:rFonts w:ascii="Arial" w:cs="Arial" w:eastAsia="Arial" w:hAnsi="Arial"/>
          <w:sz w:val="16"/>
          <w:szCs w:val="16"/>
          <w:color w:val="auto"/>
        </w:rPr>
      </w:pPr>
    </w:p>
    <w:p>
      <w:pPr>
        <w:ind w:left="680" w:hanging="21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76" w:lineRule="exact"/>
        <w:rPr>
          <w:rFonts w:ascii="Arial" w:cs="Arial" w:eastAsia="Arial" w:hAnsi="Arial"/>
          <w:sz w:val="18"/>
          <w:szCs w:val="18"/>
          <w:color w:val="auto"/>
        </w:rPr>
      </w:pPr>
    </w:p>
    <w:p>
      <w:pPr>
        <w:ind w:left="460" w:right="220" w:firstLine="443"/>
        <w:spacing w:after="0" w:line="306" w:lineRule="auto"/>
        <w:tabs>
          <w:tab w:leader="none" w:pos="11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jc w:val="both"/>
        <w:ind w:left="460" w:right="120" w:firstLine="443"/>
        <w:spacing w:after="0" w:line="259"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2005.</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tabs>
          <w:tab w:leader="none" w:pos="8040" w:val="left"/>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Joseph F. Pinkerton, III,</w:t>
      </w:r>
    </w:p>
    <w:p>
      <w:pPr>
        <w:jc w:val="center"/>
        <w:ind w:left="7240"/>
        <w:spacing w:after="0" w:line="223" w:lineRule="auto"/>
        <w:rPr>
          <w:sz w:val="20"/>
          <w:szCs w:val="20"/>
          <w:color w:val="auto"/>
        </w:rPr>
      </w:pPr>
      <w:r>
        <w:rPr>
          <w:rFonts w:ascii="Arial" w:cs="Arial" w:eastAsia="Arial" w:hAnsi="Arial"/>
          <w:sz w:val="14"/>
          <w:szCs w:val="14"/>
          <w:b w:val="1"/>
          <w:bCs w:val="1"/>
          <w:color w:val="auto"/>
        </w:rPr>
        <w:t>Chairman of the Board, President</w:t>
      </w:r>
    </w:p>
    <w:p>
      <w:pPr>
        <w:jc w:val="center"/>
        <w:ind w:left="7240"/>
        <w:spacing w:after="0"/>
        <w:rPr>
          <w:sz w:val="20"/>
          <w:szCs w:val="20"/>
          <w:color w:val="auto"/>
        </w:rPr>
      </w:pPr>
      <w:r>
        <w:rPr>
          <w:rFonts w:ascii="Arial" w:cs="Arial" w:eastAsia="Arial" w:hAnsi="Arial"/>
          <w:sz w:val="14"/>
          <w:szCs w:val="14"/>
          <w:b w:val="1"/>
          <w:bCs w:val="1"/>
          <w:color w:val="auto"/>
        </w:rPr>
        <w:t>and Chief Executive Officer</w:t>
      </w:r>
    </w:p>
    <w:p>
      <w:pPr>
        <w:spacing w:after="0" w:line="14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Joseph F. Pinkerton, III and John Penver, and each or any of them, his true and lawful attorney-in-fact and agent, each with the power of substitution and resubstitution, for him in any and all capacities, to sign any and all amendments to this registration statement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on behalf of the registrant in the capacities set forth below on March 25, 2005.</w:t>
      </w:r>
    </w:p>
    <w:p>
      <w:pPr>
        <w:spacing w:after="0" w:line="114" w:lineRule="exact"/>
        <w:rPr>
          <w:sz w:val="20"/>
          <w:szCs w:val="20"/>
          <w:color w:val="auto"/>
        </w:rPr>
      </w:pPr>
    </w:p>
    <w:p>
      <w:pPr>
        <w:ind w:left="2640"/>
        <w:spacing w:after="0"/>
        <w:tabs>
          <w:tab w:leader="none" w:pos="6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68580</wp:posOffset>
            </wp:positionV>
            <wp:extent cx="445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68580</wp:posOffset>
            </wp:positionV>
            <wp:extent cx="240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64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Joseph F. Pinkerton, III</w:t>
      </w:r>
    </w:p>
    <w:p>
      <w:pPr>
        <w:spacing w:after="0" w:line="276" w:lineRule="exact"/>
        <w:rPr>
          <w:sz w:val="20"/>
          <w:szCs w:val="20"/>
          <w:color w:val="auto"/>
        </w:rPr>
      </w:pPr>
    </w:p>
    <w:p>
      <w:pPr>
        <w:ind w:left="2080"/>
        <w:spacing w:after="0"/>
        <w:tabs>
          <w:tab w:leader="none" w:pos="24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Chief Financial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35" w:lineRule="exact"/>
        <w:rPr>
          <w:sz w:val="20"/>
          <w:szCs w:val="20"/>
          <w:color w:val="auto"/>
        </w:rPr>
      </w:pPr>
    </w:p>
    <w:p>
      <w:pPr>
        <w:sectPr>
          <w:pgSz w:w="11900" w:h="16838" w:orient="portrait"/>
          <w:cols w:equalWidth="0" w:num="2">
            <w:col w:w="5560" w:space="720"/>
            <w:col w:w="512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5"/>
              </w:rPr>
              <w:t>John Penver</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431"/>
        </w:trPr>
        <w:tc>
          <w:tcPr>
            <w:tcW w:w="2260" w:type="dxa"/>
            <w:vAlign w:val="bottom"/>
            <w:gridSpan w:val="2"/>
          </w:tcPr>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40" w:type="dxa"/>
            <w:vAlign w:val="bottom"/>
          </w:tcPr>
          <w:p>
            <w:pPr>
              <w:jc w:val="center"/>
              <w:ind w:right="100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tc>
        <w:tc>
          <w:tcPr>
            <w:tcW w:w="1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r>
      <w:tr>
        <w:trPr>
          <w:trHeight w:val="110"/>
        </w:trPr>
        <w:tc>
          <w:tcPr>
            <w:tcW w:w="2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r>
      <w:tr>
        <w:trPr>
          <w:trHeight w:val="263"/>
        </w:trPr>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7"/>
              </w:rPr>
              <w:t>Ake Almgren</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31"/>
        </w:trPr>
        <w:tc>
          <w:tcPr>
            <w:tcW w:w="4700" w:type="dxa"/>
            <w:vAlign w:val="bottom"/>
            <w:gridSpan w:val="3"/>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ICHARD</w:t>
            </w:r>
            <w:r>
              <w:rPr>
                <w:rFonts w:ascii="Arial" w:cs="Arial" w:eastAsia="Arial" w:hAnsi="Arial"/>
                <w:sz w:val="18"/>
                <w:szCs w:val="18"/>
                <w:color w:val="auto"/>
              </w:rPr>
              <w:t xml:space="preserve"> E. A</w:t>
            </w:r>
            <w:r>
              <w:rPr>
                <w:rFonts w:ascii="Arial" w:cs="Arial" w:eastAsia="Arial" w:hAnsi="Arial"/>
                <w:sz w:val="14"/>
                <w:szCs w:val="14"/>
                <w:color w:val="auto"/>
              </w:rPr>
              <w:t>NDERSON</w:t>
            </w:r>
          </w:p>
        </w:tc>
        <w:tc>
          <w:tcPr>
            <w:tcW w:w="1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r>
      <w:tr>
        <w:trPr>
          <w:trHeight w:val="110"/>
        </w:trPr>
        <w:tc>
          <w:tcPr>
            <w:tcW w:w="2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r>
      <w:tr>
        <w:trPr>
          <w:trHeight w:val="263"/>
        </w:trPr>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88"/>
              </w:rPr>
              <w:t>Richard E. Anderson</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31"/>
        </w:trPr>
        <w:tc>
          <w:tcPr>
            <w:tcW w:w="2180" w:type="dxa"/>
            <w:vAlign w:val="bottom"/>
          </w:tcPr>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40" w:type="dxa"/>
            <w:vAlign w:val="bottom"/>
          </w:tcPr>
          <w:p>
            <w:pPr>
              <w:jc w:val="center"/>
              <w:ind w:right="98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ODNEY</w:t>
            </w:r>
            <w:r>
              <w:rPr>
                <w:rFonts w:ascii="Arial" w:cs="Arial" w:eastAsia="Arial" w:hAnsi="Arial"/>
                <w:sz w:val="18"/>
                <w:szCs w:val="18"/>
                <w:color w:val="auto"/>
                <w:w w:val="97"/>
              </w:rPr>
              <w:t xml:space="preserve"> S. B</w:t>
            </w:r>
            <w:r>
              <w:rPr>
                <w:rFonts w:ascii="Arial" w:cs="Arial" w:eastAsia="Arial" w:hAnsi="Arial"/>
                <w:sz w:val="14"/>
                <w:szCs w:val="14"/>
                <w:color w:val="auto"/>
                <w:w w:val="97"/>
              </w:rPr>
              <w:t>OND</w:t>
            </w:r>
          </w:p>
        </w:tc>
        <w:tc>
          <w:tcPr>
            <w:tcW w:w="1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r>
      <w:tr>
        <w:trPr>
          <w:trHeight w:val="110"/>
        </w:trPr>
        <w:tc>
          <w:tcPr>
            <w:tcW w:w="2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r>
      <w:tr>
        <w:trPr>
          <w:trHeight w:val="263"/>
        </w:trPr>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5"/>
              </w:rPr>
              <w:t>Rodney S. Bond</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31"/>
        </w:trPr>
        <w:tc>
          <w:tcPr>
            <w:tcW w:w="2260" w:type="dxa"/>
            <w:vAlign w:val="bottom"/>
            <w:gridSpan w:val="2"/>
          </w:tcPr>
          <w:p>
            <w:pPr>
              <w:ind w:left="20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440" w:type="dxa"/>
            <w:vAlign w:val="bottom"/>
          </w:tcPr>
          <w:p>
            <w:pPr>
              <w:jc w:val="center"/>
              <w:ind w:right="986"/>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RAD</w:t>
            </w:r>
            <w:r>
              <w:rPr>
                <w:rFonts w:ascii="Arial" w:cs="Arial" w:eastAsia="Arial" w:hAnsi="Arial"/>
                <w:sz w:val="18"/>
                <w:szCs w:val="18"/>
                <w:color w:val="auto"/>
                <w:w w:val="97"/>
              </w:rPr>
              <w:t xml:space="preserve"> B</w:t>
            </w:r>
            <w:r>
              <w:rPr>
                <w:rFonts w:ascii="Arial" w:cs="Arial" w:eastAsia="Arial" w:hAnsi="Arial"/>
                <w:sz w:val="14"/>
                <w:szCs w:val="14"/>
                <w:color w:val="auto"/>
                <w:w w:val="97"/>
              </w:rPr>
              <w:t>OSTON</w:t>
            </w:r>
          </w:p>
        </w:tc>
        <w:tc>
          <w:tcPr>
            <w:tcW w:w="1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r>
      <w:tr>
        <w:trPr>
          <w:trHeight w:val="110"/>
        </w:trPr>
        <w:tc>
          <w:tcPr>
            <w:tcW w:w="2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r>
      <w:tr>
        <w:trPr>
          <w:trHeight w:val="263"/>
        </w:trPr>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5"/>
              </w:rPr>
              <w:t>Brad Boston</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31"/>
        </w:trPr>
        <w:tc>
          <w:tcPr>
            <w:tcW w:w="2180" w:type="dxa"/>
            <w:vAlign w:val="bottom"/>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20" w:type="dxa"/>
            <w:vAlign w:val="bottom"/>
            <w:gridSpan w:val="2"/>
          </w:tcPr>
          <w:p>
            <w:pPr>
              <w:jc w:val="center"/>
              <w:ind w:right="906"/>
              <w:spacing w:after="0"/>
              <w:rPr>
                <w:sz w:val="20"/>
                <w:szCs w:val="20"/>
                <w:color w:val="auto"/>
              </w:rPr>
            </w:pPr>
            <w:r>
              <w:rPr>
                <w:rFonts w:ascii="Arial" w:cs="Arial" w:eastAsia="Arial" w:hAnsi="Arial"/>
                <w:sz w:val="18"/>
                <w:szCs w:val="18"/>
                <w:color w:val="auto"/>
                <w:w w:val="98"/>
              </w:rPr>
              <w:t>B</w:t>
            </w:r>
            <w:r>
              <w:rPr>
                <w:rFonts w:ascii="Arial" w:cs="Arial" w:eastAsia="Arial" w:hAnsi="Arial"/>
                <w:sz w:val="14"/>
                <w:szCs w:val="14"/>
                <w:color w:val="auto"/>
                <w:w w:val="98"/>
              </w:rPr>
              <w:t>ENJAMIN</w:t>
            </w:r>
            <w:r>
              <w:rPr>
                <w:rFonts w:ascii="Arial" w:cs="Arial" w:eastAsia="Arial" w:hAnsi="Arial"/>
                <w:sz w:val="18"/>
                <w:szCs w:val="18"/>
                <w:color w:val="auto"/>
                <w:w w:val="98"/>
              </w:rPr>
              <w:t xml:space="preserve"> L. S</w:t>
            </w:r>
            <w:r>
              <w:rPr>
                <w:rFonts w:ascii="Arial" w:cs="Arial" w:eastAsia="Arial" w:hAnsi="Arial"/>
                <w:sz w:val="14"/>
                <w:szCs w:val="14"/>
                <w:color w:val="auto"/>
                <w:w w:val="98"/>
              </w:rPr>
              <w:t>COTT</w:t>
            </w:r>
          </w:p>
        </w:tc>
        <w:tc>
          <w:tcPr>
            <w:tcW w:w="1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r>
      <w:tr>
        <w:trPr>
          <w:trHeight w:val="110"/>
        </w:trPr>
        <w:tc>
          <w:tcPr>
            <w:tcW w:w="2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r>
      <w:tr>
        <w:trPr>
          <w:trHeight w:val="263"/>
        </w:trPr>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7"/>
              </w:rPr>
              <w:t>Benjamin L. Scott</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31"/>
        </w:trPr>
        <w:tc>
          <w:tcPr>
            <w:tcW w:w="2180" w:type="dxa"/>
            <w:vAlign w:val="bottom"/>
          </w:tcPr>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40" w:type="dxa"/>
            <w:vAlign w:val="bottom"/>
          </w:tcPr>
          <w:p>
            <w:pPr>
              <w:jc w:val="center"/>
              <w:ind w:right="986"/>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AN</w:t>
            </w:r>
            <w:r>
              <w:rPr>
                <w:rFonts w:ascii="Arial" w:cs="Arial" w:eastAsia="Arial" w:hAnsi="Arial"/>
                <w:sz w:val="18"/>
                <w:szCs w:val="18"/>
                <w:color w:val="auto"/>
              </w:rPr>
              <w:t xml:space="preserve"> H. L</w:t>
            </w:r>
            <w:r>
              <w:rPr>
                <w:rFonts w:ascii="Arial" w:cs="Arial" w:eastAsia="Arial" w:hAnsi="Arial"/>
                <w:sz w:val="14"/>
                <w:szCs w:val="14"/>
                <w:color w:val="auto"/>
              </w:rPr>
              <w:t>INDELOW</w:t>
            </w:r>
          </w:p>
        </w:tc>
        <w:tc>
          <w:tcPr>
            <w:tcW w:w="1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r>
      <w:tr>
        <w:trPr>
          <w:trHeight w:val="110"/>
        </w:trPr>
        <w:tc>
          <w:tcPr>
            <w:tcW w:w="2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r>
      <w:tr>
        <w:trPr>
          <w:trHeight w:val="263"/>
        </w:trPr>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jc w:val="center"/>
              <w:ind w:right="1046"/>
              <w:spacing w:after="0"/>
              <w:rPr>
                <w:sz w:val="20"/>
                <w:szCs w:val="20"/>
                <w:color w:val="auto"/>
              </w:rPr>
            </w:pPr>
            <w:r>
              <w:rPr>
                <w:rFonts w:ascii="Arial" w:cs="Arial" w:eastAsia="Arial" w:hAnsi="Arial"/>
                <w:sz w:val="14"/>
                <w:szCs w:val="14"/>
                <w:b w:val="1"/>
                <w:bCs w:val="1"/>
                <w:color w:val="auto"/>
                <w:w w:val="90"/>
              </w:rPr>
              <w:t>Jan H. Lindelow</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31"/>
        </w:trPr>
        <w:tc>
          <w:tcPr>
            <w:tcW w:w="2180" w:type="dxa"/>
            <w:vAlign w:val="bottom"/>
          </w:tcPr>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20" w:type="dxa"/>
            <w:vAlign w:val="bottom"/>
            <w:gridSpan w:val="2"/>
          </w:tcPr>
          <w:p>
            <w:pPr>
              <w:jc w:val="center"/>
              <w:ind w:right="926"/>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ERRENCE</w:t>
            </w:r>
            <w:r>
              <w:rPr>
                <w:rFonts w:ascii="Arial" w:cs="Arial" w:eastAsia="Arial" w:hAnsi="Arial"/>
                <w:sz w:val="18"/>
                <w:szCs w:val="18"/>
                <w:color w:val="auto"/>
                <w:w w:val="97"/>
              </w:rPr>
              <w:t xml:space="preserve"> L. R</w:t>
            </w:r>
            <w:r>
              <w:rPr>
                <w:rFonts w:ascii="Arial" w:cs="Arial" w:eastAsia="Arial" w:hAnsi="Arial"/>
                <w:sz w:val="14"/>
                <w:szCs w:val="14"/>
                <w:color w:val="auto"/>
                <w:w w:val="97"/>
              </w:rPr>
              <w:t>OCK</w:t>
            </w:r>
          </w:p>
        </w:tc>
        <w:tc>
          <w:tcPr>
            <w:tcW w:w="1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r>
      <w:tr>
        <w:trPr>
          <w:trHeight w:val="110"/>
        </w:trPr>
        <w:tc>
          <w:tcPr>
            <w:tcW w:w="2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r>
      <w:tr>
        <w:trPr>
          <w:trHeight w:val="263"/>
        </w:trPr>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7"/>
              </w:rPr>
              <w:t>Terrence L. Rock</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63"/>
        </w:trPr>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80" w:type="dxa"/>
            <w:vAlign w:val="bottom"/>
            <w:gridSpan w:val="2"/>
          </w:tcPr>
          <w:p>
            <w:pPr>
              <w:ind w:left="88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LIST OF EXHIBITS</w:t>
      </w:r>
    </w:p>
    <w:p>
      <w:pPr>
        <w:spacing w:after="0" w:line="159"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575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68580</wp:posOffset>
            </wp:positionV>
            <wp:extent cx="3600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10" w:lineRule="exact"/>
        <w:rPr>
          <w:sz w:val="20"/>
          <w:szCs w:val="20"/>
          <w:color w:val="auto"/>
        </w:rPr>
      </w:pPr>
    </w:p>
    <w:p>
      <w:pPr>
        <w:ind w:left="340"/>
        <w:spacing w:after="0"/>
        <w:tabs>
          <w:tab w:leader="none" w:pos="1060" w:val="left"/>
          <w:tab w:leader="none" w:pos="1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Specimen certificate for shares of Common Stock (filed as Exhibit 4.1 to Active Power’s Registration Statement on Form S-1 (SEC File No.</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333-36946).</w:t>
      </w:r>
    </w:p>
    <w:p>
      <w:pPr>
        <w:spacing w:after="0" w:line="111" w:lineRule="exact"/>
        <w:rPr>
          <w:sz w:val="20"/>
          <w:szCs w:val="20"/>
          <w:color w:val="auto"/>
        </w:rPr>
      </w:pPr>
    </w:p>
    <w:p>
      <w:pPr>
        <w:ind w:left="1080" w:hanging="1128"/>
        <w:spacing w:after="0" w:line="256" w:lineRule="auto"/>
        <w:tabs>
          <w:tab w:leader="none" w:pos="1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Rights Agreement, dated as of December 13, 2001, between the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4.1 to Active Power’s Current Report on Form 8-K dated December 13, 2001).</w:t>
      </w:r>
    </w:p>
    <w:p>
      <w:pPr>
        <w:spacing w:after="0" w:line="89" w:lineRule="exact"/>
        <w:rPr>
          <w:sz w:val="20"/>
          <w:szCs w:val="20"/>
          <w:color w:val="auto"/>
        </w:rPr>
      </w:pPr>
    </w:p>
    <w:p>
      <w:pPr>
        <w:ind w:left="340"/>
        <w:spacing w:after="0"/>
        <w:tabs>
          <w:tab w:leader="none" w:pos="1060" w:val="left"/>
          <w:tab w:leader="none" w:pos="1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Opinion of Andrews Kurth LLP.</w:t>
      </w:r>
    </w:p>
    <w:p>
      <w:pPr>
        <w:spacing w:after="0" w:line="117" w:lineRule="exact"/>
        <w:rPr>
          <w:sz w:val="20"/>
          <w:szCs w:val="20"/>
          <w:color w:val="auto"/>
        </w:rPr>
      </w:pPr>
    </w:p>
    <w:p>
      <w:pPr>
        <w:ind w:left="240"/>
        <w:spacing w:after="0"/>
        <w:tabs>
          <w:tab w:leader="none" w:pos="1060" w:val="left"/>
          <w:tab w:leader="none" w:pos="1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240"/>
        <w:spacing w:after="0"/>
        <w:tabs>
          <w:tab w:leader="none" w:pos="1060" w:val="left"/>
          <w:tab w:leader="none" w:pos="14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Andrews Kurth LLP (included in Exhibit 5.1).</w:t>
      </w:r>
    </w:p>
    <w:p>
      <w:pPr>
        <w:spacing w:after="0" w:line="117" w:lineRule="exact"/>
        <w:rPr>
          <w:sz w:val="20"/>
          <w:szCs w:val="20"/>
          <w:color w:val="auto"/>
        </w:rPr>
      </w:pPr>
    </w:p>
    <w:p>
      <w:pPr>
        <w:ind w:left="240"/>
        <w:spacing w:after="0"/>
        <w:tabs>
          <w:tab w:leader="none" w:pos="1060" w:val="left"/>
          <w:tab w:leader="none" w:pos="14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Power of Attorney (included in signature page).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40"/>
          </w:cols>
          <w:pgMar w:left="240" w:top="459"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[ANDREWS KURTH LLP LETTERHEAD]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Active Power, Inc. Registration Statement on Form S-3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acted as counsel to Active Power,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preparation and filing of its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in connection with the resale of up to 7,090,863 shares (including shares issuable upon exercise of certain “Additional Investment Rights”, as described below)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proposed to be offered by the selling stockholders named therein.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Amended and Restated Certificate of Incorporation of the Company on file with the Secretary of State of the State of Delaware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(ii) the Amended and Restated Bylaws of the Company as in effect on the date hereof and at the time of the adoption of the resolutions by the Board of Directors approving the issuance of the Shares, as certified to us by a Company officer, (iii) certain resolutions of the Board of Directors of the Company, as certified to us by a Company officer, (iv) a specimen certificate representing the Common Stock, and (v) such other documents and records as we have deemed necessary and relevant for purposes hereof. We have relied upon certificates of public officials and officers of the Company as to certain matters of fact relating to this opinion and have made such investigations of law as we have deemed necessary and relevant as a basis hereof. As to all matters of fact material to such opinion, we have relied upon representations of officers of the Company.</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our examination, we have assumed and have not independently established or verified (i) the genuineness of all signatures, (ii) the legal capacity of all natural persons, (iii) the authenticity of all documents submitted to us as originals, and (iv) the conformity to the authentic originals of all documents supplied to us as certified, conformed, photostatic or faxed copies. In rendering the opinion set forth below, we have assumed that the certificate or certificates evidencing the Shares will be manually signed by one of the authorized officers of the transfer agent and registrar for the Shares and registered by such transfer agent and will conform to the specimen stock certificate examined by us evidencing the Common Stock.</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opinion below assumes that the securities to be issued pursuant to the Additional Investment Rights by and among the Company and the selling stockholders named in the Registration Statement dated as of February 3, 2005 (the “</w:t>
      </w:r>
      <w:r>
        <w:rPr>
          <w:rFonts w:ascii="Arial" w:cs="Arial" w:eastAsia="Arial" w:hAnsi="Arial"/>
          <w:sz w:val="18"/>
          <w:szCs w:val="18"/>
          <w:b w:val="1"/>
          <w:bCs w:val="1"/>
          <w:i w:val="1"/>
          <w:iCs w:val="1"/>
          <w:color w:val="auto"/>
        </w:rPr>
        <w:t>Additional Investment Rights</w:t>
      </w:r>
      <w:r>
        <w:rPr>
          <w:rFonts w:ascii="Arial" w:cs="Arial" w:eastAsia="Arial" w:hAnsi="Arial"/>
          <w:sz w:val="18"/>
          <w:szCs w:val="18"/>
          <w:color w:val="auto"/>
        </w:rPr>
        <w:t>”) will be issued in accordance with the terms of the Additional Investment Rights and all requisite steps will be taken to comply with applicable requirements of state laws regulating the offer and sale of securities and applicable requirements of The NASDAQ National Market.</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upon the foregoing, subject to the limitations and assumptions set forth herein, and having due regard for such legal considerations as we deem relevant, we are of the opinion that the Shares have been duly authorized and are (or, in the case of the Shares issuable upon exercise of the Additional Investment Rights, will be) validly issued, fully paid and non-assessable.</w:t>
      </w:r>
    </w:p>
    <w:p>
      <w:pPr>
        <w:sectPr>
          <w:pgSz w:w="11900" w:h="16838" w:orient="portrait"/>
          <w:cols w:equalWidth="0" w:num="1">
            <w:col w:w="11420"/>
          </w:cols>
          <w:pgMar w:left="240" w:top="125" w:right="239" w:bottom="1440" w:gutter="0" w:footer="0" w:header="0"/>
        </w:sectPr>
      </w:pPr>
    </w:p>
    <w:bookmarkStart w:id="28" w:name="page29"/>
    <w:bookmarkEnd w:id="28"/>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opinion is based on and is limited to the General Corporation Law of the State of Delaware, and we render no opinion with respect to the laws of any other jurisdiction.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We also consent to the reference to our firm under the caption “Legal Matters” in the Registration Statement and the prospectus which forms a part thereof. In giving these consents, we do not thereby admit that we are within the category of persons whose consent is required under Section 7 of the Securities Act or the rules and regulations issued thereunder.</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This opinion is expressed as of the date hereof, and we disclaim any undertaking to advise you of any subsequent changes in the facts stated or assumed herein, or of any subsequent changes in applicable law. This opinion is intended solely for your use as an exhibit to the Registration Statement for the purpose of the above-referenced registered re-sale of Shares and is not intended to be relied upon by any other person or for any other purpose.</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ANDREWS KURTH LLP</w:t>
      </w:r>
    </w:p>
    <w:p>
      <w:pPr>
        <w:sectPr>
          <w:pgSz w:w="11900" w:h="16838" w:orient="portrait"/>
          <w:cols w:equalWidth="0" w:num="1">
            <w:col w:w="11360"/>
          </w:cols>
          <w:pgMar w:left="240" w:top="280"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Active Power, Inc. for the registration of 7,090,863 shares of its common stock and to the incorporation by reference therein of our reports dated March 11, 2005, with respect to the financial statements of Active Power, Inc., Active Power, Inc. management’s assessment of the effectiveness of internal control over financial reporting, and the effectiveness of internal control over financial reporting of Active Power, Inc. included in its Annual Report on Form 10-K for the year ended December 31, 2004, filed with the Securities and Exchange Commission.</w:t>
      </w:r>
    </w:p>
    <w:p>
      <w:pPr>
        <w:spacing w:after="0" w:line="34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5"/>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7C83E458"/>
    <w:multiLevelType w:val="hybridMultilevel"/>
    <w:lvl w:ilvl="0">
      <w:lvlJc w:val="left"/>
      <w:lvlText w:val="%1"/>
      <w:numFmt w:val="lowerLetter"/>
      <w:start w:val="1"/>
    </w:lvl>
    <w:lvl w:ilvl="1">
      <w:lvlJc w:val="left"/>
      <w:lvlText w:val="(%2)"/>
      <w:numFmt w:val="decimal"/>
      <w:start w:val="3"/>
    </w:lvl>
  </w:abstractNum>
  <w:abstractNum w:abstractNumId="18">
    <w:nsid w:val="257130A3"/>
    <w:multiLevelType w:val="hybridMultilevel"/>
    <w:lvl w:ilvl="0">
      <w:lvlJc w:val="left"/>
      <w:lvlText w:val="(%1)"/>
      <w:numFmt w:val="lowerLetter"/>
      <w:start w:val="2"/>
    </w:lvl>
    <w:lvl w:ilvl="1">
      <w:lvlJc w:val="left"/>
      <w:lvlText w:val="%2"/>
      <w:numFmt w:val="decimal"/>
      <w:start w:val="1"/>
    </w:lvl>
  </w:abstractNum>
  <w:abstractNum w:abstractNumId="19">
    <w:nsid w:val="62BBD95A"/>
    <w:multiLevelType w:val="hybridMultilevel"/>
    <w:lvl w:ilvl="0">
      <w:lvlJc w:val="left"/>
      <w:lvlText w:val="(%1)"/>
      <w:numFmt w:val="lowerLetter"/>
      <w:start w:val="8"/>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2019-12-12T01:44:13Z</dcterms:created>
  <dcterms:modified xsi:type="dcterms:W3CDTF">2019-12-12T01:44:13Z</dcterms:modified>
</cp:coreProperties>
</file>