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Abell Alexander I.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4514 COLE AVENUE, SUITE 1600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461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4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10/13/2023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457,496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11/20/2023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14,445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11/29/2023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11/29/2023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457,496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457,496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914,993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Holders of Class B Common Stock may elect to convert such shares on a one-for-one basis into Class A Common Stock at any time. After a Sunset (as defined below) becomes effective, each share of Class B Common Stock will automatically convert into Class A Common Stock.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Continued from Footnote 2: A "Sunset" is triggered by any of the earlier of the following: (i) the Sunset Holders (as defined in the amended and restated certificate of incorporation of the Issuer (the "Charter")) cease to maintain direct or indirect beneficial ownership of 10% of the outstanding shares of Class A Common Stock (determined assuming all outstanding shares of Class B Common Stock have been converted into Class A Common Stock), (ii) the Sunset Holders collectively cease to maintain direct or indirect beneficial ownership of at least 25% of the aggregate voting power of the outstanding shares of Common Stock, and (iii) upon the tenth anniversary of the effective date of the Charter.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019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3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732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941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2023-12-01T07:54:20Z</dcterms:created>
  <dcterms:modified xsi:type="dcterms:W3CDTF">2023-12-01T07:54:20Z</dcterms:modified>
</cp:coreProperties>
</file>