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305"/>
                    </a:xfrm>
                    <a:prstGeom prst="rect">
                      <a:avLst/>
                    </a:prstGeom>
                    <a:noFill/>
                  </pic:spPr>
                </pic:pic>
              </a:graphicData>
            </a:graphic>
          </wp:anchor>
        </w:drawing>
        <w:t>UNITED STATES</w:t>
      </w:r>
    </w:p>
    <w:p>
      <w:pPr>
        <w:spacing w:after="0" w:line="30" w:lineRule="exact"/>
        <w:rPr>
          <w:sz w:val="24"/>
          <w:szCs w:val="24"/>
          <w:color w:val="auto"/>
        </w:rPr>
      </w:pPr>
    </w:p>
    <w:p>
      <w:pPr>
        <w:jc w:val="center"/>
        <w:ind w:right="-365"/>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36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168910</wp:posOffset>
            </wp:positionV>
            <wp:extent cx="12528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pacing w:after="0" w:line="356" w:lineRule="exact"/>
        <w:rPr>
          <w:sz w:val="24"/>
          <w:szCs w:val="24"/>
          <w:color w:val="auto"/>
        </w:rPr>
      </w:pPr>
    </w:p>
    <w:p>
      <w:pPr>
        <w:jc w:val="center"/>
        <w:ind w:right="-365"/>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195580</wp:posOffset>
            </wp:positionV>
            <wp:extent cx="12528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4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4" w:lineRule="exact"/>
        <w:rPr>
          <w:sz w:val="24"/>
          <w:szCs w:val="24"/>
          <w:color w:val="auto"/>
        </w:rPr>
      </w:pPr>
    </w:p>
    <w:p>
      <w:pPr>
        <w:ind w:left="4366"/>
        <w:spacing w:after="0"/>
        <w:rPr>
          <w:sz w:val="20"/>
          <w:szCs w:val="20"/>
          <w:color w:val="auto"/>
        </w:rPr>
      </w:pPr>
      <w:r>
        <w:rPr>
          <w:rFonts w:ascii="Times New Roman" w:cs="Times New Roman" w:eastAsia="Times New Roman" w:hAnsi="Times New Roman"/>
          <w:sz w:val="19"/>
          <w:szCs w:val="19"/>
          <w:b w:val="1"/>
          <w:bCs w:val="1"/>
          <w:color w:val="auto"/>
        </w:rPr>
        <w:t>Pursuant to Section 13 or 15(d) of</w:t>
      </w:r>
    </w:p>
    <w:p>
      <w:pPr>
        <w:spacing w:after="0" w:line="17" w:lineRule="exact"/>
        <w:rPr>
          <w:sz w:val="24"/>
          <w:szCs w:val="24"/>
          <w:color w:val="auto"/>
        </w:rPr>
      </w:pPr>
    </w:p>
    <w:p>
      <w:pPr>
        <w:jc w:val="center"/>
        <w:ind w:right="-365"/>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122" w:lineRule="exact"/>
        <w:rPr>
          <w:sz w:val="24"/>
          <w:szCs w:val="24"/>
          <w:color w:val="auto"/>
        </w:rPr>
      </w:pPr>
    </w:p>
    <w:p>
      <w:pPr>
        <w:ind w:left="3626"/>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13,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191135</wp:posOffset>
            </wp:positionV>
            <wp:extent cx="12528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pacing w:after="0" w:line="389" w:lineRule="exact"/>
        <w:rPr>
          <w:sz w:val="24"/>
          <w:szCs w:val="24"/>
          <w:color w:val="auto"/>
        </w:rPr>
      </w:pPr>
    </w:p>
    <w:p>
      <w:pPr>
        <w:jc w:val="center"/>
        <w:ind w:right="-365"/>
        <w:spacing w:after="0"/>
        <w:rPr>
          <w:sz w:val="20"/>
          <w:szCs w:val="20"/>
          <w:color w:val="auto"/>
        </w:rPr>
      </w:pPr>
      <w:r>
        <w:rPr>
          <w:rFonts w:ascii="Times New Roman" w:cs="Times New Roman" w:eastAsia="Times New Roman" w:hAnsi="Times New Roman"/>
          <w:sz w:val="38"/>
          <w:szCs w:val="38"/>
          <w:b w:val="1"/>
          <w:bCs w:val="1"/>
          <w:color w:val="auto"/>
        </w:rPr>
        <w:t>ACTIVE POWER, INC.</w:t>
      </w:r>
    </w:p>
    <w:p>
      <w:pPr>
        <w:spacing w:after="0" w:line="43" w:lineRule="exact"/>
        <w:rPr>
          <w:sz w:val="24"/>
          <w:szCs w:val="24"/>
          <w:color w:val="auto"/>
        </w:rPr>
      </w:pPr>
    </w:p>
    <w:p>
      <w:pPr>
        <w:jc w:val="center"/>
        <w:ind w:right="-365"/>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165100</wp:posOffset>
            </wp:positionV>
            <wp:extent cx="12528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ectPr>
          <w:pgSz w:w="11900" w:h="16838" w:orient="portrait"/>
          <w:cols w:equalWidth="0" w:num="1">
            <w:col w:w="11066"/>
          </w:cols>
          <w:pgMar w:left="234" w:top="320" w:right="59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646"/>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74-2961657</w:t>
      </w:r>
    </w:p>
    <w:p>
      <w:pPr>
        <w:spacing w:after="0" w:line="23" w:lineRule="exact"/>
        <w:rPr>
          <w:sz w:val="24"/>
          <w:szCs w:val="24"/>
          <w:color w:val="auto"/>
        </w:rPr>
      </w:pPr>
    </w:p>
    <w:p>
      <w:pPr>
        <w:sectPr>
          <w:pgSz w:w="11900" w:h="16838" w:orient="portrait"/>
          <w:cols w:equalWidth="0" w:num="3">
            <w:col w:w="4806" w:space="720"/>
            <w:col w:w="3000" w:space="720"/>
            <w:col w:w="1820"/>
          </w:cols>
          <w:pgMar w:left="234" w:top="320" w:right="599" w:bottom="1440" w:gutter="0" w:footer="0" w:header="0"/>
          <w:type w:val="continuous"/>
        </w:sectPr>
      </w:pPr>
    </w:p>
    <w:p>
      <w:pPr>
        <w:spacing w:after="0" w:line="7" w:lineRule="exact"/>
        <w:rPr>
          <w:sz w:val="24"/>
          <w:szCs w:val="24"/>
          <w:color w:val="auto"/>
        </w:rPr>
      </w:pPr>
    </w:p>
    <w:p>
      <w:pPr>
        <w:jc w:val="center"/>
        <w:ind w:right="534"/>
        <w:spacing w:after="0"/>
        <w:rPr>
          <w:sz w:val="20"/>
          <w:szCs w:val="20"/>
          <w:color w:val="auto"/>
        </w:rPr>
      </w:pPr>
      <w:r>
        <w:rPr>
          <w:rFonts w:ascii="Times New Roman" w:cs="Times New Roman" w:eastAsia="Times New Roman" w:hAnsi="Times New Roman"/>
          <w:sz w:val="11"/>
          <w:szCs w:val="11"/>
          <w:b w:val="1"/>
          <w:bCs w:val="1"/>
          <w:color w:val="auto"/>
        </w:rPr>
        <w:t>(State of Other Jurisdiction</w:t>
      </w:r>
    </w:p>
    <w:p>
      <w:pPr>
        <w:spacing w:after="0" w:line="5" w:lineRule="exact"/>
        <w:rPr>
          <w:sz w:val="24"/>
          <w:szCs w:val="24"/>
          <w:color w:val="auto"/>
        </w:rPr>
      </w:pPr>
    </w:p>
    <w:p>
      <w:pPr>
        <w:jc w:val="center"/>
        <w:ind w:right="534"/>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74" w:lineRule="exact"/>
        <w:rPr>
          <w:sz w:val="24"/>
          <w:szCs w:val="24"/>
          <w:color w:val="auto"/>
        </w:rPr>
      </w:pPr>
    </w:p>
    <w:p>
      <w:pPr>
        <w:sectPr>
          <w:pgSz w:w="11900" w:h="16838" w:orient="portrait"/>
          <w:cols w:equalWidth="0" w:num="3">
            <w:col w:w="4446" w:space="720"/>
            <w:col w:w="3260" w:space="720"/>
            <w:col w:w="1920"/>
          </w:cols>
          <w:pgMar w:left="234" w:top="320" w:right="599" w:bottom="1440" w:gutter="0" w:footer="0" w:header="0"/>
          <w:type w:val="continuous"/>
        </w:sectPr>
      </w:pPr>
    </w:p>
    <w:p>
      <w:pPr>
        <w:ind w:left="1466"/>
        <w:spacing w:after="0"/>
        <w:rPr>
          <w:sz w:val="20"/>
          <w:szCs w:val="20"/>
          <w:color w:val="auto"/>
        </w:rPr>
      </w:pPr>
      <w:r>
        <w:rPr>
          <w:rFonts w:ascii="Times New Roman" w:cs="Times New Roman" w:eastAsia="Times New Roman" w:hAnsi="Times New Roman"/>
          <w:sz w:val="15"/>
          <w:szCs w:val="15"/>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78758</w:t>
      </w:r>
    </w:p>
    <w:p>
      <w:pPr>
        <w:spacing w:after="0" w:line="30" w:lineRule="exact"/>
        <w:rPr>
          <w:sz w:val="24"/>
          <w:szCs w:val="24"/>
          <w:color w:val="auto"/>
        </w:rPr>
      </w:pPr>
    </w:p>
    <w:p>
      <w:pPr>
        <w:sectPr>
          <w:pgSz w:w="11900" w:h="16838" w:orient="portrait"/>
          <w:cols w:equalWidth="0" w:num="2">
            <w:col w:w="7786" w:space="720"/>
            <w:col w:w="2560"/>
          </w:cols>
          <w:pgMar w:left="234" w:top="320" w:right="599" w:bottom="1440" w:gutter="0" w:footer="0" w:header="0"/>
          <w:type w:val="continuous"/>
        </w:sectPr>
      </w:pPr>
    </w:p>
    <w:p>
      <w:pPr>
        <w:ind w:left="186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30" w:lineRule="exact"/>
        <w:rPr>
          <w:sz w:val="24"/>
          <w:szCs w:val="24"/>
          <w:color w:val="auto"/>
        </w:rPr>
      </w:pPr>
    </w:p>
    <w:p>
      <w:pPr>
        <w:sectPr>
          <w:pgSz w:w="11900" w:h="16838" w:orient="portrait"/>
          <w:cols w:equalWidth="0" w:num="2">
            <w:col w:w="7706" w:space="720"/>
            <w:col w:w="2640"/>
          </w:cols>
          <w:pgMar w:left="234" w:top="320" w:right="599" w:bottom="1440" w:gutter="0" w:footer="0" w:header="0"/>
          <w:type w:val="continuous"/>
        </w:sectPr>
      </w:pPr>
    </w:p>
    <w:p>
      <w:pPr>
        <w:jc w:val="center"/>
        <w:ind w:right="-385"/>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(512) 836-6464</w:t>
      </w:r>
    </w:p>
    <w:p>
      <w:pPr>
        <w:spacing w:after="0" w:line="156"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30" w:lineRule="exact"/>
        <w:rPr>
          <w:sz w:val="24"/>
          <w:szCs w:val="24"/>
          <w:color w:val="auto"/>
        </w:rPr>
      </w:pPr>
    </w:p>
    <w:p>
      <w:pPr>
        <w:jc w:val="center"/>
        <w:ind w:right="-385"/>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166370</wp:posOffset>
            </wp:positionV>
            <wp:extent cx="1252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pacing w:after="0" w:line="380" w:lineRule="exact"/>
        <w:rPr>
          <w:sz w:val="24"/>
          <w:szCs w:val="24"/>
          <w:color w:val="auto"/>
        </w:rPr>
      </w:pPr>
    </w:p>
    <w:p>
      <w:pPr>
        <w:ind w:left="6"/>
        <w:spacing w:after="0" w:line="302"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i w:val="1"/>
          <w:iCs w:val="1"/>
          <w:color w:val="auto"/>
        </w:rPr>
        <w:t>see</w:t>
      </w:r>
      <w:r>
        <w:rPr>
          <w:rFonts w:ascii="Times New Roman" w:cs="Times New Roman" w:eastAsia="Times New Roman" w:hAnsi="Times New Roman"/>
          <w:sz w:val="15"/>
          <w:szCs w:val="15"/>
          <w:color w:val="auto"/>
        </w:rPr>
        <w:t xml:space="preserve"> General Instruction A.2. below):</w:t>
      </w:r>
    </w:p>
    <w:p>
      <w:pPr>
        <w:spacing w:after="0" w:line="122"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26948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sectPr>
          <w:pgSz w:w="11900" w:h="16838" w:orient="portrait"/>
          <w:cols w:equalWidth="0" w:num="1">
            <w:col w:w="11066"/>
          </w:cols>
          <w:pgMar w:left="234" w:top="320" w:right="59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13, 2007, Active Power, Inc. (“</w:t>
      </w:r>
      <w:r>
        <w:rPr>
          <w:rFonts w:ascii="Times New Roman" w:cs="Times New Roman" w:eastAsia="Times New Roman" w:hAnsi="Times New Roman"/>
          <w:sz w:val="15"/>
          <w:szCs w:val="15"/>
          <w:b w:val="1"/>
          <w:bCs w:val="1"/>
          <w:i w:val="1"/>
          <w:iCs w:val="1"/>
          <w:color w:val="auto"/>
        </w:rPr>
        <w:t>Active Power</w:t>
      </w:r>
      <w:r>
        <w:rPr>
          <w:rFonts w:ascii="Times New Roman" w:cs="Times New Roman" w:eastAsia="Times New Roman" w:hAnsi="Times New Roman"/>
          <w:sz w:val="15"/>
          <w:szCs w:val="15"/>
          <w:color w:val="auto"/>
        </w:rPr>
        <w:t>”) entered into a Securities Purchase Agreement (the “</w:t>
      </w:r>
      <w:r>
        <w:rPr>
          <w:rFonts w:ascii="Times New Roman" w:cs="Times New Roman" w:eastAsia="Times New Roman" w:hAnsi="Times New Roman"/>
          <w:sz w:val="15"/>
          <w:szCs w:val="15"/>
          <w:b w:val="1"/>
          <w:bCs w:val="1"/>
          <w:i w:val="1"/>
          <w:iCs w:val="1"/>
          <w:color w:val="auto"/>
        </w:rPr>
        <w:t>Purchase Agreement</w:t>
      </w:r>
      <w:r>
        <w:rPr>
          <w:rFonts w:ascii="Times New Roman" w:cs="Times New Roman" w:eastAsia="Times New Roman" w:hAnsi="Times New Roman"/>
          <w:sz w:val="15"/>
          <w:szCs w:val="15"/>
          <w:color w:val="auto"/>
        </w:rPr>
        <w:t>”) with certain institutional investors (the</w:t>
      </w:r>
    </w:p>
    <w:p>
      <w:pPr>
        <w:spacing w:after="0" w:line="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Purchasers</w:t>
      </w:r>
      <w:r>
        <w:rPr>
          <w:rFonts w:ascii="Times New Roman" w:cs="Times New Roman" w:eastAsia="Times New Roman" w:hAnsi="Times New Roman"/>
          <w:sz w:val="15"/>
          <w:szCs w:val="15"/>
          <w:color w:val="auto"/>
        </w:rPr>
        <w:t>”) under which Active Power sold 10,000,000 shares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of its common stock, par value $0.001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for $1.40 per share in a private placement (the “</w:t>
      </w:r>
      <w:r>
        <w:rPr>
          <w:rFonts w:ascii="Times New Roman" w:cs="Times New Roman" w:eastAsia="Times New Roman" w:hAnsi="Times New Roman"/>
          <w:sz w:val="15"/>
          <w:szCs w:val="15"/>
          <w:b w:val="1"/>
          <w:bCs w:val="1"/>
          <w:i w:val="1"/>
          <w:iCs w:val="1"/>
          <w:color w:val="auto"/>
        </w:rPr>
        <w:t>Placement</w:t>
      </w:r>
      <w:r>
        <w:rPr>
          <w:rFonts w:ascii="Times New Roman" w:cs="Times New Roman" w:eastAsia="Times New Roman" w:hAnsi="Times New Roman"/>
          <w:sz w:val="15"/>
          <w:szCs w:val="15"/>
          <w:color w:val="auto"/>
        </w:rPr>
        <w:t>”) exempt from the registration requirements of the Securities Act of 1933, as amended. Active Power received cash proceeds in the Placement of approximately $13.16 million, net of approximately $840,000 in commissions paid to Active Power’s exclusive placement agent, RBC Capital Markets. Active Power intends to use the proceeds of the Placement to grow its business in new markets and for working capital purposes. The Purchase Agreement is filed as Exhibit 10.1 to this Current Report on Form 8-K (the “</w:t>
      </w:r>
      <w:r>
        <w:rPr>
          <w:rFonts w:ascii="Times New Roman" w:cs="Times New Roman" w:eastAsia="Times New Roman" w:hAnsi="Times New Roman"/>
          <w:sz w:val="15"/>
          <w:szCs w:val="15"/>
          <w:b w:val="1"/>
          <w:bCs w:val="1"/>
          <w:i w:val="1"/>
          <w:iCs w:val="1"/>
          <w:color w:val="auto"/>
        </w:rPr>
        <w:t>Report</w:t>
      </w:r>
      <w:r>
        <w:rPr>
          <w:rFonts w:ascii="Times New Roman" w:cs="Times New Roman" w:eastAsia="Times New Roman" w:hAnsi="Times New Roman"/>
          <w:sz w:val="15"/>
          <w:szCs w:val="15"/>
          <w:color w:val="auto"/>
        </w:rPr>
        <w:t>”), and the terms of which are incorporated into this Item 1.01 by this reference.</w:t>
      </w:r>
    </w:p>
    <w:p>
      <w:pPr>
        <w:spacing w:after="0" w:line="1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In connection with the execution of the Purchase Agreement, Active Power also entered into a Registration Rights Agreement (the “</w:t>
      </w:r>
      <w:r>
        <w:rPr>
          <w:rFonts w:ascii="Times New Roman" w:cs="Times New Roman" w:eastAsia="Times New Roman" w:hAnsi="Times New Roman"/>
          <w:sz w:val="15"/>
          <w:szCs w:val="15"/>
          <w:b w:val="1"/>
          <w:bCs w:val="1"/>
          <w:i w:val="1"/>
          <w:iCs w:val="1"/>
          <w:color w:val="auto"/>
        </w:rPr>
        <w:t>Registration Rights Agreement</w:t>
      </w:r>
      <w:r>
        <w:rPr>
          <w:rFonts w:ascii="Times New Roman" w:cs="Times New Roman" w:eastAsia="Times New Roman" w:hAnsi="Times New Roman"/>
          <w:sz w:val="15"/>
          <w:szCs w:val="15"/>
          <w:color w:val="auto"/>
        </w:rPr>
        <w:t>”) dated August 14, 2007 with the Purchasers. Under the Registration Rights Agreement, Active Power is obligated to cause a registration statement on Form S-1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relating to the resale by the Purchasers of the Shares to be filed with the Securities and Exchange Commission (the “</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on or prior to the 30th calendar day following August 14, 2007, and will use its best efforts to cause the Registration Statement to become effective as soon as possible, but in no event later than (i) the 75th calendar day following August 14, 2007 if the Registration Statement is not reviewed by the SEC or (ii) the 120th calendar day following August 14, 2007, if the Registration Statement is reviewed by the SEC. The Registration Rights Agreement is filed as Exhibit 10.2 to this Report and the terms of which are incorporated into this Item 1.01 by this reference.</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90"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5"/>
          <w:szCs w:val="15"/>
          <w:color w:val="auto"/>
        </w:rPr>
        <w:t>On August 14, 2007, Active Power completed the private placement of 10,000,000 shares of Common Stock at a price of $1.40 per share, for aggregate proceeds, after the payment of commissions of $840,000 to its placement agent, RBC Capital Markets, of $13,160,000.</w:t>
      </w:r>
    </w:p>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5"/>
          <w:szCs w:val="15"/>
          <w:color w:val="auto"/>
        </w:rPr>
        <w:t>The transaction was exempt from registration pursuant to Section 4(2) of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and Regulation D promulgated thereunder, as a transaction not involving a public offering, and in reliance on similar exemptions under applicable state laws. Active Power believes that each of the Purchasers qualifies as an “accredited investor” (as defined by Rule 501(a) under the Securities Act).</w:t>
      </w:r>
    </w:p>
    <w:p>
      <w:pPr>
        <w:spacing w:after="0" w:line="2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14, 2007, the Company issued a press release announcing the completion of the Placement, a copy of which is attached hereto as Exhibit 99.1.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From August 2, 2007 to August 9, 2007, the management of Active Power presented an overview of its business to certain potential investors in connection with the Placement. Each of</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20"/>
          </w:cols>
          <w:pgMar w:left="240" w:top="254" w:right="239" w:bottom="1440" w:gutter="0" w:footer="0" w:header="0"/>
        </w:sectPr>
      </w:pPr>
    </w:p>
    <w:bookmarkStart w:id="2" w:name="page3"/>
    <w:bookmarkEnd w:id="2"/>
    <w:p>
      <w:pPr>
        <w:ind w:left="6" w:right="34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these investors agreed orally or in writing to maintain the confidentiality of this information. Attached as Exhibit 99.2 to this Report is a copy of the slide presentation used by Active Power in these meetings.</w:t>
      </w:r>
    </w:p>
    <w:p>
      <w:pPr>
        <w:spacing w:after="0" w:line="90" w:lineRule="exact"/>
        <w:rPr>
          <w:sz w:val="20"/>
          <w:szCs w:val="20"/>
          <w:color w:val="auto"/>
        </w:rPr>
      </w:pPr>
    </w:p>
    <w:p>
      <w:pPr>
        <w:ind w:left="6" w:right="40"/>
        <w:spacing w:after="0" w:line="270" w:lineRule="auto"/>
        <w:rPr>
          <w:sz w:val="20"/>
          <w:szCs w:val="20"/>
          <w:color w:val="auto"/>
        </w:rPr>
      </w:pPr>
      <w:r>
        <w:rPr>
          <w:rFonts w:ascii="Times New Roman" w:cs="Times New Roman" w:eastAsia="Times New Roman" w:hAnsi="Times New Roman"/>
          <w:sz w:val="15"/>
          <w:szCs w:val="15"/>
          <w:color w:val="auto"/>
        </w:rPr>
        <w:t>This information is being furnished pursuant to Item 7.01 of this Report and the exhibits being furnished as Exhibits 99.1 and 99.2 hereto shall not be deemed to be “filed” for the purposes of Section 18 of the Securities Exchange Act of 1934, as amended, or otherwise subject to the liabilities of that section and will not be incorporated by reference into any registration statement filed by the Company under the Securities Act of 1933, as amended, unless specifically identified as being incorporated therein by reference and regardless of any general incorporation language in such filing. This inclusion of such information in this Report will not be deemed an admission as to the materiality of any information in this Report that is being disclosed pursuant to Regulation FD.</w:t>
      </w:r>
    </w:p>
    <w:p>
      <w:pPr>
        <w:spacing w:after="0" w:line="110" w:lineRule="exact"/>
        <w:rPr>
          <w:sz w:val="20"/>
          <w:szCs w:val="20"/>
          <w:color w:val="auto"/>
        </w:rPr>
      </w:pPr>
    </w:p>
    <w:p>
      <w:pPr>
        <w:ind w:left="6" w:right="200"/>
        <w:spacing w:after="0" w:line="297" w:lineRule="auto"/>
        <w:rPr>
          <w:sz w:val="20"/>
          <w:szCs w:val="20"/>
          <w:color w:val="auto"/>
        </w:rPr>
      </w:pPr>
      <w:r>
        <w:rPr>
          <w:rFonts w:ascii="Times New Roman" w:cs="Times New Roman" w:eastAsia="Times New Roman" w:hAnsi="Times New Roman"/>
          <w:sz w:val="15"/>
          <w:szCs w:val="15"/>
          <w:color w:val="auto"/>
        </w:rPr>
        <w:t>Please refer to page 2 of Exhibit 99.2 for a discussion of certain forward-looking statements included therein and the risks and uncertainties related thereto. Active Power undertakes no duty to update the information contained in such presentation.</w:t>
      </w:r>
    </w:p>
    <w:p>
      <w:pPr>
        <w:spacing w:after="0" w:line="192" w:lineRule="exact"/>
        <w:rPr>
          <w:sz w:val="20"/>
          <w:szCs w:val="20"/>
          <w:color w:val="auto"/>
        </w:rPr>
      </w:pPr>
    </w:p>
    <w:p>
      <w:pPr>
        <w:ind w:left="6"/>
        <w:spacing w:after="0"/>
        <w:tabs>
          <w:tab w:leader="none" w:pos="1006"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Exhibits and Financial Statements.</w:t>
      </w:r>
    </w:p>
    <w:p>
      <w:pPr>
        <w:spacing w:after="0" w:line="86" w:lineRule="exact"/>
        <w:rPr>
          <w:sz w:val="20"/>
          <w:szCs w:val="20"/>
          <w:color w:val="auto"/>
        </w:rPr>
      </w:pPr>
    </w:p>
    <w:p>
      <w:pPr>
        <w:ind w:left="446" w:hanging="446"/>
        <w:spacing w:after="0"/>
        <w:tabs>
          <w:tab w:leader="none" w:pos="446"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Exhibits</w:t>
      </w:r>
    </w:p>
    <w:p>
      <w:pPr>
        <w:spacing w:after="0" w:line="194"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40" w:type="dxa"/>
            <w:vAlign w:val="bottom"/>
          </w:tcPr>
          <w:p>
            <w:pPr>
              <w:spacing w:after="0"/>
              <w:rPr>
                <w:sz w:val="14"/>
                <w:szCs w:val="14"/>
                <w:color w:val="auto"/>
              </w:rPr>
            </w:pPr>
          </w:p>
        </w:tc>
        <w:tc>
          <w:tcPr>
            <w:tcW w:w="10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10.1</w:t>
            </w:r>
          </w:p>
        </w:tc>
        <w:tc>
          <w:tcPr>
            <w:tcW w:w="34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Securities Purchase Agreement dated August 13, 2007 by and among Active Power, Inc. and the Purchasers named therein.</w:t>
            </w:r>
          </w:p>
        </w:tc>
      </w:tr>
      <w:tr>
        <w:trPr>
          <w:trHeight w:val="271"/>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10.2</w:t>
            </w:r>
          </w:p>
        </w:tc>
        <w:tc>
          <w:tcPr>
            <w:tcW w:w="340" w:type="dxa"/>
            <w:vAlign w:val="bottom"/>
          </w:tcPr>
          <w:p>
            <w:pPr>
              <w:spacing w:after="0"/>
              <w:rPr>
                <w:sz w:val="23"/>
                <w:szCs w:val="23"/>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Registration Rights Agreement dated August 14, 2007 by and among Active Power, Inc. and the Shareholders named therein.</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99.1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Press Release dated August 14, 2007</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99.2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Presentation to Investors</w:t>
            </w:r>
          </w:p>
        </w:tc>
      </w:tr>
    </w:tbl>
    <w:p>
      <w:pPr>
        <w:spacing w:after="0" w:line="131" w:lineRule="exact"/>
        <w:rPr>
          <w:sz w:val="20"/>
          <w:szCs w:val="20"/>
          <w:color w:val="auto"/>
        </w:rPr>
      </w:pPr>
    </w:p>
    <w:p>
      <w:pPr>
        <w:jc w:val="both"/>
        <w:ind w:left="6" w:right="240" w:firstLine="457"/>
        <w:spacing w:after="0" w:line="273" w:lineRule="auto"/>
        <w:rPr>
          <w:sz w:val="20"/>
          <w:szCs w:val="20"/>
          <w:color w:val="auto"/>
        </w:rPr>
      </w:pPr>
      <w:r>
        <w:rPr>
          <w:rFonts w:ascii="Times New Roman" w:cs="Times New Roman" w:eastAsia="Times New Roman" w:hAnsi="Times New Roman"/>
          <w:sz w:val="15"/>
          <w:szCs w:val="15"/>
          <w:color w:val="auto"/>
        </w:rPr>
        <w:t>In accordance with General Instruction B.2 of Form 8-K, the information contained in Item 7.01 of this Current Report, including the exhibits attached as Exhibit 99.1 and 99.2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unless specifically identified as being incorporated therein by reference and regardless of any general incorporation language in such filing.</w:t>
      </w:r>
    </w:p>
    <w:p>
      <w:pPr>
        <w:spacing w:after="0" w:line="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6"/>
          </w:cols>
          <w:pgMar w:left="234" w:top="258" w:right="219" w:bottom="1440" w:gutter="0" w:footer="0" w:header="0"/>
        </w:sectPr>
      </w:pPr>
    </w:p>
    <w:bookmarkStart w:id="3" w:name="page4"/>
    <w:bookmarkEnd w:id="3"/>
    <w:p>
      <w:pPr>
        <w:jc w:val="center"/>
        <w:ind w:right="-5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w:t>
      </w:r>
    </w:p>
    <w:p>
      <w:pPr>
        <w:spacing w:after="0" w:line="160"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5"/>
          <w:szCs w:val="15"/>
          <w:b w:val="1"/>
          <w:bCs w:val="1"/>
          <w:color w:val="auto"/>
        </w:rPr>
        <w:t>ACTIVE POWER, INC.</w:t>
      </w:r>
    </w:p>
    <w:p>
      <w:pPr>
        <w:spacing w:after="0" w:line="207"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5"/>
          <w:szCs w:val="15"/>
          <w:color w:val="auto"/>
        </w:rPr>
        <w:t>Dated: August 14, 2007</w:t>
      </w:r>
      <w:r>
        <w:rPr>
          <w:sz w:val="20"/>
          <w:szCs w:val="20"/>
          <w:color w:val="auto"/>
        </w:rPr>
        <w:tab/>
      </w:r>
      <w:r>
        <w:rPr>
          <w:rFonts w:ascii="Times New Roman" w:cs="Times New Roman" w:eastAsia="Times New Roman" w:hAnsi="Times New Roman"/>
          <w:sz w:val="15"/>
          <w:szCs w:val="15"/>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17145</wp:posOffset>
            </wp:positionV>
            <wp:extent cx="33858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582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James A. Clishem</w:t>
      </w:r>
    </w:p>
    <w:p>
      <w:pPr>
        <w:spacing w:after="0" w:line="2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ectPr>
          <w:pgSz w:w="11900" w:h="16838" w:orient="portrait"/>
          <w:cols w:equalWidth="0" w:num="1">
            <w:col w:w="10880"/>
          </w:cols>
          <w:pgMar w:left="240" w:top="254"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2"/>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Pr>
          <w:p>
            <w:pPr>
              <w:ind w:left="376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2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340" w:type="dxa"/>
            <w:vAlign w:val="bottom"/>
          </w:tcPr>
          <w:p>
            <w:pPr>
              <w:spacing w:after="0"/>
              <w:rPr>
                <w:sz w:val="24"/>
                <w:szCs w:val="24"/>
                <w:color w:val="auto"/>
              </w:rPr>
            </w:pPr>
          </w:p>
        </w:tc>
        <w:tc>
          <w:tcPr>
            <w:tcW w:w="10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10.1</w:t>
            </w:r>
          </w:p>
        </w:tc>
        <w:tc>
          <w:tcPr>
            <w:tcW w:w="340" w:type="dxa"/>
            <w:vAlign w:val="bottom"/>
          </w:tcPr>
          <w:p>
            <w:pPr>
              <w:spacing w:after="0"/>
              <w:rPr>
                <w:sz w:val="15"/>
                <w:szCs w:val="15"/>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Securities Purchase Agreement dated August 13, 2007 by and among Active Power, Inc. and the Purchasers named therein.</w:t>
            </w:r>
          </w:p>
        </w:tc>
      </w:tr>
      <w:tr>
        <w:trPr>
          <w:trHeight w:val="271"/>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10.2</w:t>
            </w:r>
          </w:p>
        </w:tc>
        <w:tc>
          <w:tcPr>
            <w:tcW w:w="340" w:type="dxa"/>
            <w:vAlign w:val="bottom"/>
          </w:tcPr>
          <w:p>
            <w:pPr>
              <w:spacing w:after="0"/>
              <w:rPr>
                <w:sz w:val="23"/>
                <w:szCs w:val="23"/>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Registration Rights Agreement dated August 14, 2007 by and among Active Power, Inc. and the Shareholders named therein.</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99.1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Press Release dated August 14, 2007</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Exhibit 99.2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Times New Roman" w:cs="Times New Roman" w:eastAsia="Times New Roman" w:hAnsi="Times New Roman"/>
                <w:sz w:val="15"/>
                <w:szCs w:val="15"/>
                <w:color w:val="auto"/>
              </w:rPr>
              <w:t>Presentation to Investors</w:t>
            </w:r>
          </w:p>
        </w:tc>
      </w:tr>
    </w:tbl>
    <w:p>
      <w:pPr>
        <w:spacing w:after="0"/>
        <w:rPr>
          <w:sz w:val="20"/>
          <w:szCs w:val="20"/>
          <w:color w:val="auto"/>
        </w:rPr>
        <w:sectPr>
          <w:pgSz w:w="11900" w:h="16838" w:orient="portrait"/>
          <w:cols w:equalWidth="0" w:num="1">
            <w:col w:w="11440"/>
          </w:cols>
          <w:pgMar w:left="240" w:top="254" w:right="2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PURCHASE AGREEMENT</w:t>
      </w:r>
    </w:p>
    <w:p>
      <w:pPr>
        <w:spacing w:after="0" w:line="160" w:lineRule="exact"/>
        <w:rPr>
          <w:sz w:val="20"/>
          <w:szCs w:val="20"/>
          <w:color w:val="auto"/>
        </w:rPr>
      </w:pPr>
    </w:p>
    <w:p>
      <w:pPr>
        <w:ind w:right="60" w:firstLine="457"/>
        <w:spacing w:after="0" w:line="297" w:lineRule="auto"/>
        <w:rPr>
          <w:sz w:val="20"/>
          <w:szCs w:val="20"/>
          <w:color w:val="auto"/>
        </w:rPr>
      </w:pPr>
      <w:r>
        <w:rPr>
          <w:rFonts w:ascii="Times New Roman" w:cs="Times New Roman" w:eastAsia="Times New Roman" w:hAnsi="Times New Roman"/>
          <w:sz w:val="15"/>
          <w:szCs w:val="15"/>
          <w:color w:val="auto"/>
        </w:rPr>
        <w:t>This Securities Purchase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dated as of August 13, 2007, between Active Power,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each purchaser identified on the signature pages hereto (each, including its successors and assigns, a “</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Purchasers</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ind w:right="260" w:firstLine="457"/>
        <w:spacing w:after="0" w:line="279" w:lineRule="auto"/>
        <w:rPr>
          <w:sz w:val="20"/>
          <w:szCs w:val="20"/>
          <w:color w:val="auto"/>
        </w:rPr>
      </w:pPr>
      <w:r>
        <w:rPr>
          <w:rFonts w:ascii="Times New Roman" w:cs="Times New Roman" w:eastAsia="Times New Roman" w:hAnsi="Times New Roman"/>
          <w:sz w:val="15"/>
          <w:szCs w:val="15"/>
          <w:color w:val="auto"/>
        </w:rPr>
        <w:t>WHEREAS, subject to the terms and conditions set forth in this Agreement and pursuant to Section 4(2)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03" w:lineRule="exact"/>
        <w:rPr>
          <w:sz w:val="20"/>
          <w:szCs w:val="20"/>
          <w:color w:val="auto"/>
        </w:rPr>
      </w:pPr>
    </w:p>
    <w:p>
      <w:pPr>
        <w:ind w:right="320" w:firstLine="457"/>
        <w:spacing w:after="0" w:line="297" w:lineRule="auto"/>
        <w:rPr>
          <w:sz w:val="20"/>
          <w:szCs w:val="20"/>
          <w:color w:val="auto"/>
        </w:rPr>
      </w:pPr>
      <w:r>
        <w:rPr>
          <w:rFonts w:ascii="Times New Roman" w:cs="Times New Roman" w:eastAsia="Times New Roman" w:hAnsi="Times New Roman"/>
          <w:sz w:val="15"/>
          <w:szCs w:val="15"/>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DEFINITIONS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In addition to the terms defined elsewhere in this Agreement, for all purposes of this Agreement, the following terms have the meanings set forth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1.1:</w:t>
      </w:r>
    </w:p>
    <w:p>
      <w:pPr>
        <w:spacing w:after="0" w:line="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Action</w:t>
      </w:r>
      <w:r>
        <w:rPr>
          <w:rFonts w:ascii="Times New Roman" w:cs="Times New Roman" w:eastAsia="Times New Roman" w:hAnsi="Times New Roman"/>
          <w:sz w:val="15"/>
          <w:szCs w:val="15"/>
          <w:color w:val="auto"/>
        </w:rPr>
        <w:t>” shall have the meaning ascribed to such term in Section 3.1(j).</w:t>
      </w:r>
    </w:p>
    <w:p>
      <w:pPr>
        <w:spacing w:after="0" w:line="86" w:lineRule="exact"/>
        <w:rPr>
          <w:sz w:val="20"/>
          <w:szCs w:val="20"/>
          <w:color w:val="auto"/>
        </w:rPr>
      </w:pPr>
    </w:p>
    <w:p>
      <w:pPr>
        <w:jc w:val="both"/>
        <w:ind w:left="460" w:right="100" w:firstLine="439"/>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any Person that, directly or indirectly through one or more intermediaries, controls or is controlled by or is under common control with a Person as such terms are used in and construed under Rule 405 under the Securities Act. With respect to a Purchaser, any investment fund or managed account that is managed on a discretionary basis by the same investment manager as such Purchaser will be deemed to be an Affiliate of such Purchaser.</w:t>
      </w:r>
    </w:p>
    <w:p>
      <w:pPr>
        <w:spacing w:after="0" w:line="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means the board of directors of the Company.</w:t>
      </w:r>
    </w:p>
    <w:p>
      <w:pPr>
        <w:spacing w:after="0" w:line="86" w:lineRule="exact"/>
        <w:rPr>
          <w:sz w:val="20"/>
          <w:szCs w:val="20"/>
          <w:color w:val="auto"/>
        </w:rPr>
      </w:pPr>
    </w:p>
    <w:p>
      <w:pPr>
        <w:ind w:left="460" w:right="14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means the closing of the purchase and sale of the Shares pursuant to Section 2.1.</w:t>
      </w:r>
    </w:p>
    <w:p>
      <w:pPr>
        <w:spacing w:after="0" w:line="86" w:lineRule="exact"/>
        <w:rPr>
          <w:sz w:val="20"/>
          <w:szCs w:val="20"/>
          <w:color w:val="auto"/>
        </w:rPr>
      </w:pPr>
    </w:p>
    <w:p>
      <w:pPr>
        <w:ind w:left="460" w:right="46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 means the Trading Day when all of the Transaction Documents have been executed and delivered by the applicable parties thereto, and all conditions precedent to (i) the Purchasers’ obligations to pay the Subscription Amount and (ii) the Company’s obligations to deliver the Shares have been satisfied or waived.</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means the Securities and Exchange Commission.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440"/>
          </w:cols>
          <w:pgMar w:left="240" w:top="124" w:right="219" w:bottom="1440" w:gutter="0" w:footer="0" w:header="0"/>
        </w:sectPr>
      </w:pPr>
    </w:p>
    <w:bookmarkStart w:id="6" w:name="page7"/>
    <w:bookmarkEnd w:id="6"/>
    <w:p>
      <w:pPr>
        <w:ind w:right="180" w:firstLine="43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means the common stock of the Company, par value $0.001 per share, together with the associated Rights, and any other class of securities into which such securities may hereafter be reclassified or changed into.</w:t>
      </w:r>
    </w:p>
    <w:p>
      <w:pPr>
        <w:spacing w:after="0" w:line="19" w:lineRule="exact"/>
        <w:rPr>
          <w:sz w:val="20"/>
          <w:szCs w:val="20"/>
          <w:color w:val="auto"/>
        </w:rPr>
      </w:pPr>
    </w:p>
    <w:p>
      <w:pPr>
        <w:jc w:val="both"/>
        <w:ind w:right="360" w:firstLine="439"/>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 Equivalents</w:t>
      </w:r>
      <w:r>
        <w:rPr>
          <w:rFonts w:ascii="Times New Roman" w:cs="Times New Roman" w:eastAsia="Times New Roman" w:hAnsi="Times New Roman"/>
          <w:sz w:val="15"/>
          <w:szCs w:val="15"/>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Counsel</w:t>
      </w:r>
      <w:r>
        <w:rPr>
          <w:rFonts w:ascii="Times New Roman" w:cs="Times New Roman" w:eastAsia="Times New Roman" w:hAnsi="Times New Roman"/>
          <w:sz w:val="15"/>
          <w:szCs w:val="15"/>
          <w:color w:val="auto"/>
        </w:rPr>
        <w:t>” means Andrews Kurth LLP, with offices located at 111 Congress Avenue, Suite 1700, Austin, TX 78701.</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Disclosure Schedules</w:t>
      </w:r>
      <w:r>
        <w:rPr>
          <w:rFonts w:ascii="Times New Roman" w:cs="Times New Roman" w:eastAsia="Times New Roman" w:hAnsi="Times New Roman"/>
          <w:sz w:val="15"/>
          <w:szCs w:val="15"/>
          <w:color w:val="auto"/>
        </w:rPr>
        <w:t>” means the Disclosure Schedules of the Company delivered concurrently herewith.</w:t>
      </w:r>
    </w:p>
    <w:p>
      <w:pPr>
        <w:spacing w:after="0" w:line="86" w:lineRule="exact"/>
        <w:rPr>
          <w:sz w:val="20"/>
          <w:szCs w:val="20"/>
          <w:color w:val="auto"/>
        </w:rPr>
      </w:pPr>
    </w:p>
    <w:p>
      <w:pPr>
        <w:ind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means the date that the initial Registration Statement filed by the Company pursuant to the Registration Rights Agreement is first declared effective by the Commission.</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Evaluation Date</w:t>
      </w:r>
      <w:r>
        <w:rPr>
          <w:rFonts w:ascii="Times New Roman" w:cs="Times New Roman" w:eastAsia="Times New Roman" w:hAnsi="Times New Roman"/>
          <w:sz w:val="15"/>
          <w:szCs w:val="15"/>
          <w:color w:val="auto"/>
        </w:rPr>
        <w:t>” shall have the meaning ascribed to such term in Section 3.1(r).</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and the rules and regulations promulgated thereunder.</w:t>
      </w:r>
    </w:p>
    <w:p>
      <w:pPr>
        <w:spacing w:after="0" w:line="86" w:lineRule="exact"/>
        <w:rPr>
          <w:sz w:val="20"/>
          <w:szCs w:val="20"/>
          <w:color w:val="auto"/>
        </w:rPr>
      </w:pPr>
    </w:p>
    <w:p>
      <w:pPr>
        <w:ind w:right="20" w:firstLine="439"/>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Exempt Issuance</w:t>
      </w:r>
      <w:r>
        <w:rPr>
          <w:rFonts w:ascii="Times New Roman" w:cs="Times New Roman" w:eastAsia="Times New Roman" w:hAnsi="Times New Roman"/>
          <w:sz w:val="15"/>
          <w:szCs w:val="15"/>
          <w:color w:val="auto"/>
        </w:rPr>
        <w:t>” means the issuance of (a) shares of Common Stock or options to employees, officers, directors of the Company or others providing services to the Company pursuant to the Company’s 2000 Stock Incentive Plan, as amended (the “</w:t>
      </w:r>
      <w:r>
        <w:rPr>
          <w:rFonts w:ascii="Times New Roman" w:cs="Times New Roman" w:eastAsia="Times New Roman" w:hAnsi="Times New Roman"/>
          <w:sz w:val="15"/>
          <w:szCs w:val="15"/>
          <w:u w:val="single" w:color="auto"/>
          <w:color w:val="auto"/>
        </w:rPr>
        <w:t>Stock Incentive Plan</w:t>
      </w:r>
      <w:r>
        <w:rPr>
          <w:rFonts w:ascii="Times New Roman" w:cs="Times New Roman" w:eastAsia="Times New Roman" w:hAnsi="Times New Roman"/>
          <w:sz w:val="15"/>
          <w:szCs w:val="15"/>
          <w:color w:val="auto"/>
        </w:rPr>
        <w:t>”), or pursuant to any stock or option plan or agreement duly adopted for such purpose, by a majority of the non-employee members of the Board of Directors or a majority of the members of a committee of non-employee directors established for such purpose, (b) 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exchange or conversion price of such securities, and (c) securities issued pursuant to acquisitions or strategic transactions approved by a majority of the disinterested directors of the Company, provided that any such issuance shall only be to a Person which is, itself or through its subsidiaries, and in good faith judgment of the Board of Directors, an operating company in a business synergistic with the business of the Company and in which the Company receives benefits in addition to the investment of funds, but shall not include a transaction in which the Company is issuing securities primarily for the purpose of raising capital or to an entity whose primary business is investing in securities.</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FWS</w:t>
      </w:r>
      <w:r>
        <w:rPr>
          <w:rFonts w:ascii="Times New Roman" w:cs="Times New Roman" w:eastAsia="Times New Roman" w:hAnsi="Times New Roman"/>
          <w:sz w:val="15"/>
          <w:szCs w:val="15"/>
          <w:color w:val="auto"/>
        </w:rPr>
        <w:t>” means Feldman Weinstein &amp; Smith LLP with offices located at 420 Lexington Avenue, Suite 2620, New York, New York 10170-0002.</w:t>
      </w:r>
    </w:p>
    <w:p>
      <w:pPr>
        <w:spacing w:after="0" w:line="1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920"/>
          </w:cols>
          <w:pgMar w:left="700" w:top="258" w:right="27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shall have the meaning ascribed to such term in Section 3.1(h).</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shall have the meaning ascribed to such term in Section 3.1(aa).</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Intellectual Property Rights</w:t>
      </w:r>
      <w:r>
        <w:rPr>
          <w:rFonts w:ascii="Times New Roman" w:cs="Times New Roman" w:eastAsia="Times New Roman" w:hAnsi="Times New Roman"/>
          <w:sz w:val="15"/>
          <w:szCs w:val="15"/>
          <w:color w:val="auto"/>
        </w:rPr>
        <w:t>” shall have the meaning ascribed to such term in Section 3.1(o).</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Legend Removal Date</w:t>
      </w:r>
      <w:r>
        <w:rPr>
          <w:rFonts w:ascii="Times New Roman" w:cs="Times New Roman" w:eastAsia="Times New Roman" w:hAnsi="Times New Roman"/>
          <w:sz w:val="15"/>
          <w:szCs w:val="15"/>
          <w:color w:val="auto"/>
        </w:rPr>
        <w:t>” shall have the meaning ascribed to such term in Section 4.1(c).</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Liens</w:t>
      </w:r>
      <w:r>
        <w:rPr>
          <w:rFonts w:ascii="Times New Roman" w:cs="Times New Roman" w:eastAsia="Times New Roman" w:hAnsi="Times New Roman"/>
          <w:sz w:val="15"/>
          <w:szCs w:val="15"/>
          <w:color w:val="auto"/>
        </w:rPr>
        <w:t>” means a lien, charge, security interest, encumbrance, right of first refusal, preemptive right or other restriction.</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shall have the meaning assigned to such term in Section 3.1(b).</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 Permits</w:t>
      </w:r>
      <w:r>
        <w:rPr>
          <w:rFonts w:ascii="Times New Roman" w:cs="Times New Roman" w:eastAsia="Times New Roman" w:hAnsi="Times New Roman"/>
          <w:sz w:val="15"/>
          <w:szCs w:val="15"/>
          <w:color w:val="auto"/>
        </w:rPr>
        <w:t>” shall have the meaning ascribed to such term in Section 3.1(m).</w:t>
      </w:r>
    </w:p>
    <w:p>
      <w:pPr>
        <w:spacing w:after="0" w:line="86" w:lineRule="exact"/>
        <w:rPr>
          <w:sz w:val="20"/>
          <w:szCs w:val="20"/>
          <w:color w:val="auto"/>
        </w:rPr>
      </w:pPr>
    </w:p>
    <w:p>
      <w:pPr>
        <w:ind w:right="10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 Share Purchase Price</w:t>
      </w:r>
      <w:r>
        <w:rPr>
          <w:rFonts w:ascii="Times New Roman" w:cs="Times New Roman" w:eastAsia="Times New Roman" w:hAnsi="Times New Roman"/>
          <w:sz w:val="15"/>
          <w:szCs w:val="15"/>
          <w:color w:val="auto"/>
        </w:rPr>
        <w:t>” equals $1.40, subject to adjustment for reverse and forward stock splits, stock dividends, stock combinations and other similar transactions of the Common Stock that occur after the date of this Agreement.</w:t>
      </w:r>
    </w:p>
    <w:p>
      <w:pPr>
        <w:spacing w:after="0" w:line="19" w:lineRule="exact"/>
        <w:rPr>
          <w:sz w:val="20"/>
          <w:szCs w:val="20"/>
          <w:color w:val="auto"/>
        </w:rPr>
      </w:pPr>
    </w:p>
    <w:p>
      <w:pPr>
        <w:ind w:firstLine="43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Lien</w:t>
      </w:r>
      <w:r>
        <w:rPr>
          <w:rFonts w:ascii="Times New Roman" w:cs="Times New Roman" w:eastAsia="Times New Roman" w:hAnsi="Times New Roman"/>
          <w:sz w:val="15"/>
          <w:szCs w:val="15"/>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minor imperfection of title or similar Lien which individually or in the aggregate with other such Liens does not materially impair the value of the property subject to such Lien or the use of such property in the conduct of the Company’s business; and (iv) a security interest in all the Company’s properties’ assets given in favor of Silicon Valley Bank.</w:t>
      </w:r>
    </w:p>
    <w:p>
      <w:pPr>
        <w:spacing w:after="0" w:line="40" w:lineRule="exact"/>
        <w:rPr>
          <w:sz w:val="20"/>
          <w:szCs w:val="20"/>
          <w:color w:val="auto"/>
        </w:rPr>
      </w:pPr>
    </w:p>
    <w:p>
      <w:pPr>
        <w:ind w:right="12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9" w:lineRule="exact"/>
        <w:rPr>
          <w:sz w:val="20"/>
          <w:szCs w:val="20"/>
          <w:color w:val="auto"/>
        </w:rPr>
      </w:pPr>
    </w:p>
    <w:p>
      <w:pPr>
        <w:ind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means an action, claim, suit, investigation or proceeding (including, without limitation, an informal investigation or partial proceeding, such as a deposition), whether commenced or threatened.</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Purchaser Party</w:t>
      </w:r>
      <w:r>
        <w:rPr>
          <w:rFonts w:ascii="Times New Roman" w:cs="Times New Roman" w:eastAsia="Times New Roman" w:hAnsi="Times New Roman"/>
          <w:sz w:val="15"/>
          <w:szCs w:val="15"/>
          <w:color w:val="auto"/>
        </w:rPr>
        <w:t>” shall have the meaning ascribed to such term in Section 4.8.</w:t>
      </w:r>
    </w:p>
    <w:p>
      <w:pPr>
        <w:spacing w:after="0" w:line="86" w:lineRule="exact"/>
        <w:rPr>
          <w:sz w:val="20"/>
          <w:szCs w:val="20"/>
          <w:color w:val="auto"/>
        </w:rPr>
      </w:pPr>
    </w:p>
    <w:p>
      <w:pPr>
        <w:ind w:right="40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xml:space="preserve">” means the Registration Rights Agreement, dated the date hereof, among the Company and the Purchasers, in the form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attached hereto.</w:t>
      </w:r>
    </w:p>
    <w:p>
      <w:pPr>
        <w:spacing w:after="0" w:line="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880"/>
          </w:cols>
          <w:pgMar w:left="700" w:top="258" w:right="319" w:bottom="1440" w:gutter="0" w:footer="0" w:header="0"/>
        </w:sectPr>
      </w:pPr>
    </w:p>
    <w:bookmarkStart w:id="8" w:name="page9"/>
    <w:bookmarkEnd w:id="8"/>
    <w:p>
      <w:pPr>
        <w:ind w:right="40" w:firstLine="439"/>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means a registration statement meeting the requirements set forth in the Registration Rights Agreement and covering the resale by the Purchasers of the Shares.</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Required Approvals</w:t>
      </w:r>
      <w:r>
        <w:rPr>
          <w:rFonts w:ascii="Times New Roman" w:cs="Times New Roman" w:eastAsia="Times New Roman" w:hAnsi="Times New Roman"/>
          <w:sz w:val="15"/>
          <w:szCs w:val="15"/>
          <w:color w:val="auto"/>
        </w:rPr>
        <w:t>” shall have the meaning ascribed to such term in Section 3.1(e).</w:t>
      </w:r>
    </w:p>
    <w:p>
      <w:pPr>
        <w:spacing w:after="0" w:line="86" w:lineRule="exact"/>
        <w:rPr>
          <w:sz w:val="20"/>
          <w:szCs w:val="20"/>
          <w:color w:val="auto"/>
        </w:rPr>
      </w:pPr>
    </w:p>
    <w:p>
      <w:pPr>
        <w:ind w:right="6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Rights</w:t>
      </w:r>
      <w:r>
        <w:rPr>
          <w:rFonts w:ascii="Times New Roman" w:cs="Times New Roman" w:eastAsia="Times New Roman" w:hAnsi="Times New Roman"/>
          <w:sz w:val="15"/>
          <w:szCs w:val="15"/>
          <w:color w:val="auto"/>
        </w:rPr>
        <w:t>” shall mean the Company’s preferred share purchase rights pursuant to that certain Rights Agreement dated December 13, 2001, as amended or restated from time to time.</w:t>
      </w:r>
    </w:p>
    <w:p>
      <w:pPr>
        <w:spacing w:after="0" w:line="19" w:lineRule="exact"/>
        <w:rPr>
          <w:sz w:val="20"/>
          <w:szCs w:val="20"/>
          <w:color w:val="auto"/>
        </w:rPr>
      </w:pPr>
    </w:p>
    <w:p>
      <w:pPr>
        <w:ind w:right="50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144</w:t>
      </w:r>
      <w:r>
        <w:rPr>
          <w:rFonts w:ascii="Times New Roman" w:cs="Times New Roman" w:eastAsia="Times New Roman" w:hAnsi="Times New Roman"/>
          <w:sz w:val="15"/>
          <w:szCs w:val="15"/>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 shall have the meaning ascribed to such term in Section 3.1(h).</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means the Securities Act of 1933, as amended, and the rules and regulations promulgated thereunder.</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means the shares of Common Stock issued or issuable to each Purchaser pursuant to this Agreement.</w:t>
      </w:r>
    </w:p>
    <w:p>
      <w:pPr>
        <w:spacing w:after="0" w:line="86" w:lineRule="exact"/>
        <w:rPr>
          <w:sz w:val="20"/>
          <w:szCs w:val="20"/>
          <w:color w:val="auto"/>
        </w:rPr>
      </w:pPr>
    </w:p>
    <w:p>
      <w:pPr>
        <w:ind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Short Sales</w:t>
      </w:r>
      <w:r>
        <w:rPr>
          <w:rFonts w:ascii="Times New Roman" w:cs="Times New Roman" w:eastAsia="Times New Roman" w:hAnsi="Times New Roman"/>
          <w:sz w:val="15"/>
          <w:szCs w:val="15"/>
          <w:color w:val="auto"/>
        </w:rPr>
        <w:t>” means all “short sales” as defined in Rule 200 of Regulation SHO under the Exchange Act (but shall not be deemed to include the location and/or reservation of borrowable shares of Common Stock).</w:t>
      </w:r>
    </w:p>
    <w:p>
      <w:pPr>
        <w:spacing w:after="0" w:line="19" w:lineRule="exact"/>
        <w:rPr>
          <w:sz w:val="20"/>
          <w:szCs w:val="20"/>
          <w:color w:val="auto"/>
        </w:rPr>
      </w:pPr>
    </w:p>
    <w:p>
      <w:pPr>
        <w:ind w:right="28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Subscription Amount</w:t>
      </w:r>
      <w:r>
        <w:rPr>
          <w:rFonts w:ascii="Times New Roman" w:cs="Times New Roman" w:eastAsia="Times New Roman" w:hAnsi="Times New Roman"/>
          <w:sz w:val="15"/>
          <w:szCs w:val="15"/>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9" w:lineRule="exact"/>
        <w:rPr>
          <w:sz w:val="20"/>
          <w:szCs w:val="20"/>
          <w:color w:val="auto"/>
        </w:rPr>
      </w:pPr>
    </w:p>
    <w:p>
      <w:pPr>
        <w:ind w:right="2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xml:space="preserve">” means any subsidiary of the Company as set forth on </w:t>
      </w:r>
      <w:r>
        <w:rPr>
          <w:rFonts w:ascii="Times New Roman" w:cs="Times New Roman" w:eastAsia="Times New Roman" w:hAnsi="Times New Roman"/>
          <w:sz w:val="15"/>
          <w:szCs w:val="15"/>
          <w:u w:val="single" w:color="auto"/>
          <w:color w:val="auto"/>
        </w:rPr>
        <w:t>Schedule 3.1(a)</w:t>
      </w:r>
      <w:r>
        <w:rPr>
          <w:rFonts w:ascii="Times New Roman" w:cs="Times New Roman" w:eastAsia="Times New Roman" w:hAnsi="Times New Roman"/>
          <w:sz w:val="15"/>
          <w:szCs w:val="15"/>
          <w:color w:val="auto"/>
        </w:rPr>
        <w:t>, and shall, where applicable, include any subsidiary of the Company formed or acquired after the date hereof.</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Trading Day</w:t>
      </w:r>
      <w:r>
        <w:rPr>
          <w:rFonts w:ascii="Times New Roman" w:cs="Times New Roman" w:eastAsia="Times New Roman" w:hAnsi="Times New Roman"/>
          <w:sz w:val="15"/>
          <w:szCs w:val="15"/>
          <w:color w:val="auto"/>
        </w:rPr>
        <w:t>” means a day on which the New York Stock Exchange is open for trading.</w:t>
      </w:r>
    </w:p>
    <w:p>
      <w:pPr>
        <w:spacing w:after="0" w:line="86" w:lineRule="exact"/>
        <w:rPr>
          <w:sz w:val="20"/>
          <w:szCs w:val="20"/>
          <w:color w:val="auto"/>
        </w:rPr>
      </w:pPr>
    </w:p>
    <w:p>
      <w:pPr>
        <w:ind w:right="40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Trading Market</w:t>
      </w:r>
      <w:r>
        <w:rPr>
          <w:rFonts w:ascii="Times New Roman" w:cs="Times New Roman" w:eastAsia="Times New Roman" w:hAnsi="Times New Roman"/>
          <w:sz w:val="15"/>
          <w:szCs w:val="15"/>
          <w:color w:val="auto"/>
        </w:rPr>
        <w:t>” means the following markets or exchanges on which the Common Stock is listed or quoted for trading on the date in question: the American Stock Exchange, the Nasdaq Capital Market, the Nasdaq Global Market, the Nasdaq Global Select Market, or the New York Stock Exchange.</w:t>
      </w:r>
    </w:p>
    <w:p>
      <w:pPr>
        <w:spacing w:after="0" w:line="19" w:lineRule="exact"/>
        <w:rPr>
          <w:sz w:val="20"/>
          <w:szCs w:val="20"/>
          <w:color w:val="auto"/>
        </w:rPr>
      </w:pPr>
    </w:p>
    <w:p>
      <w:pPr>
        <w:ind w:right="8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Transaction Documents</w:t>
      </w:r>
      <w:r>
        <w:rPr>
          <w:rFonts w:ascii="Times New Roman" w:cs="Times New Roman" w:eastAsia="Times New Roman" w:hAnsi="Times New Roman"/>
          <w:sz w:val="15"/>
          <w:szCs w:val="15"/>
          <w:color w:val="auto"/>
        </w:rPr>
        <w:t>” means this Agreement, the Registration Rights Agreement and any other documents or agreements executed in connection with the transactions contemplated hereunder.</w:t>
      </w:r>
    </w:p>
    <w:p>
      <w:pPr>
        <w:spacing w:after="0" w:line="7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920"/>
          </w:cols>
          <w:pgMar w:left="700" w:top="258" w:right="279" w:bottom="1440" w:gutter="0" w:footer="0" w:header="0"/>
        </w:sectPr>
      </w:pPr>
    </w:p>
    <w:bookmarkStart w:id="9" w:name="page10"/>
    <w:bookmarkEnd w:id="9"/>
    <w:p>
      <w:pPr>
        <w:ind w:left="460" w:right="360" w:firstLine="439"/>
        <w:spacing w:after="0" w:line="22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Transfer Agent</w:t>
      </w:r>
      <w:r>
        <w:rPr>
          <w:rFonts w:ascii="Times New Roman" w:cs="Times New Roman" w:eastAsia="Times New Roman" w:hAnsi="Times New Roman"/>
          <w:sz w:val="15"/>
          <w:szCs w:val="15"/>
          <w:color w:val="auto"/>
        </w:rPr>
        <w:t>” means American Stock Transfer &amp; Trust Company, the current transfer agent of the Company, with a mailing address of 6201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Avenue,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5"/>
          <w:szCs w:val="15"/>
          <w:color w:val="auto"/>
        </w:rPr>
        <w:t xml:space="preserve"> Floor, Brooklyn, NY 11219 and a facsimile number of 718-921-8327, and any successor transfer agent of the Company.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PURCHASE AND SALE</w:t>
      </w:r>
    </w:p>
    <w:p>
      <w:pPr>
        <w:spacing w:after="0" w:line="146"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number of 10,000,000 of Shares (equal to $14,000,000.00 divided by the Per Share Purchase Price), in the individual amounts specified on each Purchaser’s signature page. Each Purchaser shall deliver to the Company, via wire transfer or a certified check, immediately available funds equal to its Subscription Amount and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FWS or such other location as the parties shall mutually agree.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Deliveries</w:t>
      </w:r>
      <w:r>
        <w:rPr>
          <w:rFonts w:ascii="Times New Roman" w:cs="Times New Roman" w:eastAsia="Times New Roman" w:hAnsi="Times New Roman"/>
          <w:sz w:val="15"/>
          <w:szCs w:val="15"/>
          <w:color w:val="auto"/>
        </w:rPr>
        <w:t>.</w:t>
      </w:r>
    </w:p>
    <w:p>
      <w:pPr>
        <w:spacing w:after="0" w:line="86" w:lineRule="exact"/>
        <w:rPr>
          <w:sz w:val="20"/>
          <w:szCs w:val="20"/>
          <w:color w:val="auto"/>
        </w:rPr>
      </w:pPr>
    </w:p>
    <w:p>
      <w:pPr>
        <w:ind w:left="1100" w:hanging="209"/>
        <w:spacing w:after="0"/>
        <w:tabs>
          <w:tab w:leader="none" w:pos="1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the Closing Date, the Company shall deliver or cause to be delivered to each Purchaser the following:</w:t>
      </w:r>
    </w:p>
    <w:p>
      <w:pPr>
        <w:spacing w:after="0" w:line="85" w:lineRule="exact"/>
        <w:rPr>
          <w:rFonts w:ascii="Times New Roman" w:cs="Times New Roman" w:eastAsia="Times New Roman" w:hAnsi="Times New Roman"/>
          <w:sz w:val="15"/>
          <w:szCs w:val="15"/>
          <w:color w:val="auto"/>
        </w:rPr>
      </w:pPr>
    </w:p>
    <w:p>
      <w:pPr>
        <w:ind w:left="1520" w:hanging="190"/>
        <w:spacing w:after="0"/>
        <w:tabs>
          <w:tab w:leader="none" w:pos="152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duly executed by the Company;</w:t>
      </w:r>
    </w:p>
    <w:p>
      <w:pPr>
        <w:spacing w:after="0" w:line="85" w:lineRule="exact"/>
        <w:rPr>
          <w:rFonts w:ascii="Times New Roman" w:cs="Times New Roman" w:eastAsia="Times New Roman" w:hAnsi="Times New Roman"/>
          <w:sz w:val="15"/>
          <w:szCs w:val="15"/>
          <w:color w:val="auto"/>
        </w:rPr>
      </w:pPr>
    </w:p>
    <w:p>
      <w:pPr>
        <w:ind w:left="1560" w:hanging="230"/>
        <w:spacing w:after="0"/>
        <w:tabs>
          <w:tab w:leader="none" w:pos="156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legal opinion of Company Counsel, substantially in the form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attached hereto;</w:t>
      </w:r>
    </w:p>
    <w:p>
      <w:pPr>
        <w:spacing w:after="0" w:line="85" w:lineRule="exact"/>
        <w:rPr>
          <w:rFonts w:ascii="Times New Roman" w:cs="Times New Roman" w:eastAsia="Times New Roman" w:hAnsi="Times New Roman"/>
          <w:sz w:val="15"/>
          <w:szCs w:val="15"/>
          <w:color w:val="auto"/>
        </w:rPr>
      </w:pPr>
    </w:p>
    <w:p>
      <w:pPr>
        <w:ind w:left="900" w:right="80" w:firstLine="430"/>
        <w:spacing w:after="0" w:line="297" w:lineRule="auto"/>
        <w:tabs>
          <w:tab w:leader="none" w:pos="1588"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irrevocable instructions to the Transfer Agent instructing the Transfer Agent to deliver, on an expedited basis, a certificate evidencing a number of Shares equal to such Purchaser’s Subscription Amount divided by the Per Share Purchase Price, registered in the name of such Purchaser;</w:t>
      </w:r>
    </w:p>
    <w:p>
      <w:pPr>
        <w:spacing w:after="0" w:line="19" w:lineRule="exact"/>
        <w:rPr>
          <w:rFonts w:ascii="Times New Roman" w:cs="Times New Roman" w:eastAsia="Times New Roman" w:hAnsi="Times New Roman"/>
          <w:sz w:val="15"/>
          <w:szCs w:val="15"/>
          <w:color w:val="auto"/>
        </w:rPr>
      </w:pPr>
    </w:p>
    <w:p>
      <w:pPr>
        <w:ind w:left="1580" w:hanging="250"/>
        <w:spacing w:after="0"/>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Rights Agreement duly executed by the Company;</w:t>
      </w:r>
    </w:p>
    <w:p>
      <w:pPr>
        <w:spacing w:after="0" w:line="85" w:lineRule="exact"/>
        <w:rPr>
          <w:rFonts w:ascii="Times New Roman" w:cs="Times New Roman" w:eastAsia="Times New Roman" w:hAnsi="Times New Roman"/>
          <w:sz w:val="15"/>
          <w:szCs w:val="15"/>
          <w:color w:val="auto"/>
        </w:rPr>
      </w:pPr>
    </w:p>
    <w:p>
      <w:pPr>
        <w:ind w:left="900" w:right="380" w:firstLine="430"/>
        <w:spacing w:after="0" w:line="297" w:lineRule="auto"/>
        <w:tabs>
          <w:tab w:leader="none" w:pos="153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copies of good standing certificates for the Company and each Subsidiary as of a recent date and certificates of qualification as a foreign corporation for the Company and each Subsidiary as of a recent date; and</w:t>
      </w:r>
    </w:p>
    <w:p>
      <w:pPr>
        <w:spacing w:after="0" w:line="19" w:lineRule="exact"/>
        <w:rPr>
          <w:rFonts w:ascii="Times New Roman" w:cs="Times New Roman" w:eastAsia="Times New Roman" w:hAnsi="Times New Roman"/>
          <w:sz w:val="15"/>
          <w:szCs w:val="15"/>
          <w:color w:val="auto"/>
        </w:rPr>
      </w:pPr>
    </w:p>
    <w:p>
      <w:pPr>
        <w:ind w:left="1580" w:hanging="250"/>
        <w:spacing w:after="0"/>
        <w:tabs>
          <w:tab w:leader="none" w:pos="158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from the Company’s transfer agent as of a recent date certifying the number of shares of Common Stock outstanding.</w:t>
      </w:r>
    </w:p>
    <w:p>
      <w:pPr>
        <w:spacing w:after="0" w:line="85" w:lineRule="exact"/>
        <w:rPr>
          <w:rFonts w:ascii="Times New Roman" w:cs="Times New Roman" w:eastAsia="Times New Roman" w:hAnsi="Times New Roman"/>
          <w:sz w:val="15"/>
          <w:szCs w:val="15"/>
          <w:color w:val="auto"/>
        </w:rPr>
      </w:pPr>
    </w:p>
    <w:p>
      <w:pPr>
        <w:ind w:left="1100" w:hanging="209"/>
        <w:spacing w:after="0"/>
        <w:tabs>
          <w:tab w:leader="none" w:pos="11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the Closing Date, each Purchaser shall deliver or cause to be delivered to the Company the following:</w:t>
      </w:r>
    </w:p>
    <w:p>
      <w:pPr>
        <w:spacing w:after="0" w:line="85" w:lineRule="exact"/>
        <w:rPr>
          <w:rFonts w:ascii="Times New Roman" w:cs="Times New Roman" w:eastAsia="Times New Roman" w:hAnsi="Times New Roman"/>
          <w:sz w:val="15"/>
          <w:szCs w:val="15"/>
          <w:color w:val="auto"/>
        </w:rPr>
      </w:pPr>
    </w:p>
    <w:p>
      <w:pPr>
        <w:ind w:left="1520" w:hanging="190"/>
        <w:spacing w:after="0"/>
        <w:tabs>
          <w:tab w:leader="none" w:pos="152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duly executed by such Purchaser;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40"/>
          </w:cols>
          <w:pgMar w:left="240" w:top="281" w:right="219" w:bottom="1440" w:gutter="0" w:footer="0" w:header="0"/>
        </w:sectPr>
      </w:pPr>
    </w:p>
    <w:bookmarkStart w:id="10" w:name="page11"/>
    <w:bookmarkEnd w:id="10"/>
    <w:p>
      <w:pPr>
        <w:ind w:left="1100" w:hanging="230"/>
        <w:spacing w:after="0"/>
        <w:tabs>
          <w:tab w:leader="none" w:pos="11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such Purchaser’s Subscription Amount by wire transfer to the account as specified in writing by the Company; and</w:t>
      </w:r>
    </w:p>
    <w:p>
      <w:pPr>
        <w:spacing w:after="0" w:line="85" w:lineRule="exact"/>
        <w:rPr>
          <w:rFonts w:ascii="Times New Roman" w:cs="Times New Roman" w:eastAsia="Times New Roman" w:hAnsi="Times New Roman"/>
          <w:sz w:val="15"/>
          <w:szCs w:val="15"/>
          <w:color w:val="auto"/>
        </w:rPr>
      </w:pPr>
    </w:p>
    <w:p>
      <w:pPr>
        <w:ind w:left="1140" w:hanging="270"/>
        <w:spacing w:after="0"/>
        <w:tabs>
          <w:tab w:leader="none" w:pos="11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Rights Agreement duly executed by such Purchaser.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Closing Conditions</w:t>
      </w:r>
      <w:r>
        <w:rPr>
          <w:rFonts w:ascii="Times New Roman" w:cs="Times New Roman" w:eastAsia="Times New Roman" w:hAnsi="Times New Roman"/>
          <w:sz w:val="15"/>
          <w:szCs w:val="15"/>
          <w:color w:val="auto"/>
        </w:rPr>
        <w:t>.</w:t>
      </w:r>
    </w:p>
    <w:p>
      <w:pPr>
        <w:spacing w:after="0" w:line="86" w:lineRule="exact"/>
        <w:rPr>
          <w:sz w:val="20"/>
          <w:szCs w:val="20"/>
          <w:color w:val="auto"/>
        </w:rPr>
      </w:pPr>
    </w:p>
    <w:p>
      <w:pPr>
        <w:ind w:left="640" w:hanging="209"/>
        <w:spacing w:after="0"/>
        <w:tabs>
          <w:tab w:leader="none" w:pos="6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obligations of the Company hereunder in connection with the Closing are subject to the following conditions being met:</w:t>
      </w:r>
    </w:p>
    <w:p>
      <w:pPr>
        <w:spacing w:after="0" w:line="85" w:lineRule="exact"/>
        <w:rPr>
          <w:rFonts w:ascii="Times New Roman" w:cs="Times New Roman" w:eastAsia="Times New Roman" w:hAnsi="Times New Roman"/>
          <w:sz w:val="15"/>
          <w:szCs w:val="15"/>
          <w:color w:val="auto"/>
        </w:rPr>
      </w:pPr>
    </w:p>
    <w:p>
      <w:pPr>
        <w:ind w:left="1060" w:hanging="190"/>
        <w:spacing w:after="0"/>
        <w:tabs>
          <w:tab w:leader="none" w:pos="10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when made and on the Closing Date of the representations and warranties of the Purchasers contained herein;</w:t>
      </w:r>
    </w:p>
    <w:p>
      <w:pPr>
        <w:spacing w:after="0" w:line="85" w:lineRule="exact"/>
        <w:rPr>
          <w:rFonts w:ascii="Times New Roman" w:cs="Times New Roman" w:eastAsia="Times New Roman" w:hAnsi="Times New Roman"/>
          <w:sz w:val="15"/>
          <w:szCs w:val="15"/>
          <w:color w:val="auto"/>
        </w:rPr>
      </w:pPr>
    </w:p>
    <w:p>
      <w:pPr>
        <w:ind w:left="1100" w:hanging="230"/>
        <w:spacing w:after="0"/>
        <w:tabs>
          <w:tab w:leader="none" w:pos="11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obligations, covenants and agreements of each Purchaser required to be performed at or prior to the Closing Date shall have been performed; and</w:t>
      </w:r>
    </w:p>
    <w:p>
      <w:pPr>
        <w:spacing w:after="0" w:line="85" w:lineRule="exact"/>
        <w:rPr>
          <w:rFonts w:ascii="Times New Roman" w:cs="Times New Roman" w:eastAsia="Times New Roman" w:hAnsi="Times New Roman"/>
          <w:sz w:val="15"/>
          <w:szCs w:val="15"/>
          <w:color w:val="auto"/>
        </w:rPr>
      </w:pPr>
    </w:p>
    <w:p>
      <w:pPr>
        <w:ind w:left="1140" w:hanging="270"/>
        <w:spacing w:after="0"/>
        <w:tabs>
          <w:tab w:leader="none" w:pos="11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by each Purchaser of the items set forth in Section 2.2(b) of this Agreement.</w:t>
      </w:r>
    </w:p>
    <w:p>
      <w:pPr>
        <w:spacing w:after="0" w:line="85" w:lineRule="exact"/>
        <w:rPr>
          <w:rFonts w:ascii="Times New Roman" w:cs="Times New Roman" w:eastAsia="Times New Roman" w:hAnsi="Times New Roman"/>
          <w:sz w:val="15"/>
          <w:szCs w:val="15"/>
          <w:color w:val="auto"/>
        </w:rPr>
      </w:pPr>
    </w:p>
    <w:p>
      <w:pPr>
        <w:ind w:left="640" w:hanging="209"/>
        <w:spacing w:after="0"/>
        <w:tabs>
          <w:tab w:leader="none" w:pos="6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respective obligations of the Purchasers hereunder in connection with the Closing are subject to the following conditions being met:</w:t>
      </w:r>
    </w:p>
    <w:p>
      <w:pPr>
        <w:spacing w:after="0" w:line="85" w:lineRule="exact"/>
        <w:rPr>
          <w:rFonts w:ascii="Times New Roman" w:cs="Times New Roman" w:eastAsia="Times New Roman" w:hAnsi="Times New Roman"/>
          <w:sz w:val="15"/>
          <w:szCs w:val="15"/>
          <w:color w:val="auto"/>
        </w:rPr>
      </w:pPr>
    </w:p>
    <w:p>
      <w:pPr>
        <w:ind w:left="1060" w:hanging="190"/>
        <w:spacing w:after="0"/>
        <w:tabs>
          <w:tab w:leader="none" w:pos="106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when made and on the Closing Date of the representations and warranties of the Company contained herein;</w:t>
      </w:r>
    </w:p>
    <w:p>
      <w:pPr>
        <w:spacing w:after="0" w:line="85" w:lineRule="exact"/>
        <w:rPr>
          <w:rFonts w:ascii="Times New Roman" w:cs="Times New Roman" w:eastAsia="Times New Roman" w:hAnsi="Times New Roman"/>
          <w:sz w:val="15"/>
          <w:szCs w:val="15"/>
          <w:color w:val="auto"/>
        </w:rPr>
      </w:pPr>
    </w:p>
    <w:p>
      <w:pPr>
        <w:ind w:left="1100" w:hanging="230"/>
        <w:spacing w:after="0"/>
        <w:tabs>
          <w:tab w:leader="none" w:pos="11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obligations, covenants and agreements of the Company required to be performed at or prior to the Closing Date shall have been performed;</w:t>
      </w:r>
    </w:p>
    <w:p>
      <w:pPr>
        <w:spacing w:after="0" w:line="85" w:lineRule="exact"/>
        <w:rPr>
          <w:rFonts w:ascii="Times New Roman" w:cs="Times New Roman" w:eastAsia="Times New Roman" w:hAnsi="Times New Roman"/>
          <w:sz w:val="15"/>
          <w:szCs w:val="15"/>
          <w:color w:val="auto"/>
        </w:rPr>
      </w:pPr>
    </w:p>
    <w:p>
      <w:pPr>
        <w:ind w:left="1140" w:hanging="270"/>
        <w:spacing w:after="0"/>
        <w:tabs>
          <w:tab w:leader="none" w:pos="11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by the Company of the items set forth in Section 2.2(a) of this Agreement;</w:t>
      </w:r>
    </w:p>
    <w:p>
      <w:pPr>
        <w:spacing w:after="0" w:line="85" w:lineRule="exact"/>
        <w:rPr>
          <w:rFonts w:ascii="Times New Roman" w:cs="Times New Roman" w:eastAsia="Times New Roman" w:hAnsi="Times New Roman"/>
          <w:sz w:val="15"/>
          <w:szCs w:val="15"/>
          <w:color w:val="auto"/>
        </w:rPr>
      </w:pPr>
    </w:p>
    <w:p>
      <w:pPr>
        <w:ind w:left="1120" w:hanging="250"/>
        <w:spacing w:after="0"/>
        <w:tabs>
          <w:tab w:leader="none" w:pos="112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have been no Material Adverse Effect with respect to the Company since the date hereof; and</w:t>
      </w:r>
    </w:p>
    <w:p>
      <w:pPr>
        <w:spacing w:after="0" w:line="85" w:lineRule="exact"/>
        <w:rPr>
          <w:rFonts w:ascii="Times New Roman" w:cs="Times New Roman" w:eastAsia="Times New Roman" w:hAnsi="Times New Roman"/>
          <w:sz w:val="15"/>
          <w:szCs w:val="15"/>
          <w:color w:val="auto"/>
        </w:rPr>
      </w:pPr>
    </w:p>
    <w:p>
      <w:pPr>
        <w:ind w:left="440" w:firstLine="430"/>
        <w:spacing w:after="0" w:line="267" w:lineRule="auto"/>
        <w:tabs>
          <w:tab w:leader="none" w:pos="1077"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to the Closing Date, trading in the Common Stock shall not have been suspended by the Commission or the Company’s principal Trading Market (except for any suspension of trading of limited duration agreed to by the Company, which suspension shall be terminated prior to the Closing),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Purchaser, makes it impracticable or inadvisable to purchase the Shares at the Closing.</w:t>
      </w:r>
    </w:p>
    <w:p>
      <w:pPr>
        <w:spacing w:after="0" w:line="1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760"/>
          </w:cols>
          <w:pgMar w:left="700" w:top="258"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REPRESENTATIONS AND WARRANTIES</w:t>
      </w:r>
    </w:p>
    <w:p>
      <w:pPr>
        <w:spacing w:after="0" w:line="146" w:lineRule="exact"/>
        <w:rPr>
          <w:sz w:val="20"/>
          <w:szCs w:val="20"/>
          <w:color w:val="auto"/>
        </w:rPr>
      </w:pPr>
    </w:p>
    <w:p>
      <w:pPr>
        <w:jc w:val="both"/>
        <w:ind w:right="120" w:firstLine="457"/>
        <w:spacing w:after="0" w:line="279"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33" w:lineRule="exact"/>
        <w:rPr>
          <w:sz w:val="20"/>
          <w:szCs w:val="20"/>
          <w:color w:val="auto"/>
        </w:rPr>
      </w:pPr>
    </w:p>
    <w:p>
      <w:pPr>
        <w:ind w:left="460" w:right="100" w:firstLine="431"/>
        <w:spacing w:after="0" w:line="273" w:lineRule="auto"/>
        <w:tabs>
          <w:tab w:leader="none" w:pos="1107"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Subsidiaries</w:t>
      </w:r>
      <w:r>
        <w:rPr>
          <w:rFonts w:ascii="Times New Roman" w:cs="Times New Roman" w:eastAsia="Times New Roman" w:hAnsi="Times New Roman"/>
          <w:sz w:val="15"/>
          <w:szCs w:val="15"/>
          <w:color w:val="auto"/>
        </w:rPr>
        <w:t xml:space="preserve">. All of the direct and indirect subsidiaries of the Company are set forth on </w:t>
      </w:r>
      <w:r>
        <w:rPr>
          <w:rFonts w:ascii="Times New Roman" w:cs="Times New Roman" w:eastAsia="Times New Roman" w:hAnsi="Times New Roman"/>
          <w:sz w:val="15"/>
          <w:szCs w:val="15"/>
          <w:u w:val="single" w:color="auto"/>
          <w:color w:val="auto"/>
        </w:rPr>
        <w:t>Schedule 3.1(a)</w:t>
      </w:r>
      <w:r>
        <w:rPr>
          <w:rFonts w:ascii="Times New Roman" w:cs="Times New Roman" w:eastAsia="Times New Roman" w:hAnsi="Times New Roman"/>
          <w:sz w:val="15"/>
          <w:szCs w:val="15"/>
          <w:color w:val="auto"/>
        </w:rPr>
        <w:t xml:space="preserve"> of the Disclosure Schedules. The Company owns, directly or indirectly, all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 If the Company has no subsidiaries, then all other references to the Subsidiaries or any of them in the Transaction Documents shall be disregarded.</w:t>
      </w:r>
    </w:p>
    <w:p>
      <w:pPr>
        <w:spacing w:after="0" w:line="37" w:lineRule="exact"/>
        <w:rPr>
          <w:rFonts w:ascii="Times New Roman" w:cs="Times New Roman" w:eastAsia="Times New Roman" w:hAnsi="Times New Roman"/>
          <w:sz w:val="15"/>
          <w:szCs w:val="15"/>
          <w:color w:val="auto"/>
        </w:rPr>
      </w:pPr>
    </w:p>
    <w:p>
      <w:pPr>
        <w:ind w:left="460" w:right="60" w:firstLine="431"/>
        <w:spacing w:after="0" w:line="265" w:lineRule="auto"/>
        <w:tabs>
          <w:tab w:leader="none" w:pos="1115"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and Qualification</w:t>
      </w:r>
      <w:r>
        <w:rPr>
          <w:rFonts w:ascii="Times New Roman" w:cs="Times New Roman" w:eastAsia="Times New Roman" w:hAnsi="Times New Roman"/>
          <w:sz w:val="15"/>
          <w:szCs w:val="15"/>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Neither the Company nor any Subsidiary is in violation 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5"/>
          <w:szCs w:val="15"/>
          <w:u w:val="single" w:color="auto"/>
          <w:color w:val="auto"/>
        </w:rPr>
        <w:t>Material Adverse Effect</w:t>
      </w:r>
      <w:r>
        <w:rPr>
          <w:rFonts w:ascii="Times New Roman" w:cs="Times New Roman" w:eastAsia="Times New Roman" w:hAnsi="Times New Roman"/>
          <w:sz w:val="15"/>
          <w:szCs w:val="15"/>
          <w:color w:val="auto"/>
        </w:rPr>
        <w:t>”) and no Proceeding has been instituted in any such jurisdiction revoking, limiting or curtailing or seeking to revoke, limit or curtail such power and authority or qualification.</w:t>
      </w:r>
    </w:p>
    <w:p>
      <w:pPr>
        <w:spacing w:after="0" w:line="45" w:lineRule="exact"/>
        <w:rPr>
          <w:rFonts w:ascii="Times New Roman" w:cs="Times New Roman" w:eastAsia="Times New Roman" w:hAnsi="Times New Roman"/>
          <w:sz w:val="15"/>
          <w:szCs w:val="15"/>
          <w:color w:val="auto"/>
        </w:rPr>
      </w:pPr>
    </w:p>
    <w:p>
      <w:pPr>
        <w:jc w:val="both"/>
        <w:ind w:left="460" w:firstLine="431"/>
        <w:spacing w:after="0" w:line="279" w:lineRule="auto"/>
        <w:tabs>
          <w:tab w:leader="none" w:pos="1107"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Enforcement</w:t>
      </w:r>
      <w:r>
        <w:rPr>
          <w:rFonts w:ascii="Times New Roman" w:cs="Times New Roman" w:eastAsia="Times New Roman" w:hAnsi="Times New Roman"/>
          <w:sz w:val="15"/>
          <w:szCs w:val="15"/>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40"/>
          </w:cols>
          <w:pgMar w:left="240" w:top="258" w:right="219" w:bottom="1440" w:gutter="0" w:footer="0" w:header="0"/>
        </w:sectPr>
      </w:pPr>
    </w:p>
    <w:bookmarkStart w:id="12" w:name="page13"/>
    <w:bookmarkEnd w:id="12"/>
    <w:p>
      <w:pPr>
        <w:ind w:left="9" w:right="6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thereby have been duly authorized by all necessary action on the part of the Company and no further action is required by the Company, the Board of Directors or the Company’s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42" w:lineRule="exact"/>
        <w:rPr>
          <w:sz w:val="20"/>
          <w:szCs w:val="20"/>
          <w:color w:val="auto"/>
        </w:rPr>
      </w:pPr>
    </w:p>
    <w:p>
      <w:pPr>
        <w:ind w:left="9" w:firstLine="431"/>
        <w:spacing w:after="0" w:line="265" w:lineRule="auto"/>
        <w:tabs>
          <w:tab w:leader="none" w:pos="664"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Conflicts</w:t>
      </w:r>
      <w:r>
        <w:rPr>
          <w:rFonts w:ascii="Times New Roman" w:cs="Times New Roman" w:eastAsia="Times New Roman" w:hAnsi="Times New Roman"/>
          <w:sz w:val="15"/>
          <w:szCs w:val="15"/>
          <w:color w:val="auto"/>
        </w:rPr>
        <w:t>. The execution, delivery and performance of the Transaction Documents by the Company, the issuance and sale of the Shares and the consummation by the Company of the other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45" w:lineRule="exact"/>
        <w:rPr>
          <w:rFonts w:ascii="Times New Roman" w:cs="Times New Roman" w:eastAsia="Times New Roman" w:hAnsi="Times New Roman"/>
          <w:sz w:val="15"/>
          <w:szCs w:val="15"/>
          <w:color w:val="auto"/>
        </w:rPr>
      </w:pPr>
    </w:p>
    <w:p>
      <w:pPr>
        <w:jc w:val="both"/>
        <w:ind w:left="9" w:right="20" w:firstLine="431"/>
        <w:spacing w:after="0" w:line="266" w:lineRule="auto"/>
        <w:tabs>
          <w:tab w:leader="none" w:pos="655"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Filings, Consents and Approvals</w:t>
      </w:r>
      <w:r>
        <w:rPr>
          <w:rFonts w:ascii="Times New Roman" w:cs="Times New Roman" w:eastAsia="Times New Roman" w:hAnsi="Times New Roman"/>
          <w:sz w:val="15"/>
          <w:szCs w:val="15"/>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filings required pursuant to Section 4.4 of this Agreement, (ii) the filing with the Commission of the Registration Statement,</w:t>
      </w:r>
    </w:p>
    <w:p>
      <w:pPr>
        <w:ind w:left="9" w:right="20" w:hanging="9"/>
        <w:spacing w:after="0" w:line="282" w:lineRule="auto"/>
        <w:tabs>
          <w:tab w:leader="none" w:pos="27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application(s) to each applicable Trading Market for the listing of the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5"/>
          <w:szCs w:val="15"/>
          <w:u w:val="single" w:color="auto"/>
          <w:color w:val="auto"/>
        </w:rPr>
        <w:t>Required Approvals</w:t>
      </w:r>
      <w:r>
        <w:rPr>
          <w:rFonts w:ascii="Times New Roman" w:cs="Times New Roman" w:eastAsia="Times New Roman" w:hAnsi="Times New Roman"/>
          <w:sz w:val="15"/>
          <w:szCs w:val="15"/>
          <w:color w:val="auto"/>
        </w:rPr>
        <w:t>”).</w:t>
      </w:r>
    </w:p>
    <w:p>
      <w:pPr>
        <w:spacing w:after="0" w:line="30" w:lineRule="exact"/>
        <w:rPr>
          <w:rFonts w:ascii="Times New Roman" w:cs="Times New Roman" w:eastAsia="Times New Roman" w:hAnsi="Times New Roman"/>
          <w:sz w:val="15"/>
          <w:szCs w:val="15"/>
          <w:color w:val="auto"/>
        </w:rPr>
      </w:pPr>
    </w:p>
    <w:p>
      <w:pPr>
        <w:ind w:left="9" w:right="60" w:firstLine="431"/>
        <w:spacing w:after="0" w:line="297" w:lineRule="auto"/>
        <w:tabs>
          <w:tab w:leader="none" w:pos="639"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of the Shares</w:t>
      </w:r>
      <w:r>
        <w:rPr>
          <w:rFonts w:ascii="Times New Roman" w:cs="Times New Roman" w:eastAsia="Times New Roman" w:hAnsi="Times New Roman"/>
          <w:sz w:val="15"/>
          <w:szCs w:val="15"/>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78"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989"/>
          </w:cols>
          <w:pgMar w:left="691" w:top="258" w:right="219" w:bottom="1440" w:gutter="0" w:footer="0" w:header="0"/>
        </w:sectPr>
      </w:pPr>
    </w:p>
    <w:bookmarkStart w:id="13" w:name="page14"/>
    <w:bookmarkEnd w:id="13"/>
    <w:p>
      <w:pPr>
        <w:ind w:firstLine="431"/>
        <w:spacing w:after="0" w:line="263" w:lineRule="auto"/>
        <w:tabs>
          <w:tab w:leader="none" w:pos="65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Capitalization</w:t>
      </w:r>
      <w:r>
        <w:rPr>
          <w:rFonts w:ascii="Times New Roman" w:cs="Times New Roman" w:eastAsia="Times New Roman" w:hAnsi="Times New Roman"/>
          <w:sz w:val="15"/>
          <w:szCs w:val="15"/>
          <w:color w:val="auto"/>
        </w:rPr>
        <w:t xml:space="preserve">. The capitalization of the Company is as set forth on </w:t>
      </w:r>
      <w:r>
        <w:rPr>
          <w:rFonts w:ascii="Times New Roman" w:cs="Times New Roman" w:eastAsia="Times New Roman" w:hAnsi="Times New Roman"/>
          <w:sz w:val="15"/>
          <w:szCs w:val="15"/>
          <w:u w:val="single" w:color="auto"/>
          <w:color w:val="auto"/>
        </w:rPr>
        <w:t>Schedule 3.1(g)</w:t>
      </w:r>
      <w:r>
        <w:rPr>
          <w:rFonts w:ascii="Times New Roman" w:cs="Times New Roman" w:eastAsia="Times New Roman" w:hAnsi="Times New Roman"/>
          <w:sz w:val="15"/>
          <w:szCs w:val="15"/>
          <w:color w:val="auto"/>
        </w:rPr>
        <w:t xml:space="preserve"> of the Disclosure Schedules, which </w:t>
      </w:r>
      <w:r>
        <w:rPr>
          <w:rFonts w:ascii="Times New Roman" w:cs="Times New Roman" w:eastAsia="Times New Roman" w:hAnsi="Times New Roman"/>
          <w:sz w:val="15"/>
          <w:szCs w:val="15"/>
          <w:u w:val="single" w:color="auto"/>
          <w:color w:val="auto"/>
        </w:rPr>
        <w:t>Schedule 3.1(g)</w:t>
      </w:r>
      <w:r>
        <w:rPr>
          <w:rFonts w:ascii="Times New Roman" w:cs="Times New Roman" w:eastAsia="Times New Roman" w:hAnsi="Times New Roman"/>
          <w:sz w:val="15"/>
          <w:szCs w:val="15"/>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or issuance of restricted stock under the Company’s Stock Incentive Plan and pursuant to the conversion 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Other than that certain Second Amended and Restated Investors’ Right dated November 23, 1999 (filed as Exhibit 10.4 to the Company’s Registration Statement on Form S-1 with respect to its initial public offering),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52" w:lineRule="exact"/>
        <w:rPr>
          <w:rFonts w:ascii="Times New Roman" w:cs="Times New Roman" w:eastAsia="Times New Roman" w:hAnsi="Times New Roman"/>
          <w:sz w:val="15"/>
          <w:szCs w:val="15"/>
          <w:color w:val="auto"/>
        </w:rPr>
      </w:pPr>
    </w:p>
    <w:p>
      <w:pPr>
        <w:ind w:firstLine="431"/>
        <w:spacing w:after="0" w:line="268" w:lineRule="auto"/>
        <w:tabs>
          <w:tab w:leader="none" w:pos="65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 Reports; Financial Statements</w:t>
      </w:r>
      <w:r>
        <w:rPr>
          <w:rFonts w:ascii="Times New Roman" w:cs="Times New Roman" w:eastAsia="Times New Roman" w:hAnsi="Times New Roman"/>
          <w:sz w:val="15"/>
          <w:szCs w:val="15"/>
          <w:color w:val="auto"/>
        </w:rPr>
        <w:t>. Other than the Company’s Annual Report on Form 10-K for the fiscal year ended December 31, 2006 (the “</w:t>
      </w:r>
      <w:r>
        <w:rPr>
          <w:rFonts w:ascii="Times New Roman" w:cs="Times New Roman" w:eastAsia="Times New Roman" w:hAnsi="Times New Roman"/>
          <w:sz w:val="15"/>
          <w:szCs w:val="15"/>
          <w:u w:val="single" w:color="auto"/>
          <w:color w:val="auto"/>
        </w:rPr>
        <w:t>2006 10-K</w:t>
      </w:r>
      <w:r>
        <w:rPr>
          <w:rFonts w:ascii="Times New Roman" w:cs="Times New Roman" w:eastAsia="Times New Roman" w:hAnsi="Times New Roman"/>
          <w:sz w:val="15"/>
          <w:szCs w:val="15"/>
          <w:color w:val="auto"/>
        </w:rPr>
        <w:t>”), which was not timely filed,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 on a timely basis or has received a valid extension of such time of filing and has filed any such SEC Reports prior to the expiration of any such extension. Except to the extent corrected by subsequent SEC Reports or amendments to</w:t>
      </w:r>
    </w:p>
    <w:p>
      <w:pPr>
        <w:spacing w:after="0" w:line="1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960"/>
          </w:cols>
          <w:pgMar w:left="700" w:top="258" w:right="239" w:bottom="1440" w:gutter="0" w:footer="0" w:header="0"/>
        </w:sectPr>
      </w:pPr>
    </w:p>
    <w:bookmarkStart w:id="14" w:name="page15"/>
    <w:bookmarkEnd w:id="14"/>
    <w:p>
      <w:pPr>
        <w:ind w:right="4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 prior SEC Report, including the restatement of certain prior year financial information as set forth in the 2006 10-K,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As corrected and restated in the 2006 10-K, the financial statements of the Company included in the SEC Reports comply in all material respects with applicable accounting requirements and the rules and regulations of the Commission with respect thereto as in effect at the time of filing. As corrected and restated by the 2006 10-K,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48" w:lineRule="exact"/>
        <w:rPr>
          <w:sz w:val="20"/>
          <w:szCs w:val="20"/>
          <w:color w:val="auto"/>
        </w:rPr>
      </w:pPr>
    </w:p>
    <w:p>
      <w:pPr>
        <w:ind w:firstLine="431"/>
        <w:spacing w:after="0" w:line="265" w:lineRule="auto"/>
        <w:tabs>
          <w:tab w:leader="none" w:pos="62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Material Changes; Undisclosed Events, Liabilities or Developments</w:t>
      </w:r>
      <w:r>
        <w:rPr>
          <w:rFonts w:ascii="Times New Roman" w:cs="Times New Roman" w:eastAsia="Times New Roman" w:hAnsi="Times New Roman"/>
          <w:sz w:val="15"/>
          <w:szCs w:val="15"/>
          <w:color w:val="auto"/>
        </w:rPr>
        <w:t xml:space="preserve">. Since the date of the latest audited financial statements included within the SEC Reports, except as specifically disclosed except as disclosed on Schedule 3.1(i) hereto,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on </w:t>
      </w:r>
      <w:r>
        <w:rPr>
          <w:rFonts w:ascii="Times New Roman" w:cs="Times New Roman" w:eastAsia="Times New Roman" w:hAnsi="Times New Roman"/>
          <w:sz w:val="15"/>
          <w:szCs w:val="15"/>
          <w:u w:val="single" w:color="auto"/>
          <w:color w:val="auto"/>
        </w:rPr>
        <w:t>Schedule 3.1(i)</w:t>
      </w:r>
      <w:r>
        <w:rPr>
          <w:rFonts w:ascii="Times New Roman" w:cs="Times New Roman" w:eastAsia="Times New Roman" w:hAnsi="Times New Roman"/>
          <w:sz w:val="15"/>
          <w:szCs w:val="15"/>
          <w:color w:val="auto"/>
        </w:rPr>
        <w:t>, no event, liability or development has occurred or exists with respect to the Company or its Subsidiaries or their respective business, properties, operations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42" w:lineRule="exact"/>
        <w:rPr>
          <w:rFonts w:ascii="Times New Roman" w:cs="Times New Roman" w:eastAsia="Times New Roman" w:hAnsi="Times New Roman"/>
          <w:sz w:val="15"/>
          <w:szCs w:val="15"/>
          <w:color w:val="auto"/>
        </w:rPr>
      </w:pPr>
    </w:p>
    <w:p>
      <w:pPr>
        <w:ind w:right="80" w:firstLine="431"/>
        <w:spacing w:after="0" w:line="297" w:lineRule="auto"/>
        <w:tabs>
          <w:tab w:leader="none" w:pos="621"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Litigation</w:t>
      </w:r>
      <w:r>
        <w:rPr>
          <w:rFonts w:ascii="Times New Roman" w:cs="Times New Roman" w:eastAsia="Times New Roman" w:hAnsi="Times New Roman"/>
          <w:sz w:val="15"/>
          <w:szCs w:val="15"/>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w:t>
      </w:r>
    </w:p>
    <w:p>
      <w:pPr>
        <w:spacing w:after="0" w:line="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980"/>
          </w:cols>
          <w:pgMar w:left="700" w:top="258" w:right="219" w:bottom="1440" w:gutter="0" w:footer="0" w:header="0"/>
        </w:sectPr>
      </w:pPr>
    </w:p>
    <w:bookmarkStart w:id="15" w:name="page16"/>
    <w:bookmarkEnd w:id="15"/>
    <w:p>
      <w:pPr>
        <w:ind w:right="12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(federal, state, county, local or foreign) (collectively, an “</w:t>
      </w:r>
      <w:r>
        <w:rPr>
          <w:rFonts w:ascii="Times New Roman" w:cs="Times New Roman" w:eastAsia="Times New Roman" w:hAnsi="Times New Roman"/>
          <w:sz w:val="15"/>
          <w:szCs w:val="15"/>
          <w:u w:val="single" w:color="auto"/>
          <w:color w:val="auto"/>
        </w:rPr>
        <w:t>Action</w:t>
      </w:r>
      <w:r>
        <w:rPr>
          <w:rFonts w:ascii="Times New Roman" w:cs="Times New Roman" w:eastAsia="Times New Roman" w:hAnsi="Times New Roman"/>
          <w:sz w:val="15"/>
          <w:szCs w:val="15"/>
          <w:color w:val="auto"/>
        </w:rPr>
        <w:t>”) not already disclosed in the SEC Reports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Except as disclosed in the SEC Reports,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43" w:lineRule="exact"/>
        <w:rPr>
          <w:sz w:val="20"/>
          <w:szCs w:val="20"/>
          <w:color w:val="auto"/>
        </w:rPr>
      </w:pPr>
    </w:p>
    <w:p>
      <w:pPr>
        <w:ind w:right="40" w:firstLine="431"/>
        <w:spacing w:after="0" w:line="267" w:lineRule="auto"/>
        <w:tabs>
          <w:tab w:leader="none" w:pos="65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Labor Relations</w:t>
      </w:r>
      <w:r>
        <w:rPr>
          <w:rFonts w:ascii="Times New Roman" w:cs="Times New Roman" w:eastAsia="Times New Roman" w:hAnsi="Times New Roman"/>
          <w:sz w:val="15"/>
          <w:szCs w:val="15"/>
          <w:color w:val="auto"/>
        </w:rPr>
        <w:t>. No material labor dispute exists or, to the knowledge of the Company, is imminent with respect to any of the employees of the Company which could reasonably be expected to result in a Material Adverse Effect.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42" w:lineRule="exact"/>
        <w:rPr>
          <w:rFonts w:ascii="Times New Roman" w:cs="Times New Roman" w:eastAsia="Times New Roman" w:hAnsi="Times New Roman"/>
          <w:sz w:val="15"/>
          <w:szCs w:val="15"/>
          <w:color w:val="auto"/>
        </w:rPr>
      </w:pPr>
    </w:p>
    <w:p>
      <w:pPr>
        <w:ind w:firstLine="431"/>
        <w:spacing w:after="0" w:line="268" w:lineRule="auto"/>
        <w:tabs>
          <w:tab w:leader="none" w:pos="621"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w:t>
      </w:r>
      <w:r>
        <w:rPr>
          <w:rFonts w:ascii="Times New Roman" w:cs="Times New Roman" w:eastAsia="Times New Roman" w:hAnsi="Times New Roman"/>
          <w:sz w:val="15"/>
          <w:szCs w:val="15"/>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foreign, federal, state and local laws applicable to its business and all such laws that affect the environment, except in each case as could not have or reasonably be expected to result in a Material Adverse Effect.</w:t>
      </w:r>
    </w:p>
    <w:p>
      <w:pPr>
        <w:spacing w:after="0" w:line="42" w:lineRule="exact"/>
        <w:rPr>
          <w:rFonts w:ascii="Times New Roman" w:cs="Times New Roman" w:eastAsia="Times New Roman" w:hAnsi="Times New Roman"/>
          <w:sz w:val="15"/>
          <w:szCs w:val="15"/>
          <w:color w:val="auto"/>
        </w:rPr>
      </w:pPr>
    </w:p>
    <w:p>
      <w:pPr>
        <w:ind w:right="20" w:firstLine="431"/>
        <w:spacing w:after="0" w:line="273" w:lineRule="auto"/>
        <w:tabs>
          <w:tab w:leader="none" w:pos="69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Regulatory Permits</w:t>
      </w:r>
      <w:r>
        <w:rPr>
          <w:rFonts w:ascii="Times New Roman" w:cs="Times New Roman" w:eastAsia="Times New Roman" w:hAnsi="Times New Roman"/>
          <w:sz w:val="15"/>
          <w:szCs w:val="15"/>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5"/>
          <w:szCs w:val="15"/>
          <w:u w:val="single" w:color="auto"/>
          <w:color w:val="auto"/>
        </w:rPr>
        <w:t>Material Permits</w:t>
      </w:r>
      <w:r>
        <w:rPr>
          <w:rFonts w:ascii="Times New Roman" w:cs="Times New Roman" w:eastAsia="Times New Roman" w:hAnsi="Times New Roman"/>
          <w:sz w:val="15"/>
          <w:szCs w:val="15"/>
          <w:color w:val="auto"/>
        </w:rPr>
        <w:t>”), and neither the Company nor any Subsidiary has received any notice of proceedings relating to the revocation or modification of any Material Permit.</w:t>
      </w:r>
    </w:p>
    <w:p>
      <w:pPr>
        <w:spacing w:after="0" w:line="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940"/>
          </w:cols>
          <w:pgMar w:left="700" w:top="258" w:right="259" w:bottom="1440" w:gutter="0" w:footer="0" w:header="0"/>
        </w:sectPr>
      </w:pPr>
    </w:p>
    <w:bookmarkStart w:id="16" w:name="page17"/>
    <w:bookmarkEnd w:id="16"/>
    <w:p>
      <w:pPr>
        <w:ind w:firstLine="431"/>
        <w:spacing w:after="0" w:line="273" w:lineRule="auto"/>
        <w:tabs>
          <w:tab w:leader="none" w:pos="65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Title to Assets</w:t>
      </w:r>
      <w:r>
        <w:rPr>
          <w:rFonts w:ascii="Times New Roman" w:cs="Times New Roman" w:eastAsia="Times New Roman" w:hAnsi="Times New Roman"/>
          <w:sz w:val="15"/>
          <w:szCs w:val="15"/>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Permitted Liens. Any real property and facilities held under lease by the Company and the Subsidiaries are held by them under valid, subsisting and enforceable leases with which the Company and the Subsidiaries are in compliance.</w:t>
      </w:r>
    </w:p>
    <w:p>
      <w:pPr>
        <w:spacing w:after="0" w:line="37" w:lineRule="exact"/>
        <w:rPr>
          <w:rFonts w:ascii="Times New Roman" w:cs="Times New Roman" w:eastAsia="Times New Roman" w:hAnsi="Times New Roman"/>
          <w:sz w:val="15"/>
          <w:szCs w:val="15"/>
          <w:color w:val="auto"/>
        </w:rPr>
      </w:pPr>
    </w:p>
    <w:p>
      <w:pPr>
        <w:jc w:val="both"/>
        <w:ind w:right="280" w:firstLine="431"/>
        <w:spacing w:after="0" w:line="266" w:lineRule="auto"/>
        <w:tabs>
          <w:tab w:leader="none" w:pos="65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Patents and Trademarks</w:t>
      </w:r>
      <w:r>
        <w:rPr>
          <w:rFonts w:ascii="Times New Roman" w:cs="Times New Roman" w:eastAsia="Times New Roman" w:hAnsi="Times New Roman"/>
          <w:sz w:val="15"/>
          <w:szCs w:val="15"/>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material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5"/>
          <w:szCs w:val="15"/>
          <w:u w:val="single" w:color="auto"/>
          <w:color w:val="auto"/>
        </w:rPr>
        <w:t>Intellectual Property Rights</w:t>
      </w:r>
      <w:r>
        <w:rPr>
          <w:rFonts w:ascii="Times New Roman" w:cs="Times New Roman" w:eastAsia="Times New Roman" w:hAnsi="Times New Roman"/>
          <w:sz w:val="15"/>
          <w:szCs w:val="15"/>
          <w:color w:val="auto"/>
        </w:rPr>
        <w:t>”).</w:t>
      </w:r>
    </w:p>
    <w:p>
      <w:pPr>
        <w:ind w:right="20"/>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Subsidiary has received a notice (written or otherwise) that any of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41" w:lineRule="exact"/>
        <w:rPr>
          <w:rFonts w:ascii="Times New Roman" w:cs="Times New Roman" w:eastAsia="Times New Roman" w:hAnsi="Times New Roman"/>
          <w:sz w:val="15"/>
          <w:szCs w:val="15"/>
          <w:color w:val="auto"/>
        </w:rPr>
      </w:pPr>
    </w:p>
    <w:p>
      <w:pPr>
        <w:ind w:right="120" w:firstLine="431"/>
        <w:spacing w:after="0" w:line="273" w:lineRule="auto"/>
        <w:tabs>
          <w:tab w:leader="none" w:pos="65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7" w:lineRule="exact"/>
        <w:rPr>
          <w:rFonts w:ascii="Times New Roman" w:cs="Times New Roman" w:eastAsia="Times New Roman" w:hAnsi="Times New Roman"/>
          <w:sz w:val="15"/>
          <w:szCs w:val="15"/>
          <w:color w:val="auto"/>
        </w:rPr>
      </w:pPr>
    </w:p>
    <w:p>
      <w:pPr>
        <w:ind w:firstLine="431"/>
        <w:spacing w:after="0" w:line="268" w:lineRule="auto"/>
        <w:tabs>
          <w:tab w:leader="none" w:pos="65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Transactions With Affiliates and Employees</w:t>
      </w:r>
      <w:r>
        <w:rPr>
          <w:rFonts w:ascii="Times New Roman" w:cs="Times New Roman" w:eastAsia="Times New Roman" w:hAnsi="Times New Roman"/>
          <w:sz w:val="15"/>
          <w:szCs w:val="15"/>
          <w:color w:val="auto"/>
        </w:rPr>
        <w:t>. Except as set forth in the SEC Reports,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w:t>
      </w:r>
    </w:p>
    <w:p>
      <w:pPr>
        <w:spacing w:after="0" w:line="1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940"/>
          </w:cols>
          <w:pgMar w:left="700" w:top="258" w:right="259" w:bottom="1440" w:gutter="0" w:footer="0" w:header="0"/>
        </w:sectPr>
      </w:pPr>
    </w:p>
    <w:bookmarkStart w:id="17" w:name="page18"/>
    <w:bookmarkEnd w:id="17"/>
    <w:p>
      <w:pPr>
        <w:ind w:right="30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of the Company and (iii) other employee benefits, including stock option agreements under any stock option plan of the Company or the issuance of Common Stock under the Company’s employee stock purchase plan.</w:t>
      </w:r>
    </w:p>
    <w:p>
      <w:pPr>
        <w:spacing w:after="0" w:line="19" w:lineRule="exact"/>
        <w:rPr>
          <w:sz w:val="20"/>
          <w:szCs w:val="20"/>
          <w:color w:val="auto"/>
        </w:rPr>
      </w:pPr>
    </w:p>
    <w:p>
      <w:pPr>
        <w:ind w:firstLine="431"/>
        <w:spacing w:after="0" w:line="264" w:lineRule="auto"/>
        <w:tabs>
          <w:tab w:leader="none" w:pos="63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Sarbanes-Oxley; Internal Accounting Controls</w:t>
      </w:r>
      <w:r>
        <w:rPr>
          <w:rFonts w:ascii="Times New Roman" w:cs="Times New Roman" w:eastAsia="Times New Roman" w:hAnsi="Times New Roman"/>
          <w:sz w:val="15"/>
          <w:szCs w:val="15"/>
          <w:color w:val="auto"/>
        </w:rPr>
        <w:t>. The Company is in material compliance with all provisions of the Sarbanes-Oxley Act of 2002 which are applicable to it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Company’s disclosure controls and procedures as of the end of the period covered by the Company’s most recently filed periodic report under the Exchange Act (such date, the “</w:t>
      </w:r>
      <w:r>
        <w:rPr>
          <w:rFonts w:ascii="Times New Roman" w:cs="Times New Roman" w:eastAsia="Times New Roman" w:hAnsi="Times New Roman"/>
          <w:sz w:val="15"/>
          <w:szCs w:val="15"/>
          <w:u w:val="single" w:color="auto"/>
          <w:color w:val="auto"/>
        </w:rPr>
        <w:t>Evaluation Date</w:t>
      </w:r>
      <w:r>
        <w:rPr>
          <w:rFonts w:ascii="Times New Roman" w:cs="Times New Roman" w:eastAsia="Times New Roman" w:hAnsi="Times New Roman"/>
          <w:sz w:val="15"/>
          <w:szCs w:val="15"/>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Company’s internal control over financial reporting (as such term is defined in the Exchange Act) that has materially affected, or is reasonably likely to materially affect, the Company’s internal control over financial reporting.</w:t>
      </w:r>
    </w:p>
    <w:p>
      <w:pPr>
        <w:spacing w:after="0" w:line="48" w:lineRule="exact"/>
        <w:rPr>
          <w:rFonts w:ascii="Times New Roman" w:cs="Times New Roman" w:eastAsia="Times New Roman" w:hAnsi="Times New Roman"/>
          <w:sz w:val="15"/>
          <w:szCs w:val="15"/>
          <w:color w:val="auto"/>
        </w:rPr>
      </w:pPr>
    </w:p>
    <w:p>
      <w:pPr>
        <w:ind w:right="40" w:firstLine="431"/>
        <w:spacing w:after="0" w:line="273" w:lineRule="auto"/>
        <w:tabs>
          <w:tab w:leader="none" w:pos="63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Certain Fees</w:t>
      </w:r>
      <w:r>
        <w:rPr>
          <w:rFonts w:ascii="Times New Roman" w:cs="Times New Roman" w:eastAsia="Times New Roman" w:hAnsi="Times New Roman"/>
          <w:sz w:val="15"/>
          <w:szCs w:val="15"/>
          <w:color w:val="auto"/>
        </w:rPr>
        <w:t>. Except for fees payable to RBC Capital Markets, no brokerage or finder’s fees or commissions are or will be payable by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37" w:lineRule="exact"/>
        <w:rPr>
          <w:rFonts w:ascii="Times New Roman" w:cs="Times New Roman" w:eastAsia="Times New Roman" w:hAnsi="Times New Roman"/>
          <w:sz w:val="15"/>
          <w:szCs w:val="15"/>
          <w:color w:val="auto"/>
        </w:rPr>
      </w:pPr>
    </w:p>
    <w:p>
      <w:pPr>
        <w:ind w:right="160" w:firstLine="431"/>
        <w:spacing w:after="0" w:line="279" w:lineRule="auto"/>
        <w:tabs>
          <w:tab w:leader="none" w:pos="62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Private Placement</w:t>
      </w:r>
      <w:r>
        <w:rPr>
          <w:rFonts w:ascii="Times New Roman" w:cs="Times New Roman" w:eastAsia="Times New Roman" w:hAnsi="Times New Roman"/>
          <w:sz w:val="15"/>
          <w:szCs w:val="15"/>
          <w:color w:val="auto"/>
        </w:rPr>
        <w:t>. Assuming the accuracy of the Purchasers representations and warranties set forth in Section 3.2, no registration under the Securities Act is required for the offer and sale of the Shares by the Company to the Purchasers as contemplated hereby. The issuance and sale of the Shares hereunder does not contravene the rules and regulations of the Trading Market.</w:t>
      </w:r>
    </w:p>
    <w:p>
      <w:pPr>
        <w:spacing w:after="0" w:line="32" w:lineRule="exact"/>
        <w:rPr>
          <w:rFonts w:ascii="Times New Roman" w:cs="Times New Roman" w:eastAsia="Times New Roman" w:hAnsi="Times New Roman"/>
          <w:sz w:val="15"/>
          <w:szCs w:val="15"/>
          <w:color w:val="auto"/>
        </w:rPr>
      </w:pPr>
    </w:p>
    <w:p>
      <w:pPr>
        <w:ind w:left="640" w:hanging="209"/>
        <w:spacing w:after="0"/>
        <w:tabs>
          <w:tab w:leader="none" w:pos="6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w:t>
      </w:r>
      <w:r>
        <w:rPr>
          <w:rFonts w:ascii="Times New Roman" w:cs="Times New Roman" w:eastAsia="Times New Roman" w:hAnsi="Times New Roman"/>
          <w:sz w:val="15"/>
          <w:szCs w:val="15"/>
          <w:color w:val="auto"/>
        </w:rPr>
        <w:t>. The Company is not, and is not an Affiliate of, and immediately after receipt of payment for the Shares, will not be or be an Affiliate of, an</w:t>
      </w:r>
    </w:p>
    <w:p>
      <w:pPr>
        <w:spacing w:after="0" w:line="1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960"/>
          </w:cols>
          <w:pgMar w:left="700" w:top="258" w:right="239" w:bottom="1440" w:gutter="0" w:footer="0" w:header="0"/>
        </w:sectPr>
      </w:pPr>
    </w:p>
    <w:bookmarkStart w:id="18" w:name="page19"/>
    <w:bookmarkEnd w:id="18"/>
    <w:p>
      <w:pPr>
        <w:ind w:right="16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“investment company” within the meaning of the Investment Company Act of 1940, as amended. The Company shall conduct its business in a manner so that it will not become subject to the Investment Company Act of 1940, as amended.</w:t>
      </w:r>
    </w:p>
    <w:p>
      <w:pPr>
        <w:spacing w:after="0" w:line="19" w:lineRule="exact"/>
        <w:rPr>
          <w:sz w:val="20"/>
          <w:szCs w:val="20"/>
          <w:color w:val="auto"/>
        </w:rPr>
      </w:pPr>
    </w:p>
    <w:p>
      <w:pPr>
        <w:ind w:right="20" w:firstLine="431"/>
        <w:spacing w:after="0" w:line="297" w:lineRule="auto"/>
        <w:tabs>
          <w:tab w:leader="none" w:pos="655"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Rights</w:t>
      </w:r>
      <w:r>
        <w:rPr>
          <w:rFonts w:ascii="Times New Roman" w:cs="Times New Roman" w:eastAsia="Times New Roman" w:hAnsi="Times New Roman"/>
          <w:sz w:val="15"/>
          <w:szCs w:val="15"/>
          <w:color w:val="auto"/>
        </w:rPr>
        <w:t>. Other than each of the Purchasers, no Person has any right to cause the Company to effect the registration under the Securities Act of any securities of the Company.</w:t>
      </w:r>
    </w:p>
    <w:p>
      <w:pPr>
        <w:spacing w:after="0" w:line="19" w:lineRule="exact"/>
        <w:rPr>
          <w:rFonts w:ascii="Times New Roman" w:cs="Times New Roman" w:eastAsia="Times New Roman" w:hAnsi="Times New Roman"/>
          <w:sz w:val="15"/>
          <w:szCs w:val="15"/>
          <w:color w:val="auto"/>
        </w:rPr>
      </w:pPr>
    </w:p>
    <w:p>
      <w:pPr>
        <w:ind w:firstLine="431"/>
        <w:spacing w:after="0" w:line="269" w:lineRule="auto"/>
        <w:tabs>
          <w:tab w:leader="none" w:pos="689"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Listing and Maintenance Requirements</w:t>
      </w:r>
      <w:r>
        <w:rPr>
          <w:rFonts w:ascii="Times New Roman" w:cs="Times New Roman" w:eastAsia="Times New Roman" w:hAnsi="Times New Roman"/>
          <w:sz w:val="15"/>
          <w:szCs w:val="15"/>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231" w:lineRule="exact"/>
        <w:rPr>
          <w:rFonts w:ascii="Times New Roman" w:cs="Times New Roman" w:eastAsia="Times New Roman" w:hAnsi="Times New Roman"/>
          <w:sz w:val="15"/>
          <w:szCs w:val="15"/>
          <w:color w:val="auto"/>
        </w:rPr>
      </w:pPr>
    </w:p>
    <w:p>
      <w:pPr>
        <w:ind w:right="100" w:firstLine="431"/>
        <w:spacing w:after="0" w:line="270" w:lineRule="auto"/>
        <w:tabs>
          <w:tab w:leader="none" w:pos="655"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Application of Takeover Protections</w:t>
      </w:r>
      <w:r>
        <w:rPr>
          <w:rFonts w:ascii="Times New Roman" w:cs="Times New Roman" w:eastAsia="Times New Roman" w:hAnsi="Times New Roman"/>
          <w:sz w:val="15"/>
          <w:szCs w:val="15"/>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39" w:lineRule="exact"/>
        <w:rPr>
          <w:rFonts w:ascii="Times New Roman" w:cs="Times New Roman" w:eastAsia="Times New Roman" w:hAnsi="Times New Roman"/>
          <w:sz w:val="15"/>
          <w:szCs w:val="15"/>
          <w:color w:val="auto"/>
        </w:rPr>
      </w:pPr>
    </w:p>
    <w:p>
      <w:pPr>
        <w:ind w:firstLine="431"/>
        <w:spacing w:after="0" w:line="265" w:lineRule="auto"/>
        <w:tabs>
          <w:tab w:leader="none" w:pos="655"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Disclosure</w:t>
      </w:r>
      <w:r>
        <w:rPr>
          <w:rFonts w:ascii="Times New Roman" w:cs="Times New Roman" w:eastAsia="Times New Roman" w:hAnsi="Times New Roman"/>
          <w:sz w:val="15"/>
          <w:szCs w:val="15"/>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disclosure furnished by or on behalf of the Company to the Purchasers regarding the Company, its business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940"/>
          </w:cols>
          <w:pgMar w:left="700" w:top="258" w:right="259" w:bottom="1440" w:gutter="0" w:footer="0" w:header="0"/>
        </w:sectPr>
      </w:pPr>
    </w:p>
    <w:bookmarkStart w:id="19" w:name="page20"/>
    <w:bookmarkEnd w:id="19"/>
    <w:p>
      <w:pPr>
        <w:ind w:right="40" w:firstLine="431"/>
        <w:spacing w:after="0" w:line="270" w:lineRule="auto"/>
        <w:tabs>
          <w:tab w:leader="none" w:pos="64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 Integrated Offering</w:t>
      </w:r>
      <w:r>
        <w:rPr>
          <w:rFonts w:ascii="Times New Roman" w:cs="Times New Roman" w:eastAsia="Times New Roman" w:hAnsi="Times New Roman"/>
          <w:sz w:val="15"/>
          <w:szCs w:val="15"/>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40" w:lineRule="exact"/>
        <w:rPr>
          <w:sz w:val="20"/>
          <w:szCs w:val="20"/>
          <w:color w:val="auto"/>
        </w:rPr>
      </w:pPr>
    </w:p>
    <w:p>
      <w:pPr>
        <w:ind w:firstLine="431"/>
        <w:spacing w:after="0" w:line="264" w:lineRule="auto"/>
        <w:tabs>
          <w:tab w:leader="none" w:pos="715"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Solvency</w:t>
      </w:r>
      <w:r>
        <w:rPr>
          <w:rFonts w:ascii="Times New Roman" w:cs="Times New Roman" w:eastAsia="Times New Roman" w:hAnsi="Times New Roman"/>
          <w:sz w:val="15"/>
          <w:szCs w:val="15"/>
          <w:color w:val="auto"/>
        </w:rPr>
        <w:t xml:space="preserve">.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for at least the next 12 months, as now conducted and as proposed to be conducted, including its capital needs taking into account the particular capital requirements of the business conducted by the Company,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5"/>
          <w:szCs w:val="15"/>
          <w:u w:val="single" w:color="auto"/>
          <w:color w:val="auto"/>
        </w:rPr>
        <w:t>Schedule 3.1(aa)</w:t>
      </w:r>
      <w:r>
        <w:rPr>
          <w:rFonts w:ascii="Times New Roman" w:cs="Times New Roman" w:eastAsia="Times New Roman" w:hAnsi="Times New Roman"/>
          <w:sz w:val="15"/>
          <w:szCs w:val="15"/>
          <w:color w:val="auto"/>
        </w:rPr>
        <w:t xml:space="preserve"> of the Disclosure Schedules sets forth as of the date thereof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5"/>
          <w:szCs w:val="15"/>
          <w:u w:val="single" w:color="auto"/>
          <w:color w:val="auto"/>
        </w:rPr>
        <w:t>Indebtedness</w:t>
      </w:r>
      <w:r>
        <w:rPr>
          <w:rFonts w:ascii="Times New Roman" w:cs="Times New Roman" w:eastAsia="Times New Roman" w:hAnsi="Times New Roman"/>
          <w:sz w:val="15"/>
          <w:szCs w:val="15"/>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 Neither the Company nor any Subsidiary is in default with respect to any Indebtedness.</w:t>
      </w:r>
    </w:p>
    <w:p>
      <w:pPr>
        <w:spacing w:after="0" w:line="43" w:lineRule="exact"/>
        <w:rPr>
          <w:rFonts w:ascii="Times New Roman" w:cs="Times New Roman" w:eastAsia="Times New Roman" w:hAnsi="Times New Roman"/>
          <w:sz w:val="15"/>
          <w:szCs w:val="15"/>
          <w:color w:val="auto"/>
        </w:rPr>
      </w:pPr>
    </w:p>
    <w:p>
      <w:pPr>
        <w:ind w:firstLine="431"/>
        <w:spacing w:after="0" w:line="297" w:lineRule="auto"/>
        <w:tabs>
          <w:tab w:leader="none" w:pos="732"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 Status</w:t>
      </w:r>
      <w:r>
        <w:rPr>
          <w:rFonts w:ascii="Times New Roman" w:cs="Times New Roman" w:eastAsia="Times New Roman" w:hAnsi="Times New Roman"/>
          <w:sz w:val="15"/>
          <w:szCs w:val="15"/>
          <w:color w:val="auto"/>
        </w:rPr>
        <w:t>. Except for matters that would not, individually or in the aggregate, have or reasonably be expected to result in a Material Adverse Effect, the Company and each Subsidiary has filed all necessary federal, state and foreign income</w:t>
      </w:r>
    </w:p>
    <w:p>
      <w:pPr>
        <w:spacing w:after="0" w:line="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940"/>
          </w:cols>
          <w:pgMar w:left="700" w:top="258" w:right="259" w:bottom="1440" w:gutter="0" w:footer="0" w:header="0"/>
        </w:sectPr>
      </w:pPr>
    </w:p>
    <w:bookmarkStart w:id="20" w:name="page21"/>
    <w:bookmarkEnd w:id="20"/>
    <w:p>
      <w:pPr>
        <w:ind w:right="28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and franchise tax returns and has paid or accrued all taxes shown as due thereon, and the Company has no knowledge of a tax deficiency which has been asserted or threatened against the Company or any Subsidiary.</w:t>
      </w:r>
    </w:p>
    <w:p>
      <w:pPr>
        <w:spacing w:after="0" w:line="19" w:lineRule="exact"/>
        <w:rPr>
          <w:sz w:val="20"/>
          <w:szCs w:val="20"/>
          <w:color w:val="auto"/>
        </w:rPr>
      </w:pPr>
    </w:p>
    <w:p>
      <w:pPr>
        <w:ind w:firstLine="431"/>
        <w:spacing w:after="0" w:line="279" w:lineRule="auto"/>
        <w:tabs>
          <w:tab w:leader="none" w:pos="71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General Solicitation</w:t>
      </w:r>
      <w:r>
        <w:rPr>
          <w:rFonts w:ascii="Times New Roman" w:cs="Times New Roman" w:eastAsia="Times New Roman" w:hAnsi="Times New Roman"/>
          <w:sz w:val="15"/>
          <w:szCs w:val="15"/>
          <w:color w:val="auto"/>
        </w:rPr>
        <w:t>. Neither the Company nor any person acting on behalf of the Company has offered or sold any of the Shares by any form of general solicitation or general advertising. The Company has offered the Shares for sale only to the Purchasers and certain other “accredited investors” within the meaning of Rule 501 under the Securities Act.</w:t>
      </w:r>
    </w:p>
    <w:p>
      <w:pPr>
        <w:spacing w:after="0" w:line="32" w:lineRule="exact"/>
        <w:rPr>
          <w:rFonts w:ascii="Times New Roman" w:cs="Times New Roman" w:eastAsia="Times New Roman" w:hAnsi="Times New Roman"/>
          <w:sz w:val="15"/>
          <w:szCs w:val="15"/>
          <w:color w:val="auto"/>
        </w:rPr>
      </w:pPr>
    </w:p>
    <w:p>
      <w:pPr>
        <w:ind w:right="100" w:firstLine="431"/>
        <w:spacing w:after="0" w:line="270" w:lineRule="auto"/>
        <w:tabs>
          <w:tab w:leader="none" w:pos="732"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Foreign Corrupt Practices</w:t>
      </w:r>
      <w:r>
        <w:rPr>
          <w:rFonts w:ascii="Times New Roman" w:cs="Times New Roman" w:eastAsia="Times New Roman" w:hAnsi="Times New Roman"/>
          <w:sz w:val="15"/>
          <w:szCs w:val="15"/>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39" w:lineRule="exact"/>
        <w:rPr>
          <w:rFonts w:ascii="Times New Roman" w:cs="Times New Roman" w:eastAsia="Times New Roman" w:hAnsi="Times New Roman"/>
          <w:sz w:val="15"/>
          <w:szCs w:val="15"/>
          <w:color w:val="auto"/>
        </w:rPr>
      </w:pPr>
    </w:p>
    <w:p>
      <w:pPr>
        <w:ind w:firstLine="431"/>
        <w:spacing w:after="0" w:line="279" w:lineRule="auto"/>
        <w:tabs>
          <w:tab w:leader="none" w:pos="71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Accountants</w:t>
      </w:r>
      <w:r>
        <w:rPr>
          <w:rFonts w:ascii="Times New Roman" w:cs="Times New Roman" w:eastAsia="Times New Roman" w:hAnsi="Times New Roman"/>
          <w:sz w:val="15"/>
          <w:szCs w:val="15"/>
          <w:color w:val="auto"/>
        </w:rPr>
        <w:t xml:space="preserve">. The Company’s accounting firm is set forth on </w:t>
      </w:r>
      <w:r>
        <w:rPr>
          <w:rFonts w:ascii="Times New Roman" w:cs="Times New Roman" w:eastAsia="Times New Roman" w:hAnsi="Times New Roman"/>
          <w:sz w:val="15"/>
          <w:szCs w:val="15"/>
          <w:u w:val="single" w:color="auto"/>
          <w:color w:val="auto"/>
        </w:rPr>
        <w:t>Schedule 3.1(ee)</w:t>
      </w:r>
      <w:r>
        <w:rPr>
          <w:rFonts w:ascii="Times New Roman" w:cs="Times New Roman" w:eastAsia="Times New Roman" w:hAnsi="Times New Roman"/>
          <w:sz w:val="15"/>
          <w:szCs w:val="15"/>
          <w:color w:val="auto"/>
        </w:rPr>
        <w:t xml:space="preserve"> of the Disclosure Schedule. To the knowledge and belief of the Company, such accounting firm (i) is a registered public accounting firm as required by the Exchange Act and (ii) shall express its opinion with respect to the financial statements to be included in the Company’s Annual Report on Form 10-K for the year ending December 31, 2007.</w:t>
      </w:r>
    </w:p>
    <w:p>
      <w:pPr>
        <w:spacing w:after="0" w:line="32" w:lineRule="exact"/>
        <w:rPr>
          <w:rFonts w:ascii="Times New Roman" w:cs="Times New Roman" w:eastAsia="Times New Roman" w:hAnsi="Times New Roman"/>
          <w:sz w:val="15"/>
          <w:szCs w:val="15"/>
          <w:color w:val="auto"/>
        </w:rPr>
      </w:pPr>
    </w:p>
    <w:p>
      <w:pPr>
        <w:jc w:val="both"/>
        <w:ind w:right="320" w:firstLine="431"/>
        <w:spacing w:after="0" w:line="273" w:lineRule="auto"/>
        <w:tabs>
          <w:tab w:leader="none" w:pos="67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Disagreements with Accountants and Lawyers</w:t>
      </w:r>
      <w:r>
        <w:rPr>
          <w:rFonts w:ascii="Times New Roman" w:cs="Times New Roman" w:eastAsia="Times New Roman" w:hAnsi="Times New Roman"/>
          <w:sz w:val="15"/>
          <w:szCs w:val="15"/>
          <w:color w:val="auto"/>
        </w:rPr>
        <w:t>. There are no disagreements of any kind presently existing, or reasonably anticipated by the Company to arise, between the Company and the independent auditing firms and outside counsel formerly or presently employed by the Company which could affect the Company’s ability to perform any of its obligations under any of the Transaction Documents, and the Company is current with respect to any fees owed to its independent auditing firm and outside counsel.</w:t>
      </w:r>
    </w:p>
    <w:p>
      <w:pPr>
        <w:spacing w:after="0" w:line="37" w:lineRule="exact"/>
        <w:rPr>
          <w:rFonts w:ascii="Times New Roman" w:cs="Times New Roman" w:eastAsia="Times New Roman" w:hAnsi="Times New Roman"/>
          <w:sz w:val="15"/>
          <w:szCs w:val="15"/>
          <w:color w:val="auto"/>
        </w:rPr>
      </w:pPr>
    </w:p>
    <w:p>
      <w:pPr>
        <w:ind w:right="80" w:firstLine="431"/>
        <w:spacing w:after="0" w:line="268" w:lineRule="auto"/>
        <w:tabs>
          <w:tab w:leader="none" w:pos="732"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Acknowledgment Regarding Purchasers’ Purchase of Shares</w:t>
      </w:r>
      <w:r>
        <w:rPr>
          <w:rFonts w:ascii="Times New Roman" w:cs="Times New Roman" w:eastAsia="Times New Roman" w:hAnsi="Times New Roman"/>
          <w:sz w:val="15"/>
          <w:szCs w:val="15"/>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960"/>
          </w:cols>
          <w:pgMar w:left="700" w:top="258" w:right="239" w:bottom="1440" w:gutter="0" w:footer="0" w:header="0"/>
        </w:sectPr>
      </w:pPr>
    </w:p>
    <w:bookmarkStart w:id="21" w:name="page22"/>
    <w:bookmarkEnd w:id="21"/>
    <w:p>
      <w:pPr>
        <w:ind w:left="9" w:firstLine="431"/>
        <w:spacing w:after="0" w:line="263" w:lineRule="auto"/>
        <w:tabs>
          <w:tab w:leader="none" w:pos="74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Acknowledgement Regarding Purchaser’s Trading Activity</w:t>
      </w:r>
      <w:r>
        <w:rPr>
          <w:rFonts w:ascii="Times New Roman" w:cs="Times New Roman" w:eastAsia="Times New Roman" w:hAnsi="Times New Roman"/>
          <w:sz w:val="15"/>
          <w:szCs w:val="15"/>
          <w:color w:val="auto"/>
        </w:rPr>
        <w:t>. Anything in this Agreement or elsewhere herein to the contrary notwithstanding (except for Sections 3.2(f) and 4.12 hereof), it is understood and acknowledged by the Company (i) that none of the Purchasers have been asked by the Company to agree, nor has any Purchaser agreed, to desist from purchasing or selling, long and/or short, securities of the Company, or “derivative” securities based on securities issued by the Company or to hold the Shares for any specified term; (ii) that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that any Purchaser, and counter-parties in “derivative” transactions to which any such Purchaser is a party, directly or indirectly, presently may have a “short” position in the Common Stock; and</w:t>
      </w:r>
    </w:p>
    <w:p>
      <w:pPr>
        <w:spacing w:after="0" w:line="3" w:lineRule="exact"/>
        <w:rPr>
          <w:rFonts w:ascii="Times New Roman" w:cs="Times New Roman" w:eastAsia="Times New Roman" w:hAnsi="Times New Roman"/>
          <w:sz w:val="15"/>
          <w:szCs w:val="15"/>
          <w:color w:val="auto"/>
        </w:rPr>
      </w:pPr>
    </w:p>
    <w:p>
      <w:pPr>
        <w:ind w:left="9" w:right="240" w:hanging="9"/>
        <w:spacing w:after="0" w:line="268" w:lineRule="auto"/>
        <w:tabs>
          <w:tab w:leader="none" w:pos="267"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each Purchaser shall not be deemed to have any affiliation with or control over any arm’s length counter-party in any “derivative” transaction. The Company further understands and acknowledges that (a) one or more Purchasers may engage in hedging activities at various times during the period that the Shares are outstanding, and (b)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41" w:lineRule="exact"/>
        <w:rPr>
          <w:rFonts w:ascii="Times New Roman" w:cs="Times New Roman" w:eastAsia="Times New Roman" w:hAnsi="Times New Roman"/>
          <w:sz w:val="15"/>
          <w:szCs w:val="15"/>
          <w:color w:val="auto"/>
        </w:rPr>
      </w:pPr>
    </w:p>
    <w:p>
      <w:pPr>
        <w:ind w:left="9" w:right="20" w:firstLine="431"/>
        <w:spacing w:after="0" w:line="273" w:lineRule="auto"/>
        <w:tabs>
          <w:tab w:leader="none" w:pos="672"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Regulation M Compliance</w:t>
      </w:r>
      <w:r>
        <w:rPr>
          <w:rFonts w:ascii="Times New Roman" w:cs="Times New Roman" w:eastAsia="Times New Roman" w:hAnsi="Times New Roman"/>
          <w:sz w:val="15"/>
          <w:szCs w:val="15"/>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w:t>
      </w:r>
    </w:p>
    <w:p>
      <w:pPr>
        <w:spacing w:after="0" w:line="37" w:lineRule="exact"/>
        <w:rPr>
          <w:rFonts w:ascii="Times New Roman" w:cs="Times New Roman" w:eastAsia="Times New Roman" w:hAnsi="Times New Roman"/>
          <w:sz w:val="15"/>
          <w:szCs w:val="15"/>
          <w:color w:val="auto"/>
        </w:rPr>
      </w:pPr>
    </w:p>
    <w:p>
      <w:pPr>
        <w:ind w:left="9" w:right="300" w:firstLine="431"/>
        <w:spacing w:after="0" w:line="297" w:lineRule="auto"/>
        <w:tabs>
          <w:tab w:leader="none" w:pos="672"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U.S. Real Property Holding Corporation</w:t>
      </w:r>
      <w:r>
        <w:rPr>
          <w:rFonts w:ascii="Times New Roman" w:cs="Times New Roman" w:eastAsia="Times New Roman" w:hAnsi="Times New Roman"/>
          <w:sz w:val="15"/>
          <w:szCs w:val="15"/>
          <w:color w:val="auto"/>
        </w:rPr>
        <w:t>. The Company is not, nor has ever been, a U.S. real property holding corporation within the meaning of Section 897 of the Internal Revenue Code of 1986, as amended, and the Company shall so certify upon Purchaser’s request.</w:t>
      </w:r>
    </w:p>
    <w:p>
      <w:pPr>
        <w:spacing w:after="0" w:line="19" w:lineRule="exact"/>
        <w:rPr>
          <w:rFonts w:ascii="Times New Roman" w:cs="Times New Roman" w:eastAsia="Times New Roman" w:hAnsi="Times New Roman"/>
          <w:sz w:val="15"/>
          <w:szCs w:val="15"/>
          <w:color w:val="auto"/>
        </w:rPr>
      </w:pPr>
    </w:p>
    <w:p>
      <w:pPr>
        <w:jc w:val="both"/>
        <w:ind w:left="9" w:right="140" w:firstLine="431"/>
        <w:spacing w:after="0" w:line="279" w:lineRule="auto"/>
        <w:tabs>
          <w:tab w:leader="none" w:pos="74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 Balance Sheet Arrangements</w:t>
      </w:r>
      <w:r>
        <w:rPr>
          <w:rFonts w:ascii="Times New Roman" w:cs="Times New Roman" w:eastAsia="Times New Roman" w:hAnsi="Times New Roman"/>
          <w:sz w:val="15"/>
          <w:szCs w:val="15"/>
          <w:color w:val="auto"/>
        </w:rPr>
        <w:t>. There is no transaction, arrangement, or other relationship between the Company and an unconsolidated or other off balance sheet entity that is required to be disclosed by the Company in its Exchange Act filings and is not so disclosed or that otherwise would be reasonably likely to have a Material Adverse Effect.</w:t>
      </w:r>
    </w:p>
    <w:p>
      <w:pPr>
        <w:spacing w:after="0" w:line="32" w:lineRule="exact"/>
        <w:rPr>
          <w:rFonts w:ascii="Times New Roman" w:cs="Times New Roman" w:eastAsia="Times New Roman" w:hAnsi="Times New Roman"/>
          <w:sz w:val="15"/>
          <w:szCs w:val="15"/>
          <w:color w:val="auto"/>
        </w:rPr>
      </w:pPr>
    </w:p>
    <w:p>
      <w:pPr>
        <w:ind w:left="9" w:right="60" w:firstLine="431"/>
        <w:spacing w:after="0" w:line="279" w:lineRule="auto"/>
        <w:tabs>
          <w:tab w:leader="none" w:pos="672"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Status</w:t>
      </w:r>
      <w:r>
        <w:rPr>
          <w:rFonts w:ascii="Times New Roman" w:cs="Times New Roman" w:eastAsia="Times New Roman" w:hAnsi="Times New Roman"/>
          <w:sz w:val="15"/>
          <w:szCs w:val="15"/>
          <w:color w:val="auto"/>
        </w:rPr>
        <w:t>. The Company is not, and upon consummation of the sale of the Securities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91" w:lineRule="exact"/>
        <w:rPr>
          <w:sz w:val="20"/>
          <w:szCs w:val="20"/>
          <w:color w:val="auto"/>
        </w:rPr>
      </w:pPr>
    </w:p>
    <w:p>
      <w:pPr>
        <w:jc w:val="center"/>
        <w:ind w:right="431"/>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969"/>
          </w:cols>
          <w:pgMar w:left="691" w:top="258" w:right="23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3.2 </w:t>
      </w:r>
      <w:r>
        <w:rPr>
          <w:rFonts w:ascii="Times New Roman" w:cs="Times New Roman" w:eastAsia="Times New Roman" w:hAnsi="Times New Roman"/>
          <w:sz w:val="15"/>
          <w:szCs w:val="15"/>
          <w:u w:val="single" w:color="auto"/>
          <w:color w:val="auto"/>
        </w:rPr>
        <w:t>Representations and Warranties of the Purchasers</w:t>
      </w:r>
      <w:r>
        <w:rPr>
          <w:rFonts w:ascii="Times New Roman" w:cs="Times New Roman" w:eastAsia="Times New Roman" w:hAnsi="Times New Roman"/>
          <w:sz w:val="15"/>
          <w:szCs w:val="15"/>
          <w:color w:val="auto"/>
        </w:rPr>
        <w:t>. Each Purchaser, for itself and for no other Purchaser, hereby represents and warrants as of the date hereof and as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Closing Date to the Company as follows:</w:t>
      </w:r>
    </w:p>
    <w:p>
      <w:pPr>
        <w:spacing w:after="0" w:line="76" w:lineRule="exact"/>
        <w:rPr>
          <w:sz w:val="20"/>
          <w:szCs w:val="20"/>
          <w:color w:val="auto"/>
        </w:rPr>
      </w:pPr>
    </w:p>
    <w:p>
      <w:pPr>
        <w:ind w:left="460" w:right="20" w:firstLine="431"/>
        <w:spacing w:after="0" w:line="266" w:lineRule="auto"/>
        <w:tabs>
          <w:tab w:leader="none" w:pos="110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Authority</w:t>
      </w:r>
      <w:r>
        <w:rPr>
          <w:rFonts w:ascii="Times New Roman" w:cs="Times New Roman" w:eastAsia="Times New Roman" w:hAnsi="Times New Roman"/>
          <w:sz w:val="15"/>
          <w:szCs w:val="15"/>
          <w:color w:val="auto"/>
        </w:rPr>
        <w:t>. Such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or similar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44" w:lineRule="exact"/>
        <w:rPr>
          <w:rFonts w:ascii="Times New Roman" w:cs="Times New Roman" w:eastAsia="Times New Roman" w:hAnsi="Times New Roman"/>
          <w:sz w:val="15"/>
          <w:szCs w:val="15"/>
          <w:color w:val="auto"/>
        </w:rPr>
      </w:pPr>
    </w:p>
    <w:p>
      <w:pPr>
        <w:ind w:left="460" w:right="100" w:firstLine="431"/>
        <w:spacing w:after="0" w:line="268" w:lineRule="auto"/>
        <w:tabs>
          <w:tab w:leader="none" w:pos="1115"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Own Account</w:t>
      </w:r>
      <w:r>
        <w:rPr>
          <w:rFonts w:ascii="Times New Roman" w:cs="Times New Roman" w:eastAsia="Times New Roman" w:hAnsi="Times New Roman"/>
          <w:sz w:val="15"/>
          <w:szCs w:val="15"/>
          <w:color w:val="auto"/>
        </w:rPr>
        <w:t>. Such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in violation of the Securities Act or any applicable state securities law. Such Purchaser is acquiring the Shares hereunder in the ordinary course of its business.</w:t>
      </w:r>
    </w:p>
    <w:p>
      <w:pPr>
        <w:spacing w:after="0" w:line="42" w:lineRule="exact"/>
        <w:rPr>
          <w:rFonts w:ascii="Times New Roman" w:cs="Times New Roman" w:eastAsia="Times New Roman" w:hAnsi="Times New Roman"/>
          <w:sz w:val="15"/>
          <w:szCs w:val="15"/>
          <w:color w:val="auto"/>
        </w:rPr>
      </w:pPr>
    </w:p>
    <w:p>
      <w:pPr>
        <w:ind w:left="460" w:firstLine="431"/>
        <w:spacing w:after="0" w:line="279" w:lineRule="auto"/>
        <w:tabs>
          <w:tab w:leader="none" w:pos="1107"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Purchaser Status</w:t>
      </w:r>
      <w:r>
        <w:rPr>
          <w:rFonts w:ascii="Times New Roman" w:cs="Times New Roman" w:eastAsia="Times New Roman" w:hAnsi="Times New Roman"/>
          <w:sz w:val="15"/>
          <w:szCs w:val="15"/>
          <w:color w:val="auto"/>
        </w:rPr>
        <w:t>. At the time such Purchaser was offered the Shares, it was, and at the date hereof it is either: (i) an “accredited investor” as defined in Rule 501(a)(1), (a)(2), (a)(3), (a)(7) or (a)(8) under the Securities Act or (ii) a “qualified institutional buyer” as defined in Rule 144A(a) under the Securities Act. Such Purchaser is not required to be registered as a broker-dealer under Section 15 of the Exchange Act.</w:t>
      </w:r>
    </w:p>
    <w:p>
      <w:pPr>
        <w:spacing w:after="0" w:line="32" w:lineRule="exact"/>
        <w:rPr>
          <w:rFonts w:ascii="Times New Roman" w:cs="Times New Roman" w:eastAsia="Times New Roman" w:hAnsi="Times New Roman"/>
          <w:sz w:val="15"/>
          <w:szCs w:val="15"/>
          <w:color w:val="auto"/>
        </w:rPr>
      </w:pPr>
    </w:p>
    <w:p>
      <w:pPr>
        <w:ind w:left="460" w:right="200" w:firstLine="431"/>
        <w:spacing w:after="0" w:line="279" w:lineRule="auto"/>
        <w:tabs>
          <w:tab w:leader="none" w:pos="1115"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Experience of Such Purchaser</w:t>
      </w:r>
      <w:r>
        <w:rPr>
          <w:rFonts w:ascii="Times New Roman" w:cs="Times New Roman" w:eastAsia="Times New Roman" w:hAnsi="Times New Roman"/>
          <w:sz w:val="15"/>
          <w:szCs w:val="15"/>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380"/>
          </w:cols>
          <w:pgMar w:left="240" w:top="258" w:right="279" w:bottom="1440" w:gutter="0" w:footer="0" w:header="0"/>
        </w:sectPr>
      </w:pPr>
    </w:p>
    <w:bookmarkStart w:id="23" w:name="page24"/>
    <w:bookmarkEnd w:id="23"/>
    <w:p>
      <w:pPr>
        <w:ind w:left="460" w:firstLine="431"/>
        <w:spacing w:after="0" w:line="297" w:lineRule="auto"/>
        <w:tabs>
          <w:tab w:leader="none" w:pos="110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General Solicitation</w:t>
      </w:r>
      <w:r>
        <w:rPr>
          <w:rFonts w:ascii="Times New Roman" w:cs="Times New Roman" w:eastAsia="Times New Roman" w:hAnsi="Times New Roman"/>
          <w:sz w:val="15"/>
          <w:szCs w:val="15"/>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19" w:lineRule="exact"/>
        <w:rPr>
          <w:rFonts w:ascii="Times New Roman" w:cs="Times New Roman" w:eastAsia="Times New Roman" w:hAnsi="Times New Roman"/>
          <w:sz w:val="15"/>
          <w:szCs w:val="15"/>
          <w:color w:val="auto"/>
        </w:rPr>
      </w:pPr>
    </w:p>
    <w:p>
      <w:pPr>
        <w:ind w:left="460" w:right="60" w:firstLine="431"/>
        <w:spacing w:after="0" w:line="266" w:lineRule="auto"/>
        <w:tabs>
          <w:tab w:leader="none" w:pos="109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Short Sales and Confidentiality Prior To The Date Hereof</w:t>
      </w:r>
      <w:r>
        <w:rPr>
          <w:rFonts w:ascii="Times New Roman" w:cs="Times New Roman" w:eastAsia="Times New Roman" w:hAnsi="Times New Roman"/>
          <w:sz w:val="15"/>
          <w:szCs w:val="15"/>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from the time that such Purchaser was first contacted by the Company or any other Person representing the Company concerning the terms of the transactions contemplated hereunder until the date hereof (“</w:t>
      </w:r>
      <w:r>
        <w:rPr>
          <w:rFonts w:ascii="Times New Roman" w:cs="Times New Roman" w:eastAsia="Times New Roman" w:hAnsi="Times New Roman"/>
          <w:sz w:val="15"/>
          <w:szCs w:val="15"/>
          <w:u w:val="single" w:color="auto"/>
          <w:color w:val="auto"/>
        </w:rPr>
        <w:t>Discussion Time</w:t>
      </w:r>
      <w:r>
        <w:rPr>
          <w:rFonts w:ascii="Times New Roman" w:cs="Times New Roman" w:eastAsia="Times New Roman" w:hAnsi="Times New Roman"/>
          <w:sz w:val="15"/>
          <w:szCs w:val="15"/>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such Purchaser has maintained the confidentiality of all disclosures made to it in connection with this transaction (including the existence and terms of this transaction).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OTHER AGREEMENTS OF THE PARTIES</w:t>
      </w:r>
    </w:p>
    <w:p>
      <w:pPr>
        <w:spacing w:after="0" w:line="146" w:lineRule="exact"/>
        <w:rPr>
          <w:sz w:val="20"/>
          <w:szCs w:val="20"/>
          <w:color w:val="auto"/>
        </w:rPr>
      </w:pPr>
    </w:p>
    <w:p>
      <w:pPr>
        <w:ind w:firstLine="457"/>
        <w:spacing w:after="0" w:line="269"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Transfer Restrictions</w:t>
      </w:r>
      <w:r>
        <w:rPr>
          <w:rFonts w:ascii="Times New Roman" w:cs="Times New Roman" w:eastAsia="Times New Roman" w:hAnsi="Times New Roman"/>
          <w:sz w:val="15"/>
          <w:szCs w:val="15"/>
          <w:color w:val="auto"/>
        </w:rPr>
        <w:t>. The Shares may only be disposed of in compliance with state and federal securities laws. In connection with any transfer of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of a Purchaser under this Agreement and the Registration Rights Agreement.</w:t>
      </w:r>
    </w:p>
    <w:p>
      <w:pPr>
        <w:spacing w:after="0" w:line="2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(a) The Purchasers agree to the imprinting, so long as is required by this Section 4.1, of a legend on any of the Shares in the following form:</w:t>
      </w:r>
    </w:p>
    <w:p>
      <w:pPr>
        <w:spacing w:after="0" w:line="86" w:lineRule="exact"/>
        <w:rPr>
          <w:sz w:val="20"/>
          <w:szCs w:val="20"/>
          <w:color w:val="auto"/>
        </w:rPr>
      </w:pPr>
    </w:p>
    <w:p>
      <w:pPr>
        <w:jc w:val="both"/>
        <w:ind w:left="900" w:right="160"/>
        <w:spacing w:after="0" w:line="279" w:lineRule="auto"/>
        <w:rPr>
          <w:sz w:val="20"/>
          <w:szCs w:val="20"/>
          <w:color w:val="auto"/>
        </w:rPr>
      </w:pPr>
      <w:r>
        <w:rPr>
          <w:rFonts w:ascii="Times New Roman" w:cs="Times New Roman" w:eastAsia="Times New Roman" w:hAnsi="Times New Roman"/>
          <w:sz w:val="15"/>
          <w:szCs w:val="15"/>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00"/>
          </w:cols>
          <w:pgMar w:left="240" w:top="258" w:right="259" w:bottom="1440" w:gutter="0" w:footer="0" w:header="0"/>
        </w:sectPr>
      </w:pPr>
    </w:p>
    <w:bookmarkStart w:id="24" w:name="page25"/>
    <w:bookmarkEnd w:id="24"/>
    <w:p>
      <w:pPr>
        <w:ind w:left="4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42" w:lineRule="exact"/>
        <w:rPr>
          <w:sz w:val="20"/>
          <w:szCs w:val="20"/>
          <w:color w:val="auto"/>
        </w:rPr>
      </w:pPr>
    </w:p>
    <w:p>
      <w:pPr>
        <w:ind w:right="40" w:firstLine="439"/>
        <w:spacing w:after="0" w:line="266" w:lineRule="auto"/>
        <w:rPr>
          <w:sz w:val="20"/>
          <w:szCs w:val="20"/>
          <w:color w:val="auto"/>
        </w:rPr>
      </w:pPr>
      <w:r>
        <w:rPr>
          <w:rFonts w:ascii="Times New Roman" w:cs="Times New Roman" w:eastAsia="Times New Roman" w:hAnsi="Times New Roman"/>
          <w:sz w:val="15"/>
          <w:szCs w:val="15"/>
          <w:color w:val="auto"/>
        </w:rPr>
        <w:t>The Company acknowledges and agrees that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who agrees to be bound by the provisions of this Agreement and the Registration Rights Agreement and, if required under the terms of such arrangement, such Purchaser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spacing w:after="0" w:line="44" w:lineRule="exact"/>
        <w:rPr>
          <w:sz w:val="20"/>
          <w:szCs w:val="20"/>
          <w:color w:val="auto"/>
        </w:rPr>
      </w:pPr>
    </w:p>
    <w:p>
      <w:pPr>
        <w:ind w:right="20" w:firstLine="431"/>
        <w:spacing w:after="0" w:line="266" w:lineRule="auto"/>
        <w:tabs>
          <w:tab w:leader="none" w:pos="655"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Certificates evidencing the Shares shall not contain any legend (including the legend set forth in Section 4.1(b)), (i) while a registration statement (including the Registration Statement) covering the resale of such security is effective under the Securities Act, or (ii) following any sale of such Shares pursuant to Rule 144, or (iii) if such Shares are eligible for sale under Rule 144(k),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The Company agrees that following the Effective Date or at such time as such legend is no longer required under this Section 4.1(c), it will, no later than three Trading Days following the delivery by a Purchaser to the Company or the Transfer Agent of a certificate representing Shares, issued with a restrictive legend (such third Trading Day, the “</w:t>
      </w:r>
      <w:r>
        <w:rPr>
          <w:rFonts w:ascii="Times New Roman" w:cs="Times New Roman" w:eastAsia="Times New Roman" w:hAnsi="Times New Roman"/>
          <w:sz w:val="15"/>
          <w:szCs w:val="15"/>
          <w:u w:val="single" w:color="auto"/>
          <w:color w:val="auto"/>
        </w:rPr>
        <w:t>Legend Removal Date</w:t>
      </w:r>
      <w:r>
        <w:rPr>
          <w:rFonts w:ascii="Times New Roman" w:cs="Times New Roman" w:eastAsia="Times New Roman" w:hAnsi="Times New Roman"/>
          <w:sz w:val="15"/>
          <w:szCs w:val="15"/>
          <w:color w:val="auto"/>
        </w:rPr>
        <w:t>”), deliver or cause to be delivered to such Purchaser a certificate representing such Shares that is free from all restrictive and other legends. The Company may not make any notation on its records or give instructions to the Transfer</w:t>
      </w:r>
    </w:p>
    <w:p>
      <w:pPr>
        <w:spacing w:after="0" w:line="1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960"/>
          </w:cols>
          <w:pgMar w:left="700" w:top="258" w:right="239" w:bottom="1440" w:gutter="0" w:footer="0" w:header="0"/>
        </w:sectPr>
      </w:pPr>
    </w:p>
    <w:bookmarkStart w:id="25" w:name="page26"/>
    <w:bookmarkEnd w:id="25"/>
    <w:p>
      <w:pPr>
        <w:ind w:left="460" w:right="6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Agent that enlarge the restrictions on transfer set forth in this Section. Certificates for Shares subject to legend removal hereunder shall be transmitted by the Transfer Agent to the Purchaser by crediting the account of the Purchaser’s prime broker with the Depository Trust Company System as directed by such Purchaser.</w:t>
      </w:r>
    </w:p>
    <w:p>
      <w:pPr>
        <w:spacing w:after="0" w:line="19" w:lineRule="exact"/>
        <w:rPr>
          <w:sz w:val="20"/>
          <w:szCs w:val="20"/>
          <w:color w:val="auto"/>
        </w:rPr>
      </w:pPr>
    </w:p>
    <w:p>
      <w:pPr>
        <w:ind w:left="460" w:right="100" w:firstLine="431"/>
        <w:spacing w:after="0" w:line="268" w:lineRule="auto"/>
        <w:tabs>
          <w:tab w:leader="none" w:pos="1107"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such Purchaser’s other available remedies, the Company shall pay to a Purchaser, in cash, as partial liquidated damages and not as a penalty, for each $1,000 of Shares (based on the volume weighted average price of the Common Stock on the date such Shares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Nothing herein shall limit such Purchaser’s right to pursue actual damages for the Company’s failure to deliver certificates representing any Shares as required by the Transaction Documents, and such Purchaser shall have the right to pursue all remedies available to it at law or in equity including, without limitation, a decree of specific performance and/or injunctive relief.</w:t>
      </w:r>
    </w:p>
    <w:p>
      <w:pPr>
        <w:spacing w:after="0" w:line="42" w:lineRule="exact"/>
        <w:rPr>
          <w:rFonts w:ascii="Times New Roman" w:cs="Times New Roman" w:eastAsia="Times New Roman" w:hAnsi="Times New Roman"/>
          <w:sz w:val="15"/>
          <w:szCs w:val="15"/>
          <w:color w:val="auto"/>
        </w:rPr>
      </w:pPr>
    </w:p>
    <w:p>
      <w:pPr>
        <w:jc w:val="both"/>
        <w:ind w:left="460" w:right="20" w:firstLine="431"/>
        <w:spacing w:after="0" w:line="273" w:lineRule="auto"/>
        <w:tabs>
          <w:tab w:leader="none" w:pos="1115"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Purchaser, severally and not jointly with the other Purchasers, agrees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w:t>
      </w:r>
    </w:p>
    <w:p>
      <w:pPr>
        <w:spacing w:after="0" w:line="108"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Furnishing of Information</w:t>
      </w:r>
      <w:r>
        <w:rPr>
          <w:rFonts w:ascii="Times New Roman" w:cs="Times New Roman" w:eastAsia="Times New Roman" w:hAnsi="Times New Roman"/>
          <w:sz w:val="15"/>
          <w:szCs w:val="15"/>
          <w:color w:val="auto"/>
        </w:rPr>
        <w:t>. Until the earliest of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As long as any Purchaser owns Shares, if the Company is not required to file reports pursuant to the Exchange Act, it will prepare and furnish to the Purchasers and make publicly available in accordance with Rule 144(c) such information as is required for the Purchasers to sell the Shares under Rule 144. The Company further covenants that it will take such further action as any holder of Shares may reasonably request, to the extent required from time to time to enable such Person to sell such Shares without registration under the Securities Act within the requirements of the exemption provided by Rule 144.</w:t>
      </w:r>
    </w:p>
    <w:p>
      <w:pPr>
        <w:spacing w:after="0" w:line="113" w:lineRule="exact"/>
        <w:rPr>
          <w:sz w:val="20"/>
          <w:szCs w:val="20"/>
          <w:color w:val="auto"/>
        </w:rPr>
      </w:pPr>
    </w:p>
    <w:p>
      <w:pPr>
        <w:jc w:val="both"/>
        <w:ind w:firstLine="457"/>
        <w:spacing w:after="0" w:line="273"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Integration</w:t>
      </w:r>
      <w:r>
        <w:rPr>
          <w:rFonts w:ascii="Times New Roman" w:cs="Times New Roman" w:eastAsia="Times New Roman" w:hAnsi="Times New Roman"/>
          <w:sz w:val="15"/>
          <w:szCs w:val="15"/>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to the Purchasers or that would be integrated with the offer or sale of the Shares to the Purchasers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20"/>
          </w:cols>
          <w:pgMar w:left="240" w:top="258" w:right="239" w:bottom="1440" w:gutter="0" w:footer="0" w:header="0"/>
        </w:sectPr>
      </w:pPr>
    </w:p>
    <w:bookmarkStart w:id="26" w:name="page27"/>
    <w:bookmarkEnd w:id="26"/>
    <w:p>
      <w:pPr>
        <w:ind w:firstLine="457"/>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4.4 </w:t>
      </w:r>
      <w:r>
        <w:rPr>
          <w:rFonts w:ascii="Times New Roman" w:cs="Times New Roman" w:eastAsia="Times New Roman" w:hAnsi="Times New Roman"/>
          <w:sz w:val="15"/>
          <w:szCs w:val="15"/>
          <w:u w:val="single" w:color="auto"/>
          <w:color w:val="auto"/>
        </w:rPr>
        <w:t>Securities Laws Disclosure; Publicity</w:t>
      </w:r>
      <w:r>
        <w:rPr>
          <w:rFonts w:ascii="Times New Roman" w:cs="Times New Roman" w:eastAsia="Times New Roman" w:hAnsi="Times New Roman"/>
          <w:sz w:val="15"/>
          <w:szCs w:val="15"/>
          <w:color w:val="auto"/>
        </w:rPr>
        <w:t>. The Company shall, by 8:30 a.m. (New York City time) on the Trading Day immediately following the date hereof, issue a press release disclosing the material terms of the transactions contemplated hereby, and by the fourth Trading Day following the date hereof, file a Current Report on Form 8-K, filing the Transaction Documents as exhibits thereto. The Company and each Purchaser shall consult with each other in issuing any other press releases with respect to the transactions contemplated hereby, and neither the Company nor any Purchaser shall issue any such press release 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(i) as required by federal securities law in connection with (A) any registration statement contemplated by the Registration Rights Agreement and (B) the filing of final Transaction Documents (including signature pages thereto) with the Commission and (ii) to the extent such disclosure is required by law or Trading Market regulations, in which case the Company shall provide the Purchasers with prior notice of such disclosure permitted under this clause (ii).</w:t>
      </w:r>
    </w:p>
    <w:p>
      <w:pPr>
        <w:spacing w:after="0" w:line="116" w:lineRule="exact"/>
        <w:rPr>
          <w:sz w:val="20"/>
          <w:szCs w:val="20"/>
          <w:color w:val="auto"/>
        </w:rPr>
      </w:pPr>
    </w:p>
    <w:p>
      <w:pPr>
        <w:ind w:right="20" w:firstLine="457"/>
        <w:spacing w:after="0" w:line="273"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Shareholder Rights Plan</w:t>
      </w:r>
      <w:r>
        <w:rPr>
          <w:rFonts w:ascii="Times New Roman" w:cs="Times New Roman" w:eastAsia="Times New Roman" w:hAnsi="Times New Roman"/>
          <w:sz w:val="15"/>
          <w:szCs w:val="15"/>
          <w:color w:val="auto"/>
        </w:rPr>
        <w:t>. No claim will be made or enforced by the Company or, with the consent of the Company, any other Person, that any Purchaser is an “Acquiring Person” under the Rights or any other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08" w:lineRule="exact"/>
        <w:rPr>
          <w:sz w:val="20"/>
          <w:szCs w:val="20"/>
          <w:color w:val="auto"/>
        </w:rPr>
      </w:pPr>
    </w:p>
    <w:p>
      <w:pPr>
        <w:ind w:firstLine="457"/>
        <w:spacing w:after="0" w:line="273"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Non-Public Information</w:t>
      </w:r>
      <w:r>
        <w:rPr>
          <w:rFonts w:ascii="Times New Roman" w:cs="Times New Roman" w:eastAsia="Times New Roman" w:hAnsi="Times New Roman"/>
          <w:sz w:val="15"/>
          <w:szCs w:val="15"/>
          <w:color w:val="auto"/>
        </w:rPr>
        <w:t>. Except with respect to the material terms and conditions of the transactions contemplated by the Transaction Documents, the Company covenants and agrees that neither it nor any other Person acting on its behalf will provide any Purchaser or its agents or counsel with any information that the Company believes constitutes material non-public information,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spacing w:after="0" w:line="108" w:lineRule="exact"/>
        <w:rPr>
          <w:sz w:val="20"/>
          <w:szCs w:val="20"/>
          <w:color w:val="auto"/>
        </w:rPr>
      </w:pPr>
    </w:p>
    <w:p>
      <w:pPr>
        <w:ind w:right="200" w:firstLine="457"/>
        <w:spacing w:after="0" w:line="279"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u w:val="single" w:color="auto"/>
          <w:color w:val="auto"/>
        </w:rPr>
        <w:t>Use of Proceeds</w:t>
      </w:r>
      <w:r>
        <w:rPr>
          <w:rFonts w:ascii="Times New Roman" w:cs="Times New Roman" w:eastAsia="Times New Roman" w:hAnsi="Times New Roman"/>
          <w:sz w:val="15"/>
          <w:szCs w:val="15"/>
          <w:color w:val="auto"/>
        </w:rPr>
        <w:t xml:space="preserve">. Except as set forth on </w:t>
      </w:r>
      <w:r>
        <w:rPr>
          <w:rFonts w:ascii="Times New Roman" w:cs="Times New Roman" w:eastAsia="Times New Roman" w:hAnsi="Times New Roman"/>
          <w:sz w:val="15"/>
          <w:szCs w:val="15"/>
          <w:u w:val="single" w:color="auto"/>
          <w:color w:val="auto"/>
        </w:rPr>
        <w:t>Schedule 4.7</w:t>
      </w:r>
      <w:r>
        <w:rPr>
          <w:rFonts w:ascii="Times New Roman" w:cs="Times New Roman" w:eastAsia="Times New Roman" w:hAnsi="Times New Roman"/>
          <w:sz w:val="15"/>
          <w:szCs w:val="15"/>
          <w:color w:val="auto"/>
        </w:rPr>
        <w:t xml:space="preserve"> of the Disclosure Schedules, the Company shall use the net proceeds from the sale of the Shares hereunder for working capital purposes and shall not use such proceeds for (a) the satisfaction of any portion of the Company’s debt (other than payment of trade payables in the ordinary course of the Company’s business and prior practices), (b) the redemption of any Common Stock or Common Stock Equivalents or (c) the settlement of any outstanding litigation.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20"/>
          </w:cols>
          <w:pgMar w:left="240" w:top="258" w:right="239" w:bottom="1440" w:gutter="0" w:footer="0" w:header="0"/>
        </w:sectPr>
      </w:pPr>
    </w:p>
    <w:bookmarkStart w:id="27" w:name="page28"/>
    <w:bookmarkEnd w:id="27"/>
    <w:p>
      <w:pPr>
        <w:ind w:left="6" w:right="60" w:firstLine="457"/>
        <w:spacing w:after="0" w:line="26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4.8 </w:t>
      </w:r>
      <w:r>
        <w:rPr>
          <w:rFonts w:ascii="Times New Roman" w:cs="Times New Roman" w:eastAsia="Times New Roman" w:hAnsi="Times New Roman"/>
          <w:sz w:val="15"/>
          <w:szCs w:val="15"/>
          <w:u w:val="single" w:color="auto"/>
          <w:color w:val="auto"/>
        </w:rPr>
        <w:t>Indemnification of Purchasers</w:t>
      </w:r>
      <w:r>
        <w:rPr>
          <w:rFonts w:ascii="Times New Roman" w:cs="Times New Roman" w:eastAsia="Times New Roman" w:hAnsi="Times New Roman"/>
          <w:sz w:val="15"/>
          <w:szCs w:val="15"/>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5"/>
          <w:szCs w:val="15"/>
          <w:u w:val="single" w:color="auto"/>
          <w:color w:val="auto"/>
        </w:rPr>
        <w:t>Purchaser Party</w:t>
      </w:r>
      <w:r>
        <w:rPr>
          <w:rFonts w:ascii="Times New Roman" w:cs="Times New Roman" w:eastAsia="Times New Roman" w:hAnsi="Times New Roman"/>
          <w:sz w:val="15"/>
          <w:szCs w:val="15"/>
          <w:color w:val="auto"/>
        </w:rPr>
        <w:t>”) harmless from any and all losses, liabilities, obligations, claims, contingencies, damages, costs and expenses, including all judgments, amounts paid in settlements, court costs and reasonable attorneys’ fees and costs of reasonable investigation that any such Purchaser Party may suffer or incur as a result of or relating to</w:t>
      </w:r>
    </w:p>
    <w:p>
      <w:pPr>
        <w:spacing w:after="0" w:line="4" w:lineRule="exact"/>
        <w:rPr>
          <w:sz w:val="20"/>
          <w:szCs w:val="20"/>
          <w:color w:val="auto"/>
        </w:rPr>
      </w:pPr>
    </w:p>
    <w:p>
      <w:pPr>
        <w:ind w:left="6" w:hanging="6"/>
        <w:spacing w:after="0" w:line="263" w:lineRule="auto"/>
        <w:tabs>
          <w:tab w:leader="none" w:pos="214"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any of the representations, warranties, covenants or agreements made by the Company in this Agreement or in the other Transaction Documents or (b) any action instituted against a Purchaser in any capacity, or any of them or their respective Affiliates, by any stockholder of the Company who is not an Affiliate of such Purchaser, with respect to any of the transactions contemplated by the Transaction Documents (unless such action is based upon a breach of such Purchaser’s representations, warranties or covenants under the Transaction Documents or any agreements or understandings such Purchaser may have with any such stockholder or any violations by the Purchaser of state or federal securities laws or any conduct by such Purchaser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(i) for any settlement by a Purchaser Party effected without the Company’s prior written consent, which shall not be unreasonably withheld or delayed; or (ii) to the extent, but only to the extent that a loss, claim, damage or liability is attributable to any Purchaser Party’s breach of any of the representations, warranties, covenants or agreements made by such Purchaser Party in this Agreement or in the other Transaction Documents.</w:t>
      </w:r>
    </w:p>
    <w:p>
      <w:pPr>
        <w:spacing w:after="0" w:line="115" w:lineRule="exact"/>
        <w:rPr>
          <w:sz w:val="20"/>
          <w:szCs w:val="20"/>
          <w:color w:val="auto"/>
        </w:rPr>
      </w:pPr>
    </w:p>
    <w:p>
      <w:pPr>
        <w:ind w:left="6" w:right="180" w:firstLine="457"/>
        <w:spacing w:after="0" w:line="273" w:lineRule="auto"/>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15"/>
          <w:szCs w:val="15"/>
          <w:u w:val="single" w:color="auto"/>
          <w:color w:val="auto"/>
        </w:rPr>
        <w:t>Listing of Common Stock</w:t>
      </w:r>
      <w:r>
        <w:rPr>
          <w:rFonts w:ascii="Times New Roman" w:cs="Times New Roman" w:eastAsia="Times New Roman" w:hAnsi="Times New Roman"/>
          <w:sz w:val="15"/>
          <w:szCs w:val="15"/>
          <w:color w:val="auto"/>
        </w:rPr>
        <w:t>. The Company hereby agrees to use best efforts to maintain the listing of the Common Stock on a Trading Market, and as soon as reasonably practicable following the Closing (but not later than the earlier of the Effective Date and the first anniversary of the Closing Date) to list all of the Shares on such Trading Market. The Company further agrees, if the Company applies to have the Common Stock traded on any other Trading Market, it will include in such application all of the Shares, and will take such other action as is necessary to cause all of the Shares to be listed on such other Trading Market as promptly as</w:t>
      </w:r>
    </w:p>
    <w:p>
      <w:pPr>
        <w:spacing w:after="0" w:line="9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386"/>
          </w:cols>
          <w:pgMar w:left="234" w:top="258" w:right="279" w:bottom="1440" w:gutter="0" w:footer="0" w:header="0"/>
        </w:sectPr>
      </w:pPr>
    </w:p>
    <w:bookmarkStart w:id="28" w:name="page29"/>
    <w:bookmarkEnd w:id="28"/>
    <w:p>
      <w:pPr>
        <w:ind w:right="30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possible. The Company will take all action reasonably necessary to continue the listing and trading of its Common Stock on a Trading Market and will comply in all respects with the Company’s reporting, filing and other obligations under the bylaws or rules of the Trading Market.</w:t>
      </w:r>
    </w:p>
    <w:p>
      <w:pPr>
        <w:spacing w:after="0" w:line="90" w:lineRule="exact"/>
        <w:rPr>
          <w:sz w:val="20"/>
          <w:szCs w:val="20"/>
          <w:color w:val="auto"/>
        </w:rPr>
      </w:pPr>
    </w:p>
    <w:p>
      <w:pPr>
        <w:ind w:right="140" w:firstLine="457"/>
        <w:spacing w:after="0" w:line="273"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u w:val="single" w:color="auto"/>
          <w:color w:val="auto"/>
        </w:rPr>
        <w:t>Equal Treatment of Purchasers</w:t>
      </w:r>
      <w:r>
        <w:rPr>
          <w:rFonts w:ascii="Times New Roman" w:cs="Times New Roman" w:eastAsia="Times New Roman" w:hAnsi="Times New Roman"/>
          <w:sz w:val="15"/>
          <w:szCs w:val="15"/>
          <w:color w:val="auto"/>
        </w:rPr>
        <w:t>.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Subsequent Equity Sales</w:t>
      </w:r>
      <w:r>
        <w:rPr>
          <w:rFonts w:ascii="Times New Roman" w:cs="Times New Roman" w:eastAsia="Times New Roman" w:hAnsi="Times New Roman"/>
          <w:sz w:val="15"/>
          <w:szCs w:val="15"/>
          <w:color w:val="auto"/>
        </w:rPr>
        <w:t>.</w:t>
      </w:r>
    </w:p>
    <w:p>
      <w:pPr>
        <w:spacing w:after="0" w:line="86" w:lineRule="exact"/>
        <w:rPr>
          <w:sz w:val="20"/>
          <w:szCs w:val="20"/>
          <w:color w:val="auto"/>
        </w:rPr>
      </w:pPr>
    </w:p>
    <w:p>
      <w:pPr>
        <w:ind w:left="460" w:firstLine="431"/>
        <w:spacing w:after="0" w:line="273" w:lineRule="auto"/>
        <w:tabs>
          <w:tab w:leader="none" w:pos="1107"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From the date hereof until 90 days after the Effective Date, neither the Company nor any Subsidiary shall issue shares of Common Stock or Common Stock Equivalents;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the 90 day period set forth in this Section 4.11 shall be extended for the number of Trading Days during such period in which (i) trading in the Common Stock is suspended by any Trading Market, or (ii) following the Effective Date, the Registration Statement is not effective or the prospectus included in the Registration Statement may not be used by the Purchasers for the resale of the Shares.</w:t>
      </w:r>
    </w:p>
    <w:p>
      <w:pPr>
        <w:spacing w:after="0" w:line="37" w:lineRule="exact"/>
        <w:rPr>
          <w:rFonts w:ascii="Times New Roman" w:cs="Times New Roman" w:eastAsia="Times New Roman" w:hAnsi="Times New Roman"/>
          <w:sz w:val="15"/>
          <w:szCs w:val="15"/>
          <w:color w:val="auto"/>
        </w:rPr>
      </w:pPr>
    </w:p>
    <w:p>
      <w:pPr>
        <w:ind w:left="460" w:right="80" w:firstLine="431"/>
        <w:spacing w:after="0" w:line="265" w:lineRule="auto"/>
        <w:tabs>
          <w:tab w:leader="none" w:pos="1115"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until the earlier of (i) two (2) years after the Effective Date or (ii) such time as the Purchaser’s collectively hold less than 10% of the Securities issued pursuant to this Agreement, the Company shall be prohibited from effecting or entering into an agreement to effect any Subsequent Financing involving a Variable Rate Transaction. “</w:t>
      </w:r>
      <w:r>
        <w:rPr>
          <w:rFonts w:ascii="Times New Roman" w:cs="Times New Roman" w:eastAsia="Times New Roman" w:hAnsi="Times New Roman"/>
          <w:sz w:val="15"/>
          <w:szCs w:val="15"/>
          <w:u w:val="single" w:color="auto"/>
          <w:color w:val="auto"/>
        </w:rPr>
        <w:t>Variable Rate Transaction</w:t>
      </w:r>
      <w:r>
        <w:rPr>
          <w:rFonts w:ascii="Times New Roman" w:cs="Times New Roman" w:eastAsia="Times New Roman" w:hAnsi="Times New Roman"/>
          <w:sz w:val="15"/>
          <w:szCs w:val="15"/>
          <w:color w:val="auto"/>
        </w:rPr>
        <w:t>” means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whereby the Company may sell securities at a future determined price. Any Purchaser shall be entitled to obtain injunctive relief against the Company to preclude any such issuance, which remedy shall be in addition to any right to collect damages.</w:t>
      </w:r>
    </w:p>
    <w:p>
      <w:pPr>
        <w:spacing w:after="0" w:line="47" w:lineRule="exact"/>
        <w:rPr>
          <w:rFonts w:ascii="Times New Roman" w:cs="Times New Roman" w:eastAsia="Times New Roman" w:hAnsi="Times New Roman"/>
          <w:sz w:val="15"/>
          <w:szCs w:val="15"/>
          <w:color w:val="auto"/>
        </w:rPr>
      </w:pPr>
    </w:p>
    <w:p>
      <w:pPr>
        <w:ind w:left="1100" w:hanging="209"/>
        <w:spacing w:after="0"/>
        <w:tabs>
          <w:tab w:leader="none" w:pos="11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this Section 4.11 shall not apply in respect of an Exempt Issuance, except that no Variable Rate Transaction shall be an Exempt Issuance.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20"/>
          </w:cols>
          <w:pgMar w:left="240" w:top="258" w:right="239" w:bottom="1440" w:gutter="0" w:footer="0" w:header="0"/>
        </w:sectPr>
      </w:pPr>
    </w:p>
    <w:bookmarkStart w:id="29" w:name="page30"/>
    <w:bookmarkEnd w:id="29"/>
    <w:p>
      <w:pPr>
        <w:ind w:right="20" w:firstLine="457"/>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4.12 </w:t>
      </w:r>
      <w:r>
        <w:rPr>
          <w:rFonts w:ascii="Times New Roman" w:cs="Times New Roman" w:eastAsia="Times New Roman" w:hAnsi="Times New Roman"/>
          <w:sz w:val="15"/>
          <w:szCs w:val="15"/>
          <w:u w:val="single" w:color="auto"/>
          <w:color w:val="auto"/>
        </w:rPr>
        <w:t>Short Sales and Confidentiality After The Date Hereof</w:t>
      </w:r>
      <w:r>
        <w:rPr>
          <w:rFonts w:ascii="Times New Roman" w:cs="Times New Roman" w:eastAsia="Times New Roman" w:hAnsi="Times New Roman"/>
          <w:sz w:val="15"/>
          <w:szCs w:val="15"/>
          <w:color w:val="auto"/>
        </w:rPr>
        <w:t>. Each Purchaser, severally and not jointly with the other Purchasers, covenants that neither it nor any Affiliate acting on its behalf or pursuant to any understanding with it have executed or will execute any Short Sales during the period commencing at the Discussion Time and ending at the time that the transactions contemplated by this Agreement are first publicly announced as described in Section 4.4. Each Purchaser, severally and not jointly with the other Purchasers, covenants that until such time as the transactions contemplated by this Agreement are publicly disclosed by the Company as described in Section 4.4, such Purchaser has maintained and will maintain the confidentiality of the existence and terms of this transaction and the information included in the Disclosure Schedules. Each Purchaser severally and not jointly with any other Purchaser, understands and acknowledges, and agrees, to act in a manner that will not violate the positions of the Commission as set forth in Item 65, Section A, of the Manual of Publicly Available Telephone Interpretations, dated July 1997, compiled by the Office of Chief Counsel, Division of Corporation Finance.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19" w:lineRule="exact"/>
        <w:rPr>
          <w:sz w:val="20"/>
          <w:szCs w:val="20"/>
          <w:color w:val="auto"/>
        </w:rPr>
      </w:pPr>
    </w:p>
    <w:p>
      <w:pPr>
        <w:ind w:right="60" w:firstLine="457"/>
        <w:spacing w:after="0" w:line="297"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Delivery of Shares After Closing</w:t>
      </w:r>
      <w:r>
        <w:rPr>
          <w:rFonts w:ascii="Times New Roman" w:cs="Times New Roman" w:eastAsia="Times New Roman" w:hAnsi="Times New Roman"/>
          <w:sz w:val="15"/>
          <w:szCs w:val="15"/>
          <w:color w:val="auto"/>
        </w:rPr>
        <w:t>. The Company shall deliver, or cause to be delivered, the respective Shares purchased by each Purchaser to such Purchaser within 3 Trading Days of the Closing Date.</w:t>
      </w:r>
    </w:p>
    <w:p>
      <w:pPr>
        <w:spacing w:after="0" w:line="90" w:lineRule="exact"/>
        <w:rPr>
          <w:sz w:val="20"/>
          <w:szCs w:val="20"/>
          <w:color w:val="auto"/>
        </w:rPr>
      </w:pPr>
    </w:p>
    <w:p>
      <w:pPr>
        <w:ind w:firstLine="457"/>
        <w:spacing w:after="0" w:line="273" w:lineRule="auto"/>
        <w:rPr>
          <w:sz w:val="20"/>
          <w:szCs w:val="20"/>
          <w:color w:val="auto"/>
        </w:rPr>
      </w:pPr>
      <w:r>
        <w:rPr>
          <w:rFonts w:ascii="Times New Roman" w:cs="Times New Roman" w:eastAsia="Times New Roman" w:hAnsi="Times New Roman"/>
          <w:sz w:val="15"/>
          <w:szCs w:val="15"/>
          <w:color w:val="auto"/>
        </w:rPr>
        <w:t xml:space="preserve">4.14 </w:t>
      </w:r>
      <w:r>
        <w:rPr>
          <w:rFonts w:ascii="Times New Roman" w:cs="Times New Roman" w:eastAsia="Times New Roman" w:hAnsi="Times New Roman"/>
          <w:sz w:val="15"/>
          <w:szCs w:val="15"/>
          <w:u w:val="single" w:color="auto"/>
          <w:color w:val="auto"/>
        </w:rPr>
        <w:t>Form D; Blue Sky Filings</w:t>
      </w:r>
      <w:r>
        <w:rPr>
          <w:rFonts w:ascii="Times New Roman" w:cs="Times New Roman" w:eastAsia="Times New Roman" w:hAnsi="Times New Roman"/>
          <w:sz w:val="15"/>
          <w:szCs w:val="15"/>
          <w:color w:val="auto"/>
        </w:rPr>
        <w:t>. The Company agrees to timely file a Form D with respect to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spacing w:after="0" w:line="108" w:lineRule="exact"/>
        <w:rPr>
          <w:sz w:val="20"/>
          <w:szCs w:val="20"/>
          <w:color w:val="auto"/>
        </w:rPr>
      </w:pPr>
    </w:p>
    <w:p>
      <w:pPr>
        <w:ind w:right="280" w:firstLine="457"/>
        <w:spacing w:after="0" w:line="297" w:lineRule="auto"/>
        <w:rPr>
          <w:sz w:val="20"/>
          <w:szCs w:val="20"/>
          <w:color w:val="auto"/>
        </w:rPr>
      </w:pPr>
      <w:r>
        <w:rPr>
          <w:rFonts w:ascii="Times New Roman" w:cs="Times New Roman" w:eastAsia="Times New Roman" w:hAnsi="Times New Roman"/>
          <w:sz w:val="15"/>
          <w:szCs w:val="15"/>
          <w:color w:val="auto"/>
        </w:rPr>
        <w:t xml:space="preserve">4.15 </w:t>
      </w:r>
      <w:r>
        <w:rPr>
          <w:rFonts w:ascii="Times New Roman" w:cs="Times New Roman" w:eastAsia="Times New Roman" w:hAnsi="Times New Roman"/>
          <w:sz w:val="15"/>
          <w:szCs w:val="15"/>
          <w:u w:val="single" w:color="auto"/>
          <w:color w:val="auto"/>
        </w:rPr>
        <w:t>Capital Changes</w:t>
      </w:r>
      <w:r>
        <w:rPr>
          <w:rFonts w:ascii="Times New Roman" w:cs="Times New Roman" w:eastAsia="Times New Roman" w:hAnsi="Times New Roman"/>
          <w:sz w:val="15"/>
          <w:szCs w:val="15"/>
          <w:color w:val="auto"/>
        </w:rPr>
        <w:t>. Until the one year anniversary of the Effective Date, the Company shall not undertake a reverse or forward stock split or reclassification of the Common Stock without the prior written consent of the Purchasers holding a majority in interest of the Shares.</w:t>
      </w:r>
    </w:p>
    <w:p>
      <w:pPr>
        <w:spacing w:after="0" w:line="90" w:lineRule="exact"/>
        <w:rPr>
          <w:sz w:val="20"/>
          <w:szCs w:val="20"/>
          <w:color w:val="auto"/>
        </w:rPr>
      </w:pPr>
    </w:p>
    <w:p>
      <w:pPr>
        <w:ind w:right="140" w:firstLine="457"/>
        <w:spacing w:after="0" w:line="279" w:lineRule="auto"/>
        <w:rPr>
          <w:sz w:val="20"/>
          <w:szCs w:val="20"/>
          <w:color w:val="auto"/>
        </w:rPr>
      </w:pPr>
      <w:r>
        <w:rPr>
          <w:rFonts w:ascii="Times New Roman" w:cs="Times New Roman" w:eastAsia="Times New Roman" w:hAnsi="Times New Roman"/>
          <w:sz w:val="15"/>
          <w:szCs w:val="15"/>
          <w:color w:val="auto"/>
        </w:rPr>
        <w:t xml:space="preserve">4.16 </w:t>
      </w:r>
      <w:r>
        <w:rPr>
          <w:rFonts w:ascii="Times New Roman" w:cs="Times New Roman" w:eastAsia="Times New Roman" w:hAnsi="Times New Roman"/>
          <w:sz w:val="15"/>
          <w:szCs w:val="15"/>
          <w:u w:val="single" w:color="auto"/>
          <w:color w:val="auto"/>
        </w:rPr>
        <w:t>Participation in Future Financing</w:t>
      </w:r>
      <w:r>
        <w:rPr>
          <w:rFonts w:ascii="Times New Roman" w:cs="Times New Roman" w:eastAsia="Times New Roman" w:hAnsi="Times New Roman"/>
          <w:sz w:val="15"/>
          <w:szCs w:val="15"/>
          <w:color w:val="auto"/>
        </w:rPr>
        <w:t>. From the date hereof until the date that is the 12 month anniversary of the Effective Date, upon any issuance by the Company or any of its Subsidiaries of Common Stock or Common Stock Equivalents for cash consideration (a “Subsequent Financing”), each Purchaser shall have the right to participate in the Subsequent Financing up to an amount equal to 30% of the Subsequent Financing (the “Participation Maximum”) on the same terms, conditions and price provided for in the Subsequent Financing.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40"/>
          </w:cols>
          <w:pgMar w:left="240" w:top="258" w:right="219" w:bottom="1440" w:gutter="0" w:footer="0" w:header="0"/>
        </w:sectPr>
      </w:pPr>
    </w:p>
    <w:bookmarkStart w:id="30" w:name="page31"/>
    <w:bookmarkEnd w:id="30"/>
    <w:p>
      <w:pPr>
        <w:ind w:right="20" w:firstLine="431"/>
        <w:spacing w:after="0" w:line="268" w:lineRule="auto"/>
        <w:tabs>
          <w:tab w:leader="none" w:pos="647"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At least 5 Trading Days prior to the closing of the Subsequent Financing, the Company shall deliver to each Purchaser a written notice of its intention to effect a Subsequent Financing (“</w:t>
      </w:r>
      <w:r>
        <w:rPr>
          <w:rFonts w:ascii="Times New Roman" w:cs="Times New Roman" w:eastAsia="Times New Roman" w:hAnsi="Times New Roman"/>
          <w:sz w:val="15"/>
          <w:szCs w:val="15"/>
          <w:u w:val="single" w:color="auto"/>
          <w:color w:val="auto"/>
        </w:rPr>
        <w:t>Pre-Notice</w:t>
      </w:r>
      <w:r>
        <w:rPr>
          <w:rFonts w:ascii="Times New Roman" w:cs="Times New Roman" w:eastAsia="Times New Roman" w:hAnsi="Times New Roman"/>
          <w:sz w:val="15"/>
          <w:szCs w:val="15"/>
          <w:color w:val="auto"/>
        </w:rPr>
        <w:t>”), which Pre-Notice shall ask such Purchaser if it wants to review the details of such financing (such additional notice, a “</w:t>
      </w:r>
      <w:r>
        <w:rPr>
          <w:rFonts w:ascii="Times New Roman" w:cs="Times New Roman" w:eastAsia="Times New Roman" w:hAnsi="Times New Roman"/>
          <w:sz w:val="15"/>
          <w:szCs w:val="15"/>
          <w:u w:val="single" w:color="auto"/>
          <w:color w:val="auto"/>
        </w:rPr>
        <w:t>Subsequent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Financing Notice</w:t>
      </w:r>
      <w:r>
        <w:rPr>
          <w:rFonts w:ascii="Times New Roman" w:cs="Times New Roman" w:eastAsia="Times New Roman" w:hAnsi="Times New Roman"/>
          <w:sz w:val="15"/>
          <w:szCs w:val="15"/>
          <w:color w:val="auto"/>
        </w:rPr>
        <w:t>”). Upon the request of a Purchaser, and only upon a request by such Purchaser, for a Subsequent Financing Notice, the Company shall promptly, but no later than 1 Trading Day after such request, deliver a Subsequent Financing Notice to such Purchaser. The Subsequent Financing Notice shall describe in reasonable detail the proposed terms of such Subsequent Financing, the amount of proceeds intended to be raised thereunder and the Person or Persons through or with whom such Subsequent Financing is proposed to be effected and shall include a term sheet or similar document relating thereto as an attachment.</w:t>
      </w:r>
    </w:p>
    <w:p>
      <w:pPr>
        <w:spacing w:after="0" w:line="42" w:lineRule="exact"/>
        <w:rPr>
          <w:rFonts w:ascii="Times New Roman" w:cs="Times New Roman" w:eastAsia="Times New Roman" w:hAnsi="Times New Roman"/>
          <w:sz w:val="15"/>
          <w:szCs w:val="15"/>
          <w:color w:val="auto"/>
        </w:rPr>
      </w:pPr>
    </w:p>
    <w:p>
      <w:pPr>
        <w:ind w:firstLine="431"/>
        <w:spacing w:after="0" w:line="262" w:lineRule="auto"/>
        <w:tabs>
          <w:tab w:leader="none" w:pos="65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Purchaser desiring to participate in such Subsequent Financing must provide written notice to the Company by not later than 5:30 p.m. (New York City time) on the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Trading Day after all of the Purchasers have received the Pre-Notice that the Purchaser is willing to participate in the Subsequent Financing, the amount of the Purchaser’s participation, and that the Purchaser has such funds ready, willing, and available for investment on the terms set forth in the Subsequent Financing Notice. If the Company receives no notice from a Purchaser as of such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Trading Day, such Purchaser shall be deemed to have notified the Company that it does not elect to participate.</w:t>
      </w:r>
    </w:p>
    <w:p>
      <w:pPr>
        <w:spacing w:after="0" w:line="27" w:lineRule="exact"/>
        <w:rPr>
          <w:rFonts w:ascii="Times New Roman" w:cs="Times New Roman" w:eastAsia="Times New Roman" w:hAnsi="Times New Roman"/>
          <w:sz w:val="15"/>
          <w:szCs w:val="15"/>
          <w:color w:val="auto"/>
        </w:rPr>
      </w:pPr>
    </w:p>
    <w:p>
      <w:pPr>
        <w:jc w:val="both"/>
        <w:ind w:firstLine="431"/>
        <w:spacing w:after="0" w:line="234" w:lineRule="auto"/>
        <w:tabs>
          <w:tab w:leader="none" w:pos="647"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by 5:30 p.m. (New York City time) on the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spacing w:after="0" w:line="108" w:lineRule="exact"/>
        <w:rPr>
          <w:rFonts w:ascii="Times New Roman" w:cs="Times New Roman" w:eastAsia="Times New Roman" w:hAnsi="Times New Roman"/>
          <w:sz w:val="15"/>
          <w:szCs w:val="15"/>
          <w:color w:val="auto"/>
        </w:rPr>
      </w:pPr>
    </w:p>
    <w:p>
      <w:pPr>
        <w:ind w:right="60" w:firstLine="431"/>
        <w:spacing w:after="0" w:line="238" w:lineRule="auto"/>
        <w:tabs>
          <w:tab w:leader="none" w:pos="65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by 5:30 p.m. (New York City time) on the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Trading Day after all of the Purchasers have received the Pre-Notice,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Times New Roman" w:cs="Times New Roman" w:eastAsia="Times New Roman" w:hAnsi="Times New Roman"/>
          <w:sz w:val="15"/>
          <w:szCs w:val="15"/>
          <w:u w:val="single" w:color="auto"/>
          <w:color w:val="auto"/>
        </w:rPr>
        <w:t>Pro Rata Portion</w:t>
      </w:r>
      <w:r>
        <w:rPr>
          <w:rFonts w:ascii="Times New Roman" w:cs="Times New Roman" w:eastAsia="Times New Roman" w:hAnsi="Times New Roman"/>
          <w:sz w:val="15"/>
          <w:szCs w:val="15"/>
          <w:color w:val="auto"/>
        </w:rPr>
        <w:t>” means the ratio of (x) the Subscription Amount of Securities purchased on the Closing Date by a Purchaser participating under this Section 4.12 and (y) the sum of the aggregate Subscription Amounts of Securities purchased on the Closing Date by all Purchasers participating under this Section 4.16.</w:t>
      </w:r>
    </w:p>
    <w:p>
      <w:pPr>
        <w:spacing w:after="0" w:line="85" w:lineRule="exact"/>
        <w:rPr>
          <w:rFonts w:ascii="Times New Roman" w:cs="Times New Roman" w:eastAsia="Times New Roman" w:hAnsi="Times New Roman"/>
          <w:sz w:val="15"/>
          <w:szCs w:val="15"/>
          <w:color w:val="auto"/>
        </w:rPr>
      </w:pPr>
    </w:p>
    <w:p>
      <w:pPr>
        <w:ind w:right="160" w:firstLine="431"/>
        <w:spacing w:after="0" w:line="279" w:lineRule="auto"/>
        <w:tabs>
          <w:tab w:leader="none" w:pos="647"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must provide the Purchasers with a second Subsequent Financing Notice, and the Purchasers will again have the right of participation set forth above in this Section 4.16, if the Subsequent Financing subject to the initial Subsequent Financing Notice is not consummated for any reason on the terms set forth in such Subsequent Financing Notice within 60 Trading Days after the date of the initial Subsequent Financing Notice.</w:t>
      </w:r>
    </w:p>
    <w:p>
      <w:pPr>
        <w:spacing w:after="0" w:line="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960"/>
          </w:cols>
          <w:pgMar w:left="700" w:top="258" w:right="239" w:bottom="1440" w:gutter="0" w:footer="0" w:header="0"/>
        </w:sectPr>
      </w:pPr>
    </w:p>
    <w:bookmarkStart w:id="31" w:name="page32"/>
    <w:bookmarkEnd w:id="31"/>
    <w:p>
      <w:pPr>
        <w:ind w:left="9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 Notwithstanding the foregoing, this Section 4.16 shall not apply in respect of (i) an Exempt Issuance or (ii) an underwritten public offering of Common Stock.</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ARTICLE V.</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MISCELLANEOUS</w:t>
      </w:r>
    </w:p>
    <w:p>
      <w:pPr>
        <w:spacing w:after="0" w:line="146" w:lineRule="exact"/>
        <w:rPr>
          <w:sz w:val="20"/>
          <w:szCs w:val="20"/>
          <w:color w:val="auto"/>
        </w:rPr>
      </w:pPr>
    </w:p>
    <w:p>
      <w:pPr>
        <w:ind w:right="20" w:firstLine="457"/>
        <w:spacing w:after="0" w:line="279"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August 14, 2007;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 such termination will affect the right of any party to sue for any breach by the other party (or parties).</w:t>
      </w:r>
    </w:p>
    <w:p>
      <w:pPr>
        <w:spacing w:after="0" w:line="103" w:lineRule="exact"/>
        <w:rPr>
          <w:sz w:val="20"/>
          <w:szCs w:val="20"/>
          <w:color w:val="auto"/>
        </w:rPr>
      </w:pPr>
    </w:p>
    <w:p>
      <w:pPr>
        <w:ind w:right="40" w:firstLine="457"/>
        <w:spacing w:after="0" w:line="270"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u w:val="single" w:color="auto"/>
          <w:color w:val="auto"/>
        </w:rPr>
        <w:t>Fees and Expenses</w:t>
      </w:r>
      <w:r>
        <w:rPr>
          <w:rFonts w:ascii="Times New Roman" w:cs="Times New Roman" w:eastAsia="Times New Roman" w:hAnsi="Times New Roman"/>
          <w:sz w:val="15"/>
          <w:szCs w:val="15"/>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provided, that the Company shall reimburse Steelhead Investments Ltd. (or its designee(s)) for up to $5,000 for its reasonable legal fees and disbursements incurred in connection with the transactions contemplated by this Agreement. The Company shall pay all Transfer Agent fees, stamp taxes and other taxes and duties levied in connection with the delivery of any Shares to the Purchasers.</w:t>
      </w:r>
    </w:p>
    <w:p>
      <w:pPr>
        <w:spacing w:after="0" w:line="110" w:lineRule="exact"/>
        <w:rPr>
          <w:sz w:val="20"/>
          <w:szCs w:val="20"/>
          <w:color w:val="auto"/>
        </w:rPr>
      </w:pPr>
    </w:p>
    <w:p>
      <w:pPr>
        <w:ind w:firstLine="457"/>
        <w:spacing w:after="0" w:line="279"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03"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prior to 5:30 p.m. (New York City time) on a Trading Day, (b) the next Trading Day after the date of transmission, if such notice or communication is delivered via facsimile at the facsimile</w:t>
      </w:r>
    </w:p>
    <w:p>
      <w:pPr>
        <w:jc w:val="both"/>
        <w:ind w:right="300"/>
        <w:spacing w:after="0" w:line="234" w:lineRule="auto"/>
        <w:rPr>
          <w:sz w:val="20"/>
          <w:szCs w:val="20"/>
          <w:color w:val="auto"/>
        </w:rPr>
      </w:pPr>
      <w:r>
        <w:rPr>
          <w:rFonts w:ascii="Times New Roman" w:cs="Times New Roman" w:eastAsia="Times New Roman" w:hAnsi="Times New Roman"/>
          <w:sz w:val="15"/>
          <w:szCs w:val="15"/>
          <w:color w:val="auto"/>
        </w:rPr>
        <w:t>number set forth on the signature pages attached hereto on a day that is not a Trading Day or later than 5:30 p.m. (New York City time) on any Trading Day, (c) the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5"/>
          <w:szCs w:val="15"/>
          <w:color w:val="auto"/>
        </w:rPr>
        <w:t xml:space="preserve">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55" w:lineRule="exact"/>
        <w:rPr>
          <w:sz w:val="20"/>
          <w:szCs w:val="20"/>
          <w:color w:val="auto"/>
        </w:rPr>
      </w:pPr>
    </w:p>
    <w:p>
      <w:pPr>
        <w:ind w:right="80" w:firstLine="457"/>
        <w:spacing w:after="0" w:line="279"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u w:val="single" w:color="auto"/>
          <w:color w:val="auto"/>
        </w:rPr>
        <w:t>Amendments; Waivers</w:t>
      </w:r>
      <w:r>
        <w:rPr>
          <w:rFonts w:ascii="Times New Roman" w:cs="Times New Roman" w:eastAsia="Times New Roman" w:hAnsi="Times New Roman"/>
          <w:sz w:val="15"/>
          <w:szCs w:val="15"/>
          <w:color w:val="auto"/>
        </w:rPr>
        <w:t>. No provision of this Agreement may be waived or amended except in a written instrument signed, in the case of an amendment, by the Company and the Purchasers of at least 67% of the Shares still held by the Purchasers or, in the case of a waiver, by the party against whom enforcement of any such waived provision is sought. No waiver of any default with respect to any provision, condition or requirement of this Agreement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360"/>
          </w:cols>
          <w:pgMar w:left="240" w:top="258" w:right="299" w:bottom="1440" w:gutter="0" w:footer="0" w:header="0"/>
        </w:sectPr>
      </w:pPr>
    </w:p>
    <w:bookmarkStart w:id="32" w:name="page33"/>
    <w:bookmarkEnd w:id="32"/>
    <w:p>
      <w:pPr>
        <w:ind w:right="18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90" w:lineRule="exact"/>
        <w:rPr>
          <w:sz w:val="20"/>
          <w:szCs w:val="20"/>
          <w:color w:val="auto"/>
        </w:rPr>
      </w:pPr>
    </w:p>
    <w:p>
      <w:pPr>
        <w:ind w:right="60" w:firstLine="457"/>
        <w:spacing w:after="0" w:line="292" w:lineRule="auto"/>
        <w:rPr>
          <w:sz w:val="20"/>
          <w:szCs w:val="20"/>
          <w:color w:val="auto"/>
        </w:rPr>
      </w:pPr>
      <w:r>
        <w:rPr>
          <w:rFonts w:ascii="Times New Roman" w:cs="Times New Roman" w:eastAsia="Times New Roman" w:hAnsi="Times New Roman"/>
          <w:sz w:val="15"/>
          <w:szCs w:val="15"/>
          <w:color w:val="auto"/>
        </w:rPr>
        <w:t xml:space="preserve">5.6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285" w:lineRule="exact"/>
        <w:rPr>
          <w:sz w:val="20"/>
          <w:szCs w:val="20"/>
          <w:color w:val="auto"/>
        </w:rPr>
      </w:pPr>
    </w:p>
    <w:p>
      <w:pPr>
        <w:ind w:right="40" w:firstLine="457"/>
        <w:spacing w:after="0" w:line="273"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or otherwise by operation of law). Any Purchaser may assign any or all of its rights under this Agreement to any Person to whom such Purchaser assigns or transfers any Shares, provided such transferee agrees in writing to be bound, with respect to the transferred Shares, by the provisions of the Transaction Documents that apply to the “Purchasers.”</w:t>
      </w:r>
    </w:p>
    <w:p>
      <w:pPr>
        <w:spacing w:after="0" w:line="108"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15"/>
          <w:szCs w:val="15"/>
          <w:u w:val="single" w:color="auto"/>
          <w:color w:val="auto"/>
        </w:rPr>
        <w:t>No Third-Party Beneficiaries</w:t>
      </w:r>
      <w:r>
        <w:rPr>
          <w:rFonts w:ascii="Times New Roman" w:cs="Times New Roman" w:eastAsia="Times New Roman" w:hAnsi="Times New Roman"/>
          <w:sz w:val="15"/>
          <w:szCs w:val="15"/>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pacing w:after="0" w:line="90" w:lineRule="exact"/>
        <w:rPr>
          <w:sz w:val="20"/>
          <w:szCs w:val="20"/>
          <w:color w:val="auto"/>
        </w:rPr>
      </w:pPr>
    </w:p>
    <w:p>
      <w:pPr>
        <w:ind w:firstLine="457"/>
        <w:spacing w:after="0" w:line="264" w:lineRule="auto"/>
        <w:rPr>
          <w:sz w:val="20"/>
          <w:szCs w:val="20"/>
          <w:color w:val="auto"/>
        </w:rPr>
      </w:pPr>
      <w:r>
        <w:rPr>
          <w:rFonts w:ascii="Times New Roman" w:cs="Times New Roman" w:eastAsia="Times New Roman" w:hAnsi="Times New Roman"/>
          <w:sz w:val="15"/>
          <w:szCs w:val="15"/>
          <w:color w:val="auto"/>
        </w:rPr>
        <w:t xml:space="preserve">5.9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00"/>
          </w:cols>
          <w:pgMar w:left="240" w:top="258" w:right="25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5.10 </w:t>
      </w:r>
      <w:r>
        <w:rPr>
          <w:rFonts w:ascii="Times New Roman" w:cs="Times New Roman" w:eastAsia="Times New Roman" w:hAnsi="Times New Roman"/>
          <w:sz w:val="15"/>
          <w:szCs w:val="15"/>
          <w:u w:val="single" w:color="auto"/>
          <w:color w:val="auto"/>
        </w:rPr>
        <w:t>Survival</w:t>
      </w:r>
      <w:r>
        <w:rPr>
          <w:rFonts w:ascii="Times New Roman" w:cs="Times New Roman" w:eastAsia="Times New Roman" w:hAnsi="Times New Roman"/>
          <w:sz w:val="15"/>
          <w:szCs w:val="15"/>
          <w:color w:val="auto"/>
        </w:rPr>
        <w:t>. The representations and warranties contained herein shall survive the Closing and the delivery of the Shares.</w:t>
      </w:r>
    </w:p>
    <w:p>
      <w:pPr>
        <w:spacing w:after="0" w:line="156" w:lineRule="exact"/>
        <w:rPr>
          <w:sz w:val="20"/>
          <w:szCs w:val="20"/>
          <w:color w:val="auto"/>
        </w:rPr>
      </w:pPr>
    </w:p>
    <w:p>
      <w:pPr>
        <w:jc w:val="both"/>
        <w:ind w:firstLine="457"/>
        <w:spacing w:after="0" w:line="273" w:lineRule="auto"/>
        <w:rPr>
          <w:sz w:val="20"/>
          <w:szCs w:val="20"/>
          <w:color w:val="auto"/>
        </w:rPr>
      </w:pPr>
      <w:r>
        <w:rPr>
          <w:rFonts w:ascii="Times New Roman" w:cs="Times New Roman" w:eastAsia="Times New Roman" w:hAnsi="Times New Roman"/>
          <w:sz w:val="15"/>
          <w:szCs w:val="15"/>
          <w:color w:val="auto"/>
        </w:rPr>
        <w:t xml:space="preserve">5.11 </w:t>
      </w:r>
      <w:r>
        <w:rPr>
          <w:rFonts w:ascii="Times New Roman" w:cs="Times New Roman" w:eastAsia="Times New Roman" w:hAnsi="Times New Roman"/>
          <w:sz w:val="15"/>
          <w:szCs w:val="15"/>
          <w:u w:val="single" w:color="auto"/>
          <w:color w:val="auto"/>
        </w:rPr>
        <w:t>Execution</w:t>
      </w:r>
      <w:r>
        <w:rPr>
          <w:rFonts w:ascii="Times New Roman" w:cs="Times New Roman" w:eastAsia="Times New Roman" w:hAnsi="Times New Roman"/>
          <w:sz w:val="15"/>
          <w:szCs w:val="15"/>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or “.tif” format data file, such signature shall create a valid and binding obligation of the party executing (or on whose behalf such signature is executed) with the same force and effect as if such facsimile or “.pdf” or “.tif” signature page were an original thereof.</w:t>
      </w:r>
    </w:p>
    <w:p>
      <w:pPr>
        <w:spacing w:after="0" w:line="108" w:lineRule="exact"/>
        <w:rPr>
          <w:sz w:val="20"/>
          <w:szCs w:val="20"/>
          <w:color w:val="auto"/>
        </w:rPr>
      </w:pPr>
    </w:p>
    <w:p>
      <w:pPr>
        <w:ind w:right="100" w:firstLine="457"/>
        <w:spacing w:after="0" w:line="270" w:lineRule="auto"/>
        <w:rPr>
          <w:sz w:val="20"/>
          <w:szCs w:val="20"/>
          <w:color w:val="auto"/>
        </w:rPr>
      </w:pPr>
      <w:r>
        <w:rPr>
          <w:rFonts w:ascii="Times New Roman" w:cs="Times New Roman" w:eastAsia="Times New Roman" w:hAnsi="Times New Roman"/>
          <w:sz w:val="15"/>
          <w:szCs w:val="15"/>
          <w:color w:val="auto"/>
        </w:rPr>
        <w:t xml:space="preserve">5.12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10" w:lineRule="exact"/>
        <w:rPr>
          <w:sz w:val="20"/>
          <w:szCs w:val="20"/>
          <w:color w:val="auto"/>
        </w:rPr>
      </w:pPr>
    </w:p>
    <w:p>
      <w:pPr>
        <w:ind w:right="80" w:firstLine="457"/>
        <w:spacing w:after="0" w:line="273" w:lineRule="auto"/>
        <w:rPr>
          <w:sz w:val="20"/>
          <w:szCs w:val="20"/>
          <w:color w:val="auto"/>
        </w:rPr>
      </w:pPr>
      <w:r>
        <w:rPr>
          <w:rFonts w:ascii="Times New Roman" w:cs="Times New Roman" w:eastAsia="Times New Roman" w:hAnsi="Times New Roman"/>
          <w:sz w:val="15"/>
          <w:szCs w:val="15"/>
          <w:color w:val="auto"/>
        </w:rPr>
        <w:t xml:space="preserve">5.13 </w:t>
      </w:r>
      <w:r>
        <w:rPr>
          <w:rFonts w:ascii="Times New Roman" w:cs="Times New Roman" w:eastAsia="Times New Roman" w:hAnsi="Times New Roman"/>
          <w:sz w:val="15"/>
          <w:szCs w:val="15"/>
          <w:u w:val="single" w:color="auto"/>
          <w:color w:val="auto"/>
        </w:rPr>
        <w:t>Rescission and Withdrawal Right</w:t>
      </w:r>
      <w:r>
        <w:rPr>
          <w:rFonts w:ascii="Times New Roman" w:cs="Times New Roman" w:eastAsia="Times New Roman" w:hAnsi="Times New Roman"/>
          <w:sz w:val="15"/>
          <w:szCs w:val="15"/>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08" w:lineRule="exact"/>
        <w:rPr>
          <w:sz w:val="20"/>
          <w:szCs w:val="20"/>
          <w:color w:val="auto"/>
        </w:rPr>
      </w:pPr>
    </w:p>
    <w:p>
      <w:pPr>
        <w:ind w:right="340" w:firstLine="457"/>
        <w:spacing w:after="0" w:line="273" w:lineRule="auto"/>
        <w:rPr>
          <w:sz w:val="20"/>
          <w:szCs w:val="20"/>
          <w:color w:val="auto"/>
        </w:rPr>
      </w:pPr>
      <w:r>
        <w:rPr>
          <w:rFonts w:ascii="Times New Roman" w:cs="Times New Roman" w:eastAsia="Times New Roman" w:hAnsi="Times New Roman"/>
          <w:sz w:val="15"/>
          <w:szCs w:val="15"/>
          <w:color w:val="auto"/>
        </w:rPr>
        <w:t xml:space="preserve">5.14 </w:t>
      </w:r>
      <w:r>
        <w:rPr>
          <w:rFonts w:ascii="Times New Roman" w:cs="Times New Roman" w:eastAsia="Times New Roman" w:hAnsi="Times New Roman"/>
          <w:sz w:val="15"/>
          <w:szCs w:val="15"/>
          <w:u w:val="single" w:color="auto"/>
          <w:color w:val="auto"/>
        </w:rPr>
        <w:t>Replacement of Shares</w:t>
      </w:r>
      <w:r>
        <w:rPr>
          <w:rFonts w:ascii="Times New Roman" w:cs="Times New Roman" w:eastAsia="Times New Roman" w:hAnsi="Times New Roman"/>
          <w:sz w:val="15"/>
          <w:szCs w:val="15"/>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08" w:lineRule="exact"/>
        <w:rPr>
          <w:sz w:val="20"/>
          <w:szCs w:val="20"/>
          <w:color w:val="auto"/>
        </w:rPr>
      </w:pPr>
    </w:p>
    <w:p>
      <w:pPr>
        <w:jc w:val="both"/>
        <w:ind w:right="20" w:firstLine="457"/>
        <w:spacing w:after="0" w:line="273" w:lineRule="auto"/>
        <w:rPr>
          <w:sz w:val="20"/>
          <w:szCs w:val="20"/>
          <w:color w:val="auto"/>
        </w:rPr>
      </w:pPr>
      <w:r>
        <w:rPr>
          <w:rFonts w:ascii="Times New Roman" w:cs="Times New Roman" w:eastAsia="Times New Roman" w:hAnsi="Times New Roman"/>
          <w:sz w:val="15"/>
          <w:szCs w:val="15"/>
          <w:color w:val="auto"/>
        </w:rPr>
        <w:t xml:space="preserve">5.15 </w:t>
      </w: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agrees to waive and not to assert in any action for specific performance of any such obligation the defense that a remedy at law would be adequate.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00"/>
          </w:cols>
          <w:pgMar w:left="240" w:top="258" w:right="259" w:bottom="1440" w:gutter="0" w:footer="0" w:header="0"/>
        </w:sectPr>
      </w:pPr>
    </w:p>
    <w:bookmarkStart w:id="34" w:name="page35"/>
    <w:bookmarkEnd w:id="34"/>
    <w:p>
      <w:pPr>
        <w:ind w:right="80" w:firstLine="457"/>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5.16 </w:t>
      </w:r>
      <w:r>
        <w:rPr>
          <w:rFonts w:ascii="Times New Roman" w:cs="Times New Roman" w:eastAsia="Times New Roman" w:hAnsi="Times New Roman"/>
          <w:sz w:val="15"/>
          <w:szCs w:val="15"/>
          <w:u w:val="single" w:color="auto"/>
          <w:color w:val="auto"/>
        </w:rPr>
        <w:t>Payment Set Aside</w:t>
      </w:r>
      <w:r>
        <w:rPr>
          <w:rFonts w:ascii="Times New Roman" w:cs="Times New Roman" w:eastAsia="Times New Roman" w:hAnsi="Times New Roman"/>
          <w:sz w:val="15"/>
          <w:szCs w:val="15"/>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10" w:lineRule="exact"/>
        <w:rPr>
          <w:sz w:val="20"/>
          <w:szCs w:val="20"/>
          <w:color w:val="auto"/>
        </w:rPr>
      </w:pPr>
    </w:p>
    <w:p>
      <w:pPr>
        <w:ind w:right="40" w:firstLine="457"/>
        <w:spacing w:after="0" w:line="265" w:lineRule="auto"/>
        <w:rPr>
          <w:sz w:val="20"/>
          <w:szCs w:val="20"/>
          <w:color w:val="auto"/>
        </w:rPr>
      </w:pPr>
      <w:r>
        <w:rPr>
          <w:rFonts w:ascii="Times New Roman" w:cs="Times New Roman" w:eastAsia="Times New Roman" w:hAnsi="Times New Roman"/>
          <w:sz w:val="15"/>
          <w:szCs w:val="15"/>
          <w:color w:val="auto"/>
        </w:rPr>
        <w:t xml:space="preserve">5.17 </w:t>
      </w:r>
      <w:r>
        <w:rPr>
          <w:rFonts w:ascii="Times New Roman" w:cs="Times New Roman" w:eastAsia="Times New Roman" w:hAnsi="Times New Roman"/>
          <w:sz w:val="15"/>
          <w:szCs w:val="15"/>
          <w:u w:val="single" w:color="auto"/>
          <w:color w:val="auto"/>
        </w:rPr>
        <w:t>Independent Nature of Purchasers’ Obligations and Rights</w:t>
      </w:r>
      <w:r>
        <w:rPr>
          <w:rFonts w:ascii="Times New Roman" w:cs="Times New Roman" w:eastAsia="Times New Roman" w:hAnsi="Times New Roman"/>
          <w:sz w:val="15"/>
          <w:szCs w:val="15"/>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their review and negotiation of the Transaction Documents. For reasons of administrative convenience only, Purchasers and their respective counsel have chosen to communicate with the Company through FWS. FWS does not represent all of the Purchasers but only RBC Capital Markets, who has acted as placement agent to the transaction. The Company has elected to provide all Purchasers with the same terms and Transaction Documents for the convenience of the Company and not because it was required or requested to do so by the Purchasers.</w:t>
      </w:r>
    </w:p>
    <w:p>
      <w:pPr>
        <w:spacing w:after="0" w:line="116" w:lineRule="exact"/>
        <w:rPr>
          <w:sz w:val="20"/>
          <w:szCs w:val="20"/>
          <w:color w:val="auto"/>
        </w:rPr>
      </w:pPr>
    </w:p>
    <w:p>
      <w:pPr>
        <w:jc w:val="both"/>
        <w:ind w:right="80" w:firstLine="457"/>
        <w:spacing w:after="0" w:line="279" w:lineRule="auto"/>
        <w:rPr>
          <w:sz w:val="20"/>
          <w:szCs w:val="20"/>
          <w:color w:val="auto"/>
        </w:rPr>
      </w:pPr>
      <w:r>
        <w:rPr>
          <w:rFonts w:ascii="Times New Roman" w:cs="Times New Roman" w:eastAsia="Times New Roman" w:hAnsi="Times New Roman"/>
          <w:sz w:val="15"/>
          <w:szCs w:val="15"/>
          <w:color w:val="auto"/>
        </w:rPr>
        <w:t xml:space="preserve">5.18 </w:t>
      </w:r>
      <w:r>
        <w:rPr>
          <w:rFonts w:ascii="Times New Roman" w:cs="Times New Roman" w:eastAsia="Times New Roman" w:hAnsi="Times New Roman"/>
          <w:sz w:val="15"/>
          <w:szCs w:val="15"/>
          <w:u w:val="single" w:color="auto"/>
          <w:color w:val="auto"/>
        </w:rPr>
        <w:t>Liquidated Damages</w:t>
      </w:r>
      <w:r>
        <w:rPr>
          <w:rFonts w:ascii="Times New Roman" w:cs="Times New Roman" w:eastAsia="Times New Roman" w:hAnsi="Times New Roman"/>
          <w:sz w:val="15"/>
          <w:szCs w:val="15"/>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03" w:lineRule="exact"/>
        <w:rPr>
          <w:sz w:val="20"/>
          <w:szCs w:val="20"/>
          <w:color w:val="auto"/>
        </w:rPr>
      </w:pPr>
    </w:p>
    <w:p>
      <w:pPr>
        <w:ind w:right="220" w:firstLine="457"/>
        <w:spacing w:after="0" w:line="297" w:lineRule="auto"/>
        <w:rPr>
          <w:sz w:val="20"/>
          <w:szCs w:val="20"/>
          <w:color w:val="auto"/>
        </w:rPr>
      </w:pPr>
      <w:r>
        <w:rPr>
          <w:rFonts w:ascii="Times New Roman" w:cs="Times New Roman" w:eastAsia="Times New Roman" w:hAnsi="Times New Roman"/>
          <w:sz w:val="15"/>
          <w:szCs w:val="15"/>
          <w:color w:val="auto"/>
        </w:rPr>
        <w:t xml:space="preserve">5.19 </w:t>
      </w:r>
      <w:r>
        <w:rPr>
          <w:rFonts w:ascii="Times New Roman" w:cs="Times New Roman" w:eastAsia="Times New Roman" w:hAnsi="Times New Roman"/>
          <w:sz w:val="15"/>
          <w:szCs w:val="15"/>
          <w:u w:val="single" w:color="auto"/>
          <w:color w:val="auto"/>
        </w:rPr>
        <w:t>Saturdays, Sundays, Holidays</w:t>
      </w:r>
      <w:r>
        <w:rPr>
          <w:rFonts w:ascii="Times New Roman" w:cs="Times New Roman" w:eastAsia="Times New Roman" w:hAnsi="Times New Roman"/>
          <w:sz w:val="15"/>
          <w:szCs w:val="15"/>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9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 xml:space="preserve">5.20 </w:t>
      </w:r>
      <w:r>
        <w:rPr>
          <w:rFonts w:ascii="Times New Roman" w:cs="Times New Roman" w:eastAsia="Times New Roman" w:hAnsi="Times New Roman"/>
          <w:sz w:val="15"/>
          <w:szCs w:val="15"/>
          <w:u w:val="single" w:color="auto"/>
          <w:color w:val="auto"/>
        </w:rPr>
        <w:t>Construction</w:t>
      </w:r>
      <w:r>
        <w:rPr>
          <w:rFonts w:ascii="Times New Roman" w:cs="Times New Roman" w:eastAsia="Times New Roman" w:hAnsi="Times New Roman"/>
          <w:sz w:val="15"/>
          <w:szCs w:val="15"/>
          <w:color w:val="auto"/>
        </w:rPr>
        <w:t>. The parties agree that each of them and/or their respective counsel has reviewed and had an opportunity to revise the Transaction Documents and, therefore, the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380"/>
          </w:cols>
          <w:pgMar w:left="240" w:top="258" w:right="279" w:bottom="1440" w:gutter="0" w:footer="0" w:header="0"/>
        </w:sectPr>
      </w:pPr>
    </w:p>
    <w:bookmarkStart w:id="35" w:name="page36"/>
    <w:bookmarkEnd w:id="35"/>
    <w:p>
      <w:pPr>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normal rule of construction to the effect that any ambiguities are to be resolved against the drafting party shall not be employed in the interpretation of the Transaction Documents or any amendments hereto.</w:t>
      </w:r>
    </w:p>
    <w:p>
      <w:pPr>
        <w:spacing w:after="0" w:line="90" w:lineRule="exact"/>
        <w:rPr>
          <w:sz w:val="20"/>
          <w:szCs w:val="20"/>
          <w:color w:val="auto"/>
        </w:rPr>
      </w:pPr>
    </w:p>
    <w:p>
      <w:pPr>
        <w:ind w:right="200" w:firstLine="457"/>
        <w:spacing w:after="0" w:line="297" w:lineRule="auto"/>
        <w:rPr>
          <w:sz w:val="20"/>
          <w:szCs w:val="20"/>
          <w:color w:val="auto"/>
        </w:rPr>
      </w:pPr>
      <w:r>
        <w:rPr>
          <w:rFonts w:ascii="Times New Roman" w:cs="Times New Roman" w:eastAsia="Times New Roman" w:hAnsi="Times New Roman"/>
          <w:sz w:val="15"/>
          <w:szCs w:val="15"/>
          <w:color w:val="auto"/>
        </w:rPr>
        <w:t xml:space="preserve">5.21 </w:t>
      </w: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i w:val="1"/>
          <w:iCs w:val="1"/>
          <w:color w:val="auto"/>
        </w:rPr>
        <w:t>(Signature Pages Follow)</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320"/>
          </w:cols>
          <w:pgMar w:left="240" w:top="258" w:right="339" w:bottom="1440" w:gutter="0" w:footer="0" w:header="0"/>
        </w:sectPr>
      </w:pPr>
    </w:p>
    <w:bookmarkStart w:id="36" w:name="page37"/>
    <w:bookmarkEnd w:id="36"/>
    <w:p>
      <w:pPr>
        <w:ind w:firstLine="457"/>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ACTIVE POWER, INC.</w:t>
            </w:r>
          </w:p>
        </w:tc>
        <w:tc>
          <w:tcPr>
            <w:tcW w:w="220" w:type="dxa"/>
            <w:vAlign w:val="bottom"/>
          </w:tcPr>
          <w:p>
            <w:pPr>
              <w:spacing w:after="0"/>
              <w:rPr>
                <w:sz w:val="15"/>
                <w:szCs w:val="15"/>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Address for Notice:</w:t>
            </w:r>
          </w:p>
        </w:tc>
        <w:tc>
          <w:tcPr>
            <w:tcW w:w="580" w:type="dxa"/>
            <w:vAlign w:val="bottom"/>
          </w:tcPr>
          <w:p>
            <w:pPr>
              <w:spacing w:after="0"/>
              <w:rPr>
                <w:sz w:val="15"/>
                <w:szCs w:val="15"/>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Jim Clishem</w:t>
            </w:r>
          </w:p>
        </w:tc>
        <w:tc>
          <w:tcPr>
            <w:tcW w:w="22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Active Power, Inc.</w:t>
            </w:r>
          </w:p>
        </w:tc>
      </w:tr>
      <w:tr>
        <w:trPr>
          <w:trHeight w:val="180"/>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Jim Clishem</w:t>
            </w:r>
          </w:p>
        </w:tc>
        <w:tc>
          <w:tcPr>
            <w:tcW w:w="2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2128 W. Braker Lane, BK 12</w:t>
            </w:r>
          </w:p>
        </w:tc>
      </w:t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CEO</w:t>
            </w:r>
          </w:p>
        </w:tc>
        <w:tc>
          <w:tcPr>
            <w:tcW w:w="22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Austin, Texas 78758</w:t>
            </w:r>
          </w:p>
        </w:tc>
      </w:tr>
      <w:tr>
        <w:trPr>
          <w:trHeight w:val="198"/>
        </w:trPr>
        <w:tc>
          <w:tcPr>
            <w:tcW w:w="5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Attn: Chief Financial Officer</w:t>
            </w:r>
          </w:p>
        </w:tc>
      </w:tr>
    </w:tbl>
    <w:p>
      <w:pPr>
        <w:spacing w:after="0" w:line="9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With a copy to (which shall not constitute notice):</w:t>
      </w:r>
    </w:p>
    <w:p>
      <w:pPr>
        <w:spacing w:after="0" w:line="8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Andrews Kurth LLP</w:t>
      </w:r>
    </w:p>
    <w:p>
      <w:pPr>
        <w:spacing w:after="0" w:line="2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111 Congress Avenue, Suite 1700</w:t>
      </w:r>
    </w:p>
    <w:p>
      <w:pPr>
        <w:spacing w:after="0" w:line="1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Austin, Texas 78701</w:t>
      </w:r>
    </w:p>
    <w:p>
      <w:pPr>
        <w:spacing w:after="0" w:line="1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5"/>
          <w:szCs w:val="15"/>
          <w:color w:val="auto"/>
        </w:rPr>
        <w:t>Attn: J. Matthew Lyons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[REMAINDER OF PAGE INTENTIONALLY LEFT BLANK</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SIGNATURE PAGES FOR PURCHASERS FOLLOW]</w:t>
      </w:r>
    </w:p>
    <w:p>
      <w:pPr>
        <w:spacing w:after="0" w:line="1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[Signature Page to Active Power 2007 PIPE Securities Purchase Agreement]</w:t>
      </w:r>
    </w:p>
    <w:p>
      <w:pPr>
        <w:sectPr>
          <w:pgSz w:w="11900" w:h="16838" w:orient="portrait"/>
          <w:cols w:equalWidth="0" w:num="1">
            <w:col w:w="11100"/>
          </w:cols>
          <w:pgMar w:left="240" w:top="258" w:right="559" w:bottom="1440" w:gutter="0" w:footer="0" w:header="0"/>
        </w:sectPr>
      </w:pPr>
    </w:p>
    <w:bookmarkStart w:id="37" w:name="page38"/>
    <w:bookmarkEnd w:id="37"/>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SF Capital Partners Ltd.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Brian H. Davidson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Brian H. Davidson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Managing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Bdavidson@sf.capital.com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414-294-7700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414-294-7000</w:t>
      </w:r>
    </w:p>
    <w:p>
      <w:pPr>
        <w:sectPr>
          <w:pgSz w:w="11900" w:h="16838" w:orient="portrait"/>
          <w:cols w:equalWidth="0" w:num="1">
            <w:col w:w="11020"/>
          </w:cols>
          <w:pgMar w:left="240" w:top="258" w:right="6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Stark Offshore Management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3600 South Lake Drive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 Francis, WI 53235</w:t>
      </w:r>
    </w:p>
    <w:p>
      <w:pPr>
        <w:spacing w:after="0" w:line="193" w:lineRule="exact"/>
        <w:rPr>
          <w:sz w:val="20"/>
          <w:szCs w:val="20"/>
          <w:color w:val="auto"/>
        </w:rPr>
      </w:pPr>
    </w:p>
    <w:p>
      <w:pPr>
        <w:sectPr>
          <w:pgSz w:w="11900" w:h="16838" w:orient="portrait"/>
          <w:cols w:equalWidth="0" w:num="2">
            <w:col w:w="2260" w:space="720"/>
            <w:col w:w="8040"/>
          </w:cols>
          <w:pgMar w:left="240" w:top="25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M&amp;I Wealth Management Investment Coordination Department</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Attention: Jamie Race</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11270 W. Park Place, Suite 400</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Milwaukee, WI 53224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$1,540,000.00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1,100,000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type w:val="continuous"/>
        </w:sectPr>
      </w:pPr>
    </w:p>
    <w:bookmarkStart w:id="38" w:name="page39"/>
    <w:bookmarkEnd w:id="38"/>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Southport Energy Alternatives Fund, 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Grammalva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Grammalva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Sound Energy Partners, Inc. Its Investment Manager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SNegulic@secm.com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203-254-4509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203-254-4500</w:t>
      </w:r>
    </w:p>
    <w:p>
      <w:pPr>
        <w:sectPr>
          <w:pgSz w:w="11900" w:h="16838" w:orient="portrait"/>
          <w:cols w:equalWidth="0" w:num="1">
            <w:col w:w="11020"/>
          </w:cols>
          <w:pgMar w:left="240" w:top="258" w:right="6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Sound Energy Partners,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354 Pequot Ave.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Southport, CT 06590</w:t>
      </w:r>
    </w:p>
    <w:p>
      <w:pPr>
        <w:spacing w:after="0" w:line="193" w:lineRule="exact"/>
        <w:rPr>
          <w:sz w:val="20"/>
          <w:szCs w:val="20"/>
          <w:color w:val="auto"/>
        </w:rPr>
      </w:pPr>
    </w:p>
    <w:p>
      <w:pPr>
        <w:sectPr>
          <w:pgSz w:w="11900" w:h="16838" w:orient="portrait"/>
          <w:cols w:equalWidth="0" w:num="2">
            <w:col w:w="2260" w:space="720"/>
            <w:col w:w="8040"/>
          </w:cols>
          <w:pgMar w:left="240" w:top="25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Morgan Stanley</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c/o Swaine Napier</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2000 Westchester Ave.</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Purchase, NY 10577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$837,060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597,900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type w:val="continuous"/>
        </w:sectPr>
      </w:pPr>
    </w:p>
    <w:bookmarkStart w:id="39" w:name="page40"/>
    <w:bookmarkEnd w:id="39"/>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Southport Energy Alternatives SPV Offshore Fund,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Giammalva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Giammalva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 Sound Energy Partners, Inc. – It’s Investment Advisor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SNegulic@secm.com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203-254-4509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203-254-4500</w:t>
      </w:r>
    </w:p>
    <w:p>
      <w:pPr>
        <w:sectPr>
          <w:pgSz w:w="11900" w:h="16838" w:orient="portrait"/>
          <w:cols w:equalWidth="0" w:num="1">
            <w:col w:w="11020"/>
          </w:cols>
          <w:pgMar w:left="240" w:top="258" w:right="6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Sound Energy Partners,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354 Pequot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Southport, CT 06890</w:t>
      </w:r>
    </w:p>
    <w:p>
      <w:pPr>
        <w:spacing w:after="0" w:line="193" w:lineRule="exact"/>
        <w:rPr>
          <w:sz w:val="20"/>
          <w:szCs w:val="20"/>
          <w:color w:val="auto"/>
        </w:rPr>
      </w:pPr>
    </w:p>
    <w:p>
      <w:pPr>
        <w:sectPr>
          <w:pgSz w:w="11900" w:h="16838" w:orient="portrait"/>
          <w:cols w:equalWidth="0" w:num="2">
            <w:col w:w="2260" w:space="720"/>
            <w:col w:w="8040"/>
          </w:cols>
          <w:pgMar w:left="240" w:top="25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Morgan Stanley</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c/o Swaine Napier</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2000 Westchester Avenue</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Purchase, NY 10577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$633,220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452,300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type w:val="continuous"/>
        </w:sectPr>
      </w:pPr>
    </w:p>
    <w:bookmarkStart w:id="40" w:name="page41"/>
    <w:bookmarkEnd w:id="40"/>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Southport Energy Alternatives SPV Fund, 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Giammalva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Giammalva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Sound Energy Partners, Inc. Its Investment Manager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SNegulic@secm.com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203-254-4509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203-254-4500</w:t>
      </w:r>
    </w:p>
    <w:p>
      <w:pPr>
        <w:sectPr>
          <w:pgSz w:w="11900" w:h="16838" w:orient="portrait"/>
          <w:cols w:equalWidth="0" w:num="1">
            <w:col w:w="11020"/>
          </w:cols>
          <w:pgMar w:left="240" w:top="258" w:right="6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Sound Energy Partners,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354 Pequot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Southport, CT 06890</w:t>
      </w:r>
    </w:p>
    <w:p>
      <w:pPr>
        <w:spacing w:after="0" w:line="193" w:lineRule="exact"/>
        <w:rPr>
          <w:sz w:val="20"/>
          <w:szCs w:val="20"/>
          <w:color w:val="auto"/>
        </w:rPr>
      </w:pPr>
    </w:p>
    <w:p>
      <w:pPr>
        <w:sectPr>
          <w:pgSz w:w="11900" w:h="16838" w:orient="portrait"/>
          <w:cols w:equalWidth="0" w:num="2">
            <w:col w:w="2260" w:space="720"/>
            <w:col w:w="8040"/>
          </w:cols>
          <w:pgMar w:left="240" w:top="25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Morgan Stanley</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c/o Swaine Napier</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2000 Westchester Avenue</w:t>
      </w:r>
    </w:p>
    <w:p>
      <w:pPr>
        <w:spacing w:after="0" w:line="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Purchase, NY 10577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$979,720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699,800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type w:val="continuous"/>
        </w:sectPr>
      </w:pPr>
    </w:p>
    <w:bookmarkStart w:id="41" w:name="page42"/>
    <w:bookmarkEnd w:id="41"/>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UBS O’Connor LLC F/B/O: O’Connor Pipes Corporate Strategies Master Limited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Andy Martin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Andy Martin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Executive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DL-ubsoc-corpact@ubs.com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312-525-6271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312-525-5839</w:t>
      </w:r>
    </w:p>
    <w:p>
      <w:pPr>
        <w:sectPr>
          <w:pgSz w:w="11900" w:h="16838" w:orient="portrait"/>
          <w:cols w:equalWidth="0" w:num="1">
            <w:col w:w="11020"/>
          </w:cols>
          <w:pgMar w:left="240" w:top="258" w:right="6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UBS O’ Connor LLOC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Rob Murray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One North Wacker Drive, 32</w:t>
      </w:r>
      <w:r>
        <w:rPr>
          <w:rFonts w:ascii="Times New Roman" w:cs="Times New Roman" w:eastAsia="Times New Roman" w:hAnsi="Times New Roman"/>
          <w:sz w:val="9"/>
          <w:szCs w:val="9"/>
          <w:color w:val="auto"/>
        </w:rPr>
        <w:t>nd</w:t>
      </w:r>
      <w:r>
        <w:rPr>
          <w:rFonts w:ascii="Times New Roman" w:cs="Times New Roman" w:eastAsia="Times New Roman" w:hAnsi="Times New Roman"/>
          <w:sz w:val="15"/>
          <w:szCs w:val="15"/>
          <w:color w:val="auto"/>
        </w:rPr>
        <w:t xml:space="preserve"> Floor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Chicago, IL 60606</w:t>
      </w:r>
    </w:p>
    <w:p>
      <w:pPr>
        <w:spacing w:after="0" w:line="193" w:lineRule="exact"/>
        <w:rPr>
          <w:sz w:val="20"/>
          <w:szCs w:val="20"/>
          <w:color w:val="auto"/>
        </w:rPr>
      </w:pPr>
    </w:p>
    <w:p>
      <w:pPr>
        <w:sectPr>
          <w:pgSz w:w="11900" w:h="16838" w:orient="portrait"/>
          <w:cols w:equalWidth="0" w:num="2">
            <w:col w:w="2260" w:space="720"/>
            <w:col w:w="8040"/>
          </w:cols>
          <w:pgMar w:left="240" w:top="258"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Same as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$770,000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550,000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type w:val="continuous"/>
        </w:sectPr>
      </w:pPr>
    </w:p>
    <w:bookmarkStart w:id="42" w:name="page43"/>
    <w:bookmarkEnd w:id="42"/>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RHO Management Trust IV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Jeffrey I. Martin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Jeffrey I. Martin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Attorney-in-fact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JMARTIN@Rho.com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212-751-3613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212-751-6677</w:t>
      </w:r>
    </w:p>
    <w:p>
      <w:pPr>
        <w:spacing w:after="0" w:line="192"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5"/>
          <w:szCs w:val="15"/>
          <w:color w:val="auto"/>
        </w:rPr>
        <w:t>Address for Notice of Purchaser:</w:t>
      </w:r>
      <w:r>
        <w:rPr>
          <w:sz w:val="20"/>
          <w:szCs w:val="20"/>
          <w:color w:val="auto"/>
        </w:rPr>
        <w:tab/>
      </w:r>
      <w:r>
        <w:rPr>
          <w:rFonts w:ascii="Times New Roman" w:cs="Times New Roman" w:eastAsia="Times New Roman" w:hAnsi="Times New Roman"/>
          <w:sz w:val="14"/>
          <w:szCs w:val="14"/>
          <w:color w:val="auto"/>
        </w:rPr>
        <w:t>152 West 57</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Street, 23</w:t>
      </w:r>
      <w:r>
        <w:rPr>
          <w:rFonts w:ascii="Times New Roman" w:cs="Times New Roman" w:eastAsia="Times New Roman" w:hAnsi="Times New Roman"/>
          <w:sz w:val="17"/>
          <w:szCs w:val="17"/>
          <w:color w:val="auto"/>
          <w:vertAlign w:val="superscript"/>
        </w:rPr>
        <w:t>rd</w:t>
      </w:r>
      <w:r>
        <w:rPr>
          <w:rFonts w:ascii="Times New Roman" w:cs="Times New Roman" w:eastAsia="Times New Roman" w:hAnsi="Times New Roman"/>
          <w:sz w:val="14"/>
          <w:szCs w:val="14"/>
          <w:color w:val="auto"/>
        </w:rPr>
        <w:t xml:space="preserve"> Floor</w:t>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10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color w:val="auto"/>
        </w:rPr>
        <w:t>Same as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$840,000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600,000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sectPr>
      </w:pPr>
    </w:p>
    <w:bookmarkStart w:id="43" w:name="page44"/>
    <w:bookmarkEnd w:id="43"/>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Steelhead Investments 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J. Baker Gentry, Jr.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J. Baker Gentry, Jr.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legal@hbk.com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214-758-1207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214-758-6107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 c/o HBK Services LLC</w:t>
      </w:r>
    </w:p>
    <w:p>
      <w:pPr>
        <w:spacing w:after="0" w:line="20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5"/>
          <w:szCs w:val="15"/>
          <w:color w:val="auto"/>
        </w:rPr>
        <w:t>300 Crescent Court, Suite 700</w:t>
      </w:r>
    </w:p>
    <w:p>
      <w:pPr>
        <w:spacing w:after="0" w:line="20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5"/>
          <w:szCs w:val="15"/>
          <w:color w:val="auto"/>
        </w:rPr>
        <w:t>Dallas, TX 75201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Same as above.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$6,720,000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4,800,000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sectPr>
      </w:pPr>
    </w:p>
    <w:bookmarkStart w:id="44" w:name="page45"/>
    <w:bookmarkEnd w:id="44"/>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Paperworld Environmental Opportunities Fund (Register Holder: Paperworld Environmental Opportunities)</w:t>
      </w:r>
    </w:p>
    <w:p>
      <w:pPr>
        <w:spacing w:after="0" w:line="199"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w:t>
      </w:r>
      <w:r>
        <w:rPr>
          <w:sz w:val="20"/>
          <w:szCs w:val="20"/>
          <w:color w:val="auto"/>
        </w:rPr>
        <w:tab/>
      </w:r>
      <w:r>
        <w:rPr>
          <w:rFonts w:ascii="Times New Roman" w:cs="Times New Roman" w:eastAsia="Times New Roman" w:hAnsi="Times New Roman"/>
          <w:sz w:val="15"/>
          <w:szCs w:val="15"/>
          <w:color w:val="auto"/>
        </w:rPr>
        <w:t>Bruce Jenkyn-Jones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b.jenkyn-jones@impax.co.uk.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+44(0)2074371245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+44(0)2074322612</w:t>
      </w:r>
    </w:p>
    <w:p>
      <w:pPr>
        <w:spacing w:after="0" w:line="203" w:lineRule="exact"/>
        <w:rPr>
          <w:sz w:val="20"/>
          <w:szCs w:val="20"/>
          <w:color w:val="auto"/>
        </w:rPr>
      </w:pPr>
    </w:p>
    <w:p>
      <w:pPr>
        <w:ind w:left="2240" w:right="5200" w:hanging="2251"/>
        <w:spacing w:after="0" w:line="522" w:lineRule="auto"/>
        <w:rPr>
          <w:sz w:val="20"/>
          <w:szCs w:val="20"/>
          <w:color w:val="auto"/>
        </w:rPr>
      </w:pPr>
      <w:r>
        <w:rPr>
          <w:rFonts w:ascii="Times New Roman" w:cs="Times New Roman" w:eastAsia="Times New Roman" w:hAnsi="Times New Roman"/>
          <w:sz w:val="15"/>
          <w:szCs w:val="15"/>
          <w:color w:val="auto"/>
        </w:rPr>
        <w:t>Address for Notice of Purchaser: c/o Impax Asset Management LTD (Attn: Debbie Vanderkolk Broughton House, 6-8 Sackville Street</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London W1S 3DG, 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BNP Paribas Securities Services Luxembourg</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33, Rue de GASPERICH</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Howald-Hesperange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L-2085 Luxembourg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$630,000.00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450,000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sectPr>
      </w:pPr>
    </w:p>
    <w:bookmarkStart w:id="45" w:name="page46"/>
    <w:bookmarkEnd w:id="45"/>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Impax Environmental Markets (Ireland) Fund (Registered Holder: RBC Dexia Investor Services Bank)</w:t>
      </w:r>
    </w:p>
    <w:p>
      <w:pPr>
        <w:spacing w:after="0" w:line="199"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w:t>
      </w:r>
      <w:r>
        <w:rPr>
          <w:sz w:val="20"/>
          <w:szCs w:val="20"/>
          <w:color w:val="auto"/>
        </w:rPr>
        <w:tab/>
      </w:r>
      <w:r>
        <w:rPr>
          <w:rFonts w:ascii="Times New Roman" w:cs="Times New Roman" w:eastAsia="Times New Roman" w:hAnsi="Times New Roman"/>
          <w:sz w:val="15"/>
          <w:szCs w:val="15"/>
          <w:color w:val="auto"/>
        </w:rPr>
        <w:t>Bruce Jenkyn-Jones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b.jenkyn-jones@impax.co.uk.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+44(0)2074371245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+44(0)2074322612</w:t>
      </w:r>
    </w:p>
    <w:p>
      <w:pPr>
        <w:spacing w:after="0" w:line="203"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5"/>
          <w:szCs w:val="15"/>
          <w:color w:val="auto"/>
        </w:rPr>
        <w:t>Address for Notice of Purchaser:</w:t>
      </w:r>
      <w:r>
        <w:rPr>
          <w:sz w:val="20"/>
          <w:szCs w:val="20"/>
          <w:color w:val="auto"/>
        </w:rPr>
        <w:tab/>
      </w:r>
      <w:r>
        <w:rPr>
          <w:rFonts w:ascii="Times New Roman" w:cs="Times New Roman" w:eastAsia="Times New Roman" w:hAnsi="Times New Roman"/>
          <w:sz w:val="15"/>
          <w:szCs w:val="15"/>
          <w:color w:val="auto"/>
        </w:rPr>
        <w:t>c/o Impax Asset Management LTD (Attn: Debbie Vanderkolk)</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Broughton House, 6-8 Sackville Street</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London W1S 3DG, 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Brown Brothers Harriman</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140 Broadway, Ground Floor</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New York, NY 10006</w:t>
      </w:r>
    </w:p>
    <w:p>
      <w:pPr>
        <w:spacing w:after="0" w:line="20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color w:val="auto"/>
        </w:rPr>
        <w:t>Attn: Trade Processing Dept.</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Ralph Firneno, For Deposit To Account 8050056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$560,000.00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400,000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sectPr>
      </w:pPr>
    </w:p>
    <w:bookmarkStart w:id="46" w:name="page47"/>
    <w:bookmarkEnd w:id="46"/>
    <w:p>
      <w:pPr>
        <w:jc w:val="center"/>
        <w:ind w:right="-3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[PURCHASER SIGNATURE PAGES TO ACPW SECURITIES PURCHASE AGREEMENT]</w:t>
      </w:r>
    </w:p>
    <w:p>
      <w:pPr>
        <w:spacing w:after="0" w:line="156" w:lineRule="exact"/>
        <w:rPr>
          <w:sz w:val="20"/>
          <w:szCs w:val="20"/>
          <w:color w:val="auto"/>
        </w:rPr>
      </w:pPr>
    </w:p>
    <w:p>
      <w:pPr>
        <w:ind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have caused this Securities Purchase Agreement to be duly executed by their respective authorized signatories as of the date first indicated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Purchaser: Impax Environmental Markets PLC (Registered Holder: Nortrust Nominees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Limited Account: IEM01)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Bruce Jenkyn-Jones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 of Purchaser: b.jenkyn-jones@impax.co.uk.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Fax Number of Purchaser: +44(0)2074371245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Number of Purchaser: +44(0)2074322612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Notice of Purchaser: c/o Cavendish Administration</w:t>
      </w:r>
    </w:p>
    <w:p>
      <w:pPr>
        <w:spacing w:after="0" w:line="21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145-157 St Johns Street</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London EC1V 4RU, UK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for Delivery of Shares for Purchaser (if not same as address for notice):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Same as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Subscription Amount: $490,000.00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350,000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EIN Number: </w:t>
      </w:r>
      <w:r>
        <w:rPr>
          <w:rFonts w:ascii="Times New Roman" w:cs="Times New Roman" w:eastAsia="Times New Roman" w:hAnsi="Times New Roman"/>
          <w:sz w:val="15"/>
          <w:szCs w:val="15"/>
          <w:b w:val="1"/>
          <w:bCs w:val="1"/>
          <w:color w:val="auto"/>
        </w:rPr>
        <w:t>[PROVIDE THIS UNDER SEPARATE COVER]</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1020"/>
          </w:cols>
          <w:pgMar w:left="240" w:top="258" w:right="6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REGISTRATION RIGHTS AGREEMENT</w:t>
      </w:r>
    </w:p>
    <w:p>
      <w:pPr>
        <w:spacing w:after="0" w:line="160" w:lineRule="exact"/>
        <w:rPr>
          <w:sz w:val="20"/>
          <w:szCs w:val="20"/>
          <w:color w:val="auto"/>
        </w:rPr>
      </w:pPr>
    </w:p>
    <w:p>
      <w:pPr>
        <w:ind w:right="120" w:firstLine="457"/>
        <w:spacing w:after="0" w:line="297" w:lineRule="auto"/>
        <w:rPr>
          <w:sz w:val="20"/>
          <w:szCs w:val="20"/>
          <w:color w:val="auto"/>
        </w:rPr>
      </w:pPr>
      <w:r>
        <w:rPr>
          <w:rFonts w:ascii="Times New Roman" w:cs="Times New Roman" w:eastAsia="Times New Roman" w:hAnsi="Times New Roman"/>
          <w:sz w:val="15"/>
          <w:szCs w:val="15"/>
          <w:color w:val="auto"/>
        </w:rPr>
        <w:t>This Registration Rights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made and entered into as of August 14, 2007, among Active Power,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the purchasers signatory hereto (each such purchaser, a “</w:t>
      </w:r>
      <w:r>
        <w:rPr>
          <w:rFonts w:ascii="Times New Roman" w:cs="Times New Roman" w:eastAsia="Times New Roman" w:hAnsi="Times New Roman"/>
          <w:sz w:val="15"/>
          <w:szCs w:val="15"/>
          <w:u w:val="single" w:color="auto"/>
          <w:color w:val="auto"/>
        </w:rPr>
        <w:t>Purchaser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Purchasers</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5"/>
          <w:szCs w:val="15"/>
          <w:u w:val="single" w:color="auto"/>
          <w:color w:val="auto"/>
        </w:rPr>
        <w:t>Purchase Agreement</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Company and the Purchasers hereby agree as follows:</w:t>
      </w:r>
    </w:p>
    <w:p>
      <w:pPr>
        <w:spacing w:after="0" w:line="86" w:lineRule="exact"/>
        <w:rPr>
          <w:sz w:val="20"/>
          <w:szCs w:val="20"/>
          <w:color w:val="auto"/>
        </w:rPr>
      </w:pPr>
    </w:p>
    <w:p>
      <w:pPr>
        <w:ind w:left="600" w:hanging="149"/>
        <w:spacing w:after="0"/>
        <w:tabs>
          <w:tab w:leader="none" w:pos="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p>
    <w:p>
      <w:pPr>
        <w:spacing w:after="0" w:line="82" w:lineRule="exact"/>
        <w:rPr>
          <w:sz w:val="20"/>
          <w:szCs w:val="20"/>
          <w:color w:val="auto"/>
        </w:rPr>
      </w:pPr>
    </w:p>
    <w:p>
      <w:pPr>
        <w:ind w:right="680" w:firstLine="457"/>
        <w:spacing w:after="0" w:line="302" w:lineRule="auto"/>
        <w:rPr>
          <w:sz w:val="20"/>
          <w:szCs w:val="20"/>
          <w:color w:val="auto"/>
        </w:rPr>
      </w:pPr>
      <w:r>
        <w:rPr>
          <w:rFonts w:ascii="Times New Roman" w:cs="Times New Roman" w:eastAsia="Times New Roman" w:hAnsi="Times New Roman"/>
          <w:sz w:val="15"/>
          <w:szCs w:val="15"/>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5"/>
          <w:szCs w:val="15"/>
          <w:color w:val="auto"/>
        </w:rPr>
        <w:t>As used in this Agreement, the following terms shall have the following meanings:</w:t>
      </w:r>
    </w:p>
    <w:p>
      <w:pPr>
        <w:spacing w:after="0" w:line="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Advice</w:t>
      </w:r>
      <w:r>
        <w:rPr>
          <w:rFonts w:ascii="Times New Roman" w:cs="Times New Roman" w:eastAsia="Times New Roman" w:hAnsi="Times New Roman"/>
          <w:sz w:val="15"/>
          <w:szCs w:val="15"/>
          <w:color w:val="auto"/>
        </w:rPr>
        <w:t>” shall have the meaning set forth in Section 6(d).</w:t>
      </w:r>
    </w:p>
    <w:p>
      <w:pPr>
        <w:spacing w:after="0" w:line="109" w:lineRule="exact"/>
        <w:rPr>
          <w:sz w:val="20"/>
          <w:szCs w:val="20"/>
          <w:color w:val="auto"/>
        </w:rPr>
      </w:pPr>
    </w:p>
    <w:p>
      <w:pPr>
        <w:ind w:left="460" w:right="40" w:firstLine="439"/>
        <w:spacing w:after="0" w:line="22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Effectiveness Date</w:t>
      </w:r>
      <w:r>
        <w:rPr>
          <w:rFonts w:ascii="Times New Roman" w:cs="Times New Roman" w:eastAsia="Times New Roman" w:hAnsi="Times New Roman"/>
          <w:sz w:val="15"/>
          <w:szCs w:val="15"/>
          <w:color w:val="auto"/>
        </w:rPr>
        <w:t>” means, with respect to the Initial Registration Statement required to be filed hereunder, the 75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calendar day following the date hereof (or, in the event of a “full review” by the Commission,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calendar day following the date hereof) and with respect to any additional Registration Statements which may be required pursuant</w:t>
      </w:r>
    </w:p>
    <w:p>
      <w:pPr>
        <w:ind w:left="460" w:right="240"/>
        <w:spacing w:after="0" w:line="231" w:lineRule="auto"/>
        <w:rPr>
          <w:sz w:val="20"/>
          <w:szCs w:val="20"/>
          <w:color w:val="auto"/>
        </w:rPr>
      </w:pPr>
      <w:r>
        <w:rPr>
          <w:rFonts w:ascii="Times New Roman" w:cs="Times New Roman" w:eastAsia="Times New Roman" w:hAnsi="Times New Roman"/>
          <w:sz w:val="15"/>
          <w:szCs w:val="15"/>
          <w:color w:val="auto"/>
        </w:rPr>
        <w:t>to Section 3(c),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calendar day following the date on which an additional Registration Statement is required to be filed 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Effectiveness Period</w:t>
      </w:r>
      <w:r>
        <w:rPr>
          <w:rFonts w:ascii="Times New Roman" w:cs="Times New Roman" w:eastAsia="Times New Roman" w:hAnsi="Times New Roman"/>
          <w:sz w:val="15"/>
          <w:szCs w:val="15"/>
          <w:color w:val="auto"/>
        </w:rPr>
        <w:t>” shall have the meaning set forth in Section 2(a).</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Event</w:t>
      </w:r>
      <w:r>
        <w:rPr>
          <w:rFonts w:ascii="Times New Roman" w:cs="Times New Roman" w:eastAsia="Times New Roman" w:hAnsi="Times New Roman"/>
          <w:sz w:val="15"/>
          <w:szCs w:val="15"/>
          <w:color w:val="auto"/>
        </w:rPr>
        <w:t>” shall have the meaning set forth in Section 2(b).</w:t>
      </w:r>
    </w:p>
    <w:p>
      <w:pPr>
        <w:spacing w:after="0" w:line="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Event Date</w:t>
      </w:r>
      <w:r>
        <w:rPr>
          <w:rFonts w:ascii="Times New Roman" w:cs="Times New Roman" w:eastAsia="Times New Roman" w:hAnsi="Times New Roman"/>
          <w:sz w:val="15"/>
          <w:szCs w:val="15"/>
          <w:color w:val="auto"/>
        </w:rPr>
        <w:t>” shall have the meaning set forth in Section 2(b).</w:t>
      </w:r>
    </w:p>
    <w:p>
      <w:pPr>
        <w:spacing w:after="0" w:line="109" w:lineRule="exact"/>
        <w:rPr>
          <w:sz w:val="20"/>
          <w:szCs w:val="20"/>
          <w:color w:val="auto"/>
        </w:rPr>
      </w:pPr>
    </w:p>
    <w:p>
      <w:pPr>
        <w:ind w:left="460" w:firstLine="439"/>
        <w:spacing w:after="0" w:line="23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Filing Date</w:t>
      </w:r>
      <w:r>
        <w:rPr>
          <w:rFonts w:ascii="Times New Roman" w:cs="Times New Roman" w:eastAsia="Times New Roman" w:hAnsi="Times New Roman"/>
          <w:sz w:val="15"/>
          <w:szCs w:val="15"/>
          <w:color w:val="auto"/>
        </w:rPr>
        <w:t>” means, with respect to the Initial Registration Statement required hereunder, the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calendar day following the date hereof and, with respect to any additional Registration Statements which may be required pursuant to Section 3(c), the earliest practical date on which the Company is permitted by SEC Guidance to file such additional Registration Statement related to the Registrable Securities.</w:t>
      </w:r>
    </w:p>
    <w:p>
      <w:pPr>
        <w:spacing w:after="0" w:line="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Holders</w:t>
      </w:r>
      <w:r>
        <w:rPr>
          <w:rFonts w:ascii="Times New Roman" w:cs="Times New Roman" w:eastAsia="Times New Roman" w:hAnsi="Times New Roman"/>
          <w:sz w:val="15"/>
          <w:szCs w:val="15"/>
          <w:color w:val="auto"/>
        </w:rPr>
        <w:t>” means the holder or holders, as the case may be, from time to time of Registrable Securities.</w:t>
      </w:r>
    </w:p>
    <w:p>
      <w:pPr>
        <w:spacing w:after="0" w:line="1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440"/>
          </w:cols>
          <w:pgMar w:left="240" w:top="124" w:right="21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shall have the meaning set forth in Section 5(c).</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Indemnifying Party</w:t>
      </w:r>
      <w:r>
        <w:rPr>
          <w:rFonts w:ascii="Times New Roman" w:cs="Times New Roman" w:eastAsia="Times New Roman" w:hAnsi="Times New Roman"/>
          <w:sz w:val="15"/>
          <w:szCs w:val="15"/>
          <w:color w:val="auto"/>
        </w:rPr>
        <w:t>” shall have the meaning set forth in Section 5(c).</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Initial Registration Statement</w:t>
      </w:r>
      <w:r>
        <w:rPr>
          <w:rFonts w:ascii="Times New Roman" w:cs="Times New Roman" w:eastAsia="Times New Roman" w:hAnsi="Times New Roman"/>
          <w:sz w:val="15"/>
          <w:szCs w:val="15"/>
          <w:color w:val="auto"/>
        </w:rPr>
        <w:t>” means the initial Registration Statement filed pursuant to this Agreement.</w:t>
      </w:r>
    </w:p>
    <w:p>
      <w:pPr>
        <w:spacing w:after="0" w:line="86" w:lineRule="exact"/>
        <w:rPr>
          <w:sz w:val="20"/>
          <w:szCs w:val="20"/>
          <w:color w:val="auto"/>
        </w:rPr>
      </w:pPr>
    </w:p>
    <w:p>
      <w:pPr>
        <w:ind w:right="12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Initial Shares</w:t>
      </w:r>
      <w:r>
        <w:rPr>
          <w:rFonts w:ascii="Times New Roman" w:cs="Times New Roman" w:eastAsia="Times New Roman" w:hAnsi="Times New Roman"/>
          <w:sz w:val="15"/>
          <w:szCs w:val="15"/>
          <w:color w:val="auto"/>
        </w:rPr>
        <w:t>” means a number of Registrable Securities equal to the lesser of (i) the total number of Registrable Securities and (ii) one-third of the number of issued and outstanding shares of Common Stock that are held by non-affiliates of the Company on the day immediately prior to the filing date of the Initial Registration Statement.</w:t>
      </w:r>
    </w:p>
    <w:p>
      <w:pPr>
        <w:spacing w:after="0" w:line="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shall have the meaning set forth in Section 5(a).</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Plan of Distribution</w:t>
      </w:r>
      <w:r>
        <w:rPr>
          <w:rFonts w:ascii="Times New Roman" w:cs="Times New Roman" w:eastAsia="Times New Roman" w:hAnsi="Times New Roman"/>
          <w:sz w:val="15"/>
          <w:szCs w:val="15"/>
          <w:color w:val="auto"/>
        </w:rPr>
        <w:t>” shall have the meaning set forth in Section 2(a).</w:t>
      </w:r>
    </w:p>
    <w:p>
      <w:pPr>
        <w:spacing w:after="0" w:line="86" w:lineRule="exact"/>
        <w:rPr>
          <w:sz w:val="20"/>
          <w:szCs w:val="20"/>
          <w:color w:val="auto"/>
        </w:rPr>
      </w:pPr>
    </w:p>
    <w:p>
      <w:pPr>
        <w:ind w:firstLine="43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40" w:lineRule="exact"/>
        <w:rPr>
          <w:sz w:val="20"/>
          <w:szCs w:val="20"/>
          <w:color w:val="auto"/>
        </w:rPr>
      </w:pPr>
    </w:p>
    <w:p>
      <w:pPr>
        <w:ind w:right="16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means (i) all of the Shares and (ii) any securities issued or issuable upon any stock split, dividend or other distribution, recapitalization or similar event with respect to the foregoing.</w:t>
      </w:r>
    </w:p>
    <w:p>
      <w:pPr>
        <w:spacing w:after="0" w:line="19" w:lineRule="exact"/>
        <w:rPr>
          <w:sz w:val="20"/>
          <w:szCs w:val="20"/>
          <w:color w:val="auto"/>
        </w:rPr>
      </w:pPr>
    </w:p>
    <w:p>
      <w:pPr>
        <w:jc w:val="both"/>
        <w:ind w:right="20" w:firstLine="439"/>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means the registration statement required to be filed hereunder and any additional registration statements contemplated by Section 3(c), including (in each case) the Prospectus, amendments and supplements to such registration statement or Prospectus, including pre- and post-effective amendments, all exhibits thereto, and all material incorporated by reference or deemed to be incorporated by reference in such registration statement.</w:t>
      </w:r>
    </w:p>
    <w:p>
      <w:pPr>
        <w:spacing w:after="0" w:line="33" w:lineRule="exact"/>
        <w:rPr>
          <w:sz w:val="20"/>
          <w:szCs w:val="20"/>
          <w:color w:val="auto"/>
        </w:rPr>
      </w:pPr>
    </w:p>
    <w:p>
      <w:pPr>
        <w:ind w:right="12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415</w:t>
      </w:r>
      <w:r>
        <w:rPr>
          <w:rFonts w:ascii="Times New Roman" w:cs="Times New Roman" w:eastAsia="Times New Roman" w:hAnsi="Times New Roman"/>
          <w:sz w:val="15"/>
          <w:szCs w:val="15"/>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9" w:lineRule="exact"/>
        <w:rPr>
          <w:sz w:val="20"/>
          <w:szCs w:val="20"/>
          <w:color w:val="auto"/>
        </w:rPr>
      </w:pPr>
    </w:p>
    <w:p>
      <w:pPr>
        <w:ind w:right="120" w:firstLine="439"/>
        <w:spacing w:after="0" w:line="29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Rule 424</w:t>
      </w:r>
      <w:r>
        <w:rPr>
          <w:rFonts w:ascii="Times New Roman" w:cs="Times New Roman" w:eastAsia="Times New Roman" w:hAnsi="Times New Roman"/>
          <w:sz w:val="15"/>
          <w:szCs w:val="15"/>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960"/>
          </w:cols>
          <w:pgMar w:left="700" w:top="258" w:right="239" w:bottom="1440" w:gutter="0" w:footer="0" w:header="0"/>
        </w:sectPr>
      </w:pPr>
    </w:p>
    <w:bookmarkStart w:id="49" w:name="page50"/>
    <w:bookmarkEnd w:id="49"/>
    <w:p>
      <w:pPr>
        <w:ind w:left="44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Selling Shareholder Questionnaire</w:t>
      </w:r>
      <w:r>
        <w:rPr>
          <w:rFonts w:ascii="Times New Roman" w:cs="Times New Roman" w:eastAsia="Times New Roman" w:hAnsi="Times New Roman"/>
          <w:sz w:val="15"/>
          <w:szCs w:val="15"/>
          <w:color w:val="auto"/>
        </w:rPr>
        <w:t>” shall have the meaning set forth in Section 3(a).</w:t>
      </w:r>
    </w:p>
    <w:p>
      <w:pPr>
        <w:spacing w:after="0" w:line="86" w:lineRule="exact"/>
        <w:rPr>
          <w:sz w:val="20"/>
          <w:szCs w:val="20"/>
          <w:color w:val="auto"/>
        </w:rPr>
      </w:pPr>
    </w:p>
    <w:p>
      <w:pPr>
        <w:ind w:left="4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 Guidance</w:t>
      </w:r>
      <w:r>
        <w:rPr>
          <w:rFonts w:ascii="Times New Roman" w:cs="Times New Roman" w:eastAsia="Times New Roman" w:hAnsi="Times New Roman"/>
          <w:sz w:val="15"/>
          <w:szCs w:val="15"/>
          <w:color w:val="auto"/>
        </w:rPr>
        <w:t>” means (i) any publicly-available written or oral guidance, comments, requirements or requests of the Commission staff and (ii) the Securities Act.</w:t>
      </w:r>
    </w:p>
    <w:p>
      <w:pPr>
        <w:spacing w:after="0" w:line="227" w:lineRule="exact"/>
        <w:rPr>
          <w:sz w:val="20"/>
          <w:szCs w:val="20"/>
          <w:color w:val="auto"/>
        </w:rPr>
      </w:pPr>
    </w:p>
    <w:p>
      <w:pPr>
        <w:ind w:left="149" w:hanging="149"/>
        <w:spacing w:after="0"/>
        <w:tabs>
          <w:tab w:leader="none" w:pos="149"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Shelf Registration</w:t>
      </w:r>
    </w:p>
    <w:p>
      <w:pPr>
        <w:spacing w:after="0" w:line="85" w:lineRule="exact"/>
        <w:rPr>
          <w:rFonts w:ascii="Times New Roman" w:cs="Times New Roman" w:eastAsia="Times New Roman" w:hAnsi="Times New Roman"/>
          <w:sz w:val="15"/>
          <w:szCs w:val="15"/>
          <w:color w:val="auto"/>
        </w:rPr>
      </w:pPr>
    </w:p>
    <w:p>
      <w:pPr>
        <w:ind w:left="9" w:firstLine="431"/>
        <w:spacing w:after="0" w:line="263" w:lineRule="auto"/>
        <w:tabs>
          <w:tab w:leader="none" w:pos="656"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each Filing Date, the Company shall prepare and file with the Commission a Registration Statement covering the resale of all or such maximum portion of the Registrable Securities as permitted by SEC Guidance (provided that the Company shall use diligent efforts to advocate with the Commission for the registration of all of the Registrable Securities in accordance with the SEC Guidance, including without limitation, the Manual of Publicly Available Telephone Interpretations D.29) that are not then registered on an effective Registration Statement for an offering to be made on a continuous basis pursuant to Rule 415. The Registration Statement shall be on Form S-3 (except if the Company is not then eligible to register for resale the Registrable Securities on Form S-3, in which case such registration shall be on another appropriate form in accordance herewith) and shall contain (unless otherwise directed by at least a majority in interest of the Holders) substantially the “</w:t>
      </w:r>
      <w:r>
        <w:rPr>
          <w:rFonts w:ascii="Times New Roman" w:cs="Times New Roman" w:eastAsia="Times New Roman" w:hAnsi="Times New Roman"/>
          <w:sz w:val="15"/>
          <w:szCs w:val="15"/>
          <w:u w:val="single" w:color="auto"/>
          <w:color w:val="auto"/>
        </w:rPr>
        <w:t>Plan of Distribution</w:t>
      </w:r>
      <w:r>
        <w:rPr>
          <w:rFonts w:ascii="Times New Roman" w:cs="Times New Roman" w:eastAsia="Times New Roman" w:hAnsi="Times New Roman"/>
          <w:sz w:val="15"/>
          <w:szCs w:val="15"/>
          <w:color w:val="auto"/>
        </w:rPr>
        <w:t xml:space="preserve">” attached hereto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Subject to the terms of this Agreement, the Company shall use its best efforts to cause a Registration Statement to be declared effective under the Securities Act as promptly as possible after the filing thereof, but in any event prior to the applicable Effectiveness Date, and shall use its best efforts to keep such Registration Statement continuously effective under the Securities Act until all Registrable Securities covered by such Registration Statement have been sold, or may be sold without volume restrictions pursuant to Rule 144(k),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5"/>
          <w:szCs w:val="15"/>
          <w:u w:val="single" w:color="auto"/>
          <w:color w:val="auto"/>
        </w:rPr>
        <w:t>Effectiveness Period</w:t>
      </w:r>
      <w:r>
        <w:rPr>
          <w:rFonts w:ascii="Times New Roman" w:cs="Times New Roman" w:eastAsia="Times New Roman" w:hAnsi="Times New Roman"/>
          <w:sz w:val="15"/>
          <w:szCs w:val="15"/>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1 Trading Day after such notification of effectiveness or failure to file a final Prospectus as foresaid shall be deemed an Event under Section 2(b). Notwithstanding any other provision of this Agreement and subject to the payment of liquidated damages pursuant to Section 2(b), if any SEC Guidance sets forth a limitation on the number of Registrable Securities permitted to be registered on a particular Registration Statement (and notwithstanding that the Company used diligent efforts to advocate with the Commission for the</w:t>
      </w:r>
    </w:p>
    <w:p>
      <w:pPr>
        <w:spacing w:after="0" w:line="111" w:lineRule="exact"/>
        <w:rPr>
          <w:sz w:val="20"/>
          <w:szCs w:val="20"/>
          <w:color w:val="auto"/>
        </w:rPr>
      </w:pPr>
    </w:p>
    <w:p>
      <w:pPr>
        <w:jc w:val="center"/>
        <w:ind w:right="431"/>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969"/>
          </w:cols>
          <w:pgMar w:left="691" w:top="258" w:right="239" w:bottom="1440" w:gutter="0" w:footer="0" w:header="0"/>
        </w:sectPr>
      </w:pPr>
    </w:p>
    <w:bookmarkStart w:id="50" w:name="page51"/>
    <w:bookmarkEnd w:id="50"/>
    <w:p>
      <w:pPr>
        <w:jc w:val="both"/>
        <w:ind w:left="9" w:right="100"/>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registration of all or a greater portion of Registrable Securities), the number of Registrable Securities to be registered on such Registration Statement will be reduced on a pro rata basis based on the total number of unregistered Shares held by such 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prior to any reduction in the number of Registrable Securities included in a Registration Statement as set forth in this sentence, the number of shares of Common Stock set forth on Schedule 6(b) hereto which shall have been included on such Registration Statement shall be reduced by up to 100%.</w:t>
      </w:r>
    </w:p>
    <w:p>
      <w:pPr>
        <w:spacing w:after="0" w:line="37" w:lineRule="exact"/>
        <w:rPr>
          <w:sz w:val="20"/>
          <w:szCs w:val="20"/>
          <w:color w:val="auto"/>
        </w:rPr>
      </w:pPr>
    </w:p>
    <w:p>
      <w:pPr>
        <w:ind w:left="9" w:firstLine="431"/>
        <w:spacing w:after="0" w:line="262" w:lineRule="auto"/>
        <w:tabs>
          <w:tab w:leader="none" w:pos="664"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10 Trading Days after the receipt of comments by or notice from the Commission that such amendment is required in order for such Registration Statement to be declared effective, or (iv) as to, in the aggregate among all Holders on a pro-rata basis based on their purchase of the Securities pursuant to the Purchase Agreement, a Registration Statement registering for resale all of the Initial Shares is not declared effective by the Commission by the Effectiveness Date of the Initial Registration Statement, or (v) all of the Registrable Securities are not registered for resale pursuant to one or more effective Registration Statements on or before September 30, 2008, or (vi)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10 consecutive Trading Days or more than an aggregate of 20 Trading Days (which need not be consecutive Trading Days) during any 12-month period (any such failure or breach being referred to as an “</w:t>
      </w:r>
      <w:r>
        <w:rPr>
          <w:rFonts w:ascii="Times New Roman" w:cs="Times New Roman" w:eastAsia="Times New Roman" w:hAnsi="Times New Roman"/>
          <w:sz w:val="15"/>
          <w:szCs w:val="15"/>
          <w:u w:val="single" w:color="auto"/>
          <w:color w:val="auto"/>
        </w:rPr>
        <w:t>Event</w:t>
      </w:r>
      <w:r>
        <w:rPr>
          <w:rFonts w:ascii="Times New Roman" w:cs="Times New Roman" w:eastAsia="Times New Roman" w:hAnsi="Times New Roman"/>
          <w:sz w:val="15"/>
          <w:szCs w:val="15"/>
          <w:color w:val="auto"/>
        </w:rPr>
        <w:t>”, and for purposes of clause (i), (iv) and (v) the date on which such Event occurs, and for purpose of clause (ii) the date on which such five Trading Day period is exceeded, and for purpose of clause (iii) the date which such 10 Trading Day period is exceeded, and for purpose of clause (vi) the date on which such 10 or 20 Trading Day period, as applicable, is exceeded being referred to as “</w:t>
      </w:r>
      <w:r>
        <w:rPr>
          <w:rFonts w:ascii="Times New Roman" w:cs="Times New Roman" w:eastAsia="Times New Roman" w:hAnsi="Times New Roman"/>
          <w:sz w:val="15"/>
          <w:szCs w:val="15"/>
          <w:u w:val="single" w:color="auto"/>
          <w:color w:val="auto"/>
        </w:rPr>
        <w:t>Event Date</w:t>
      </w:r>
      <w:r>
        <w:rPr>
          <w:rFonts w:ascii="Times New Roman" w:cs="Times New Roman" w:eastAsia="Times New Roman" w:hAnsi="Times New Roman"/>
          <w:sz w:val="15"/>
          <w:szCs w:val="15"/>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1% of the aggregate purchase price paid by such Holder pursuant to the Purchase Agreement for any unregistered Registrable Securities then held by such Holder. The parties agree that</w:t>
      </w:r>
    </w:p>
    <w:p>
      <w:pPr>
        <w:spacing w:after="0" w:line="3" w:lineRule="exact"/>
        <w:rPr>
          <w:rFonts w:ascii="Times New Roman" w:cs="Times New Roman" w:eastAsia="Times New Roman" w:hAnsi="Times New Roman"/>
          <w:sz w:val="15"/>
          <w:szCs w:val="15"/>
          <w:color w:val="auto"/>
        </w:rPr>
      </w:pPr>
    </w:p>
    <w:p>
      <w:pPr>
        <w:ind w:left="209" w:hanging="209"/>
        <w:spacing w:after="0"/>
        <w:tabs>
          <w:tab w:leader="none" w:pos="20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not be liable for liquidated damages under this Agreement with</w:t>
      </w:r>
    </w:p>
    <w:p>
      <w:pPr>
        <w:spacing w:after="0" w:line="135"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989"/>
          </w:cols>
          <w:pgMar w:left="691" w:top="258" w:right="219" w:bottom="1440" w:gutter="0" w:footer="0" w:header="0"/>
        </w:sectPr>
      </w:pPr>
    </w:p>
    <w:bookmarkStart w:id="51" w:name="page52"/>
    <w:bookmarkEnd w:id="51"/>
    <w:p>
      <w:pPr>
        <w:ind w:left="9" w:right="140"/>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respect to any Warrants or Warrant Shares and (2) the maximum aggregate liquidated damages payable to a Holder under this Agreement shall be 12% of the aggregate Subscription Amount paid by such Holder pursuant to the Purchase Agreement. If the Company fails to pay any partial liquidated damages pursuant to this Section in full within seven business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81" w:lineRule="exact"/>
        <w:rPr>
          <w:sz w:val="20"/>
          <w:szCs w:val="20"/>
          <w:color w:val="auto"/>
        </w:rPr>
      </w:pPr>
    </w:p>
    <w:p>
      <w:pPr>
        <w:ind w:left="149" w:hanging="149"/>
        <w:spacing w:after="0"/>
        <w:tabs>
          <w:tab w:leader="none" w:pos="14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Procedures</w:t>
      </w:r>
      <w:r>
        <w:rPr>
          <w:rFonts w:ascii="Times New Roman" w:cs="Times New Roman" w:eastAsia="Times New Roman" w:hAnsi="Times New Roman"/>
          <w:sz w:val="15"/>
          <w:szCs w:val="15"/>
          <w:color w:val="auto"/>
        </w:rPr>
        <w:t>.</w:t>
      </w:r>
    </w:p>
    <w:p>
      <w:pPr>
        <w:spacing w:after="0" w:line="8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In connection with the Company’s registration obligations hereunder, the Company shall:</w:t>
      </w:r>
    </w:p>
    <w:p>
      <w:pPr>
        <w:spacing w:after="0" w:line="86" w:lineRule="exact"/>
        <w:rPr>
          <w:sz w:val="20"/>
          <w:szCs w:val="20"/>
          <w:color w:val="auto"/>
        </w:rPr>
      </w:pPr>
    </w:p>
    <w:p>
      <w:pPr>
        <w:ind w:left="9" w:firstLine="431"/>
        <w:spacing w:after="0" w:line="264" w:lineRule="auto"/>
        <w:tabs>
          <w:tab w:leader="none" w:pos="65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 less than 5 Trading Days prior to the initial filing of each Registration Statement and not less than one Trading Day prior to the filing of any related Prospectus or any pre- or post-amendment or supplement thereto or to such Registration Statement (including, upon request of any Holder, any document that would be incorporated or deemed to be incorporated therein by reference, provided that if such request is not made prior to such 5 or 2 Trading Day period, as applicable, then the Company’s obligation shall only be to provide such document promptly within a reasonable period of time following such request),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certified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5 Trading Days after the Holders have been so furnished copies of an initial Registration Statement or 1 Trading Day after the Holders have been so furnished copies of any related Prospectus or pre- or post-effective amendments or supplements thereto or to such Registration Statement. Each Holder agrees to furnish to the Company a completed questionnaire in the form attached to this Agreement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u w:val="single" w:color="auto"/>
          <w:color w:val="auto"/>
        </w:rPr>
        <w:t>Selling Shareholder Questionnaire</w:t>
      </w:r>
      <w:r>
        <w:rPr>
          <w:rFonts w:ascii="Times New Roman" w:cs="Times New Roman" w:eastAsia="Times New Roman" w:hAnsi="Times New Roman"/>
          <w:sz w:val="15"/>
          <w:szCs w:val="15"/>
          <w:color w:val="auto"/>
        </w:rPr>
        <w:t>”) not less than two Trading Days prior to the Filing Date or by the end of the fourth Trading Day following the date on which such Holder receives draft materials in accordance with this Section.</w:t>
      </w:r>
    </w:p>
    <w:p>
      <w:pPr>
        <w:spacing w:after="0" w:line="48" w:lineRule="exact"/>
        <w:rPr>
          <w:rFonts w:ascii="Times New Roman" w:cs="Times New Roman" w:eastAsia="Times New Roman" w:hAnsi="Times New Roman"/>
          <w:sz w:val="15"/>
          <w:szCs w:val="15"/>
          <w:color w:val="auto"/>
        </w:rPr>
      </w:pPr>
    </w:p>
    <w:p>
      <w:pPr>
        <w:ind w:left="9" w:right="240" w:firstLine="431"/>
        <w:spacing w:after="0" w:line="297" w:lineRule="auto"/>
        <w:tabs>
          <w:tab w:leader="none" w:pos="66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w:t>
      </w:r>
    </w:p>
    <w:p>
      <w:pPr>
        <w:spacing w:after="0" w:line="78" w:lineRule="exact"/>
        <w:rPr>
          <w:sz w:val="20"/>
          <w:szCs w:val="20"/>
          <w:color w:val="auto"/>
        </w:rPr>
      </w:pPr>
    </w:p>
    <w:p>
      <w:pPr>
        <w:jc w:val="center"/>
        <w:ind w:right="411"/>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949"/>
          </w:cols>
          <w:pgMar w:left="691" w:top="258" w:right="259" w:bottom="1440" w:gutter="0" w:footer="0" w:header="0"/>
        </w:sectPr>
      </w:pPr>
    </w:p>
    <w:bookmarkStart w:id="52" w:name="page53"/>
    <w:bookmarkEnd w:id="52"/>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any Holder upon request true and complete copies of all correspondence from and to the Commission relating to a Registration Statement (provided that the Company may excise any information contained therein which would constitute material non-public information as to any Holder which has not executed a confidentiality agreement with the Company); and (iv) comply in all material respects with the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44" w:lineRule="exact"/>
        <w:rPr>
          <w:sz w:val="20"/>
          <w:szCs w:val="20"/>
          <w:color w:val="auto"/>
        </w:rPr>
      </w:pPr>
    </w:p>
    <w:p>
      <w:pPr>
        <w:ind w:right="280" w:firstLine="431"/>
        <w:spacing w:after="0" w:line="279" w:lineRule="auto"/>
        <w:tabs>
          <w:tab w:leader="none" w:pos="6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2" w:lineRule="exact"/>
        <w:rPr>
          <w:rFonts w:ascii="Times New Roman" w:cs="Times New Roman" w:eastAsia="Times New Roman" w:hAnsi="Times New Roman"/>
          <w:sz w:val="15"/>
          <w:szCs w:val="15"/>
          <w:color w:val="auto"/>
        </w:rPr>
      </w:pPr>
    </w:p>
    <w:p>
      <w:pPr>
        <w:ind w:firstLine="431"/>
        <w:spacing w:after="0" w:line="265" w:lineRule="auto"/>
        <w:tabs>
          <w:tab w:leader="none" w:pos="655"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Trading Day prior to such filing) and (if requested by any such Person) confirm such notice in writing no later than one Trading Day following the day (i)(A) when a Prospectus or any Prospectus supplement or post-effective amendment to a Registration Statement is proposed to be filed; (B) when the Commission notifies the Company whether there will be a “review” of such Registration Statement and, upon request of any Holder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w:t>
      </w:r>
    </w:p>
    <w:p>
      <w:pPr>
        <w:spacing w:after="0" w:line="10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900"/>
          </w:cols>
          <w:pgMar w:left="700" w:top="258" w:right="29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that any and all of such information shall remain confidential to each Holder until such information otherwise becomes public, unless disclosure by a Holder is required by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notwithstanding each Holder’s agreement to keep such information confidential, each such Holder makes no acknowledgement that any such information is material, non-public information.</w:t>
      </w:r>
    </w:p>
    <w:p>
      <w:pPr>
        <w:spacing w:after="0" w:line="44" w:lineRule="exact"/>
        <w:rPr>
          <w:sz w:val="20"/>
          <w:szCs w:val="20"/>
          <w:color w:val="auto"/>
        </w:rPr>
      </w:pPr>
    </w:p>
    <w:p>
      <w:pPr>
        <w:jc w:val="both"/>
        <w:ind w:right="240" w:firstLine="431"/>
        <w:spacing w:after="0" w:line="279" w:lineRule="auto"/>
        <w:tabs>
          <w:tab w:leader="none" w:pos="64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32" w:lineRule="exact"/>
        <w:rPr>
          <w:rFonts w:ascii="Times New Roman" w:cs="Times New Roman" w:eastAsia="Times New Roman" w:hAnsi="Times New Roman"/>
          <w:sz w:val="15"/>
          <w:szCs w:val="15"/>
          <w:color w:val="auto"/>
        </w:rPr>
      </w:pPr>
    </w:p>
    <w:p>
      <w:pPr>
        <w:ind w:right="220" w:firstLine="431"/>
        <w:spacing w:after="0" w:line="273" w:lineRule="auto"/>
        <w:tabs>
          <w:tab w:leader="none" w:pos="63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need not be furnished in physical form.</w:t>
      </w:r>
    </w:p>
    <w:p>
      <w:pPr>
        <w:spacing w:after="0" w:line="37" w:lineRule="exact"/>
        <w:rPr>
          <w:rFonts w:ascii="Times New Roman" w:cs="Times New Roman" w:eastAsia="Times New Roman" w:hAnsi="Times New Roman"/>
          <w:sz w:val="15"/>
          <w:szCs w:val="15"/>
          <w:color w:val="auto"/>
        </w:rPr>
      </w:pPr>
    </w:p>
    <w:p>
      <w:pPr>
        <w:ind w:right="20" w:firstLine="431"/>
        <w:spacing w:after="0" w:line="279" w:lineRule="auto"/>
        <w:tabs>
          <w:tab w:leader="none" w:pos="655"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32" w:lineRule="exact"/>
        <w:rPr>
          <w:rFonts w:ascii="Times New Roman" w:cs="Times New Roman" w:eastAsia="Times New Roman" w:hAnsi="Times New Roman"/>
          <w:sz w:val="15"/>
          <w:szCs w:val="15"/>
          <w:color w:val="auto"/>
        </w:rPr>
      </w:pPr>
    </w:p>
    <w:p>
      <w:pPr>
        <w:ind w:right="80" w:firstLine="431"/>
        <w:spacing w:after="0" w:line="297" w:lineRule="auto"/>
        <w:tabs>
          <w:tab w:leader="none" w:pos="655"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cooperate with any registered broker-dealer which is effecting resales of Registrable Securities in effecting any filing with the National Association of Securities Dealers, Inc. (“</w:t>
      </w:r>
      <w:r>
        <w:rPr>
          <w:rFonts w:ascii="Times New Roman" w:cs="Times New Roman" w:eastAsia="Times New Roman" w:hAnsi="Times New Roman"/>
          <w:sz w:val="15"/>
          <w:szCs w:val="15"/>
          <w:u w:val="single" w:color="auto"/>
          <w:color w:val="auto"/>
        </w:rPr>
        <w:t>NASD</w:t>
      </w:r>
      <w:r>
        <w:rPr>
          <w:rFonts w:ascii="Times New Roman" w:cs="Times New Roman" w:eastAsia="Times New Roman" w:hAnsi="Times New Roman"/>
          <w:sz w:val="15"/>
          <w:szCs w:val="15"/>
          <w:color w:val="auto"/>
        </w:rPr>
        <w:t>”) Corporate Financing Department pursuant to NASD Rule 2710 and pay the filing fee required in connection with such filing.</w:t>
      </w:r>
    </w:p>
    <w:p>
      <w:pPr>
        <w:spacing w:after="0" w:line="19" w:lineRule="exact"/>
        <w:rPr>
          <w:rFonts w:ascii="Times New Roman" w:cs="Times New Roman" w:eastAsia="Times New Roman" w:hAnsi="Times New Roman"/>
          <w:sz w:val="15"/>
          <w:szCs w:val="15"/>
          <w:color w:val="auto"/>
        </w:rPr>
      </w:pPr>
    </w:p>
    <w:p>
      <w:pPr>
        <w:ind w:left="620" w:hanging="189"/>
        <w:spacing w:after="0"/>
        <w:tabs>
          <w:tab w:leader="none" w:pos="6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any resale of Registrable Securities by a Holder, use its commercially reasonable efforts to register or qualify or cooperate with the selling</w:t>
      </w:r>
    </w:p>
    <w:p>
      <w:pPr>
        <w:spacing w:after="0" w:line="1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960"/>
          </w:cols>
          <w:pgMar w:left="700" w:top="258" w:right="239" w:bottom="1440" w:gutter="0" w:footer="0" w:header="0"/>
        </w:sectPr>
      </w:pPr>
    </w:p>
    <w:bookmarkStart w:id="54" w:name="page55"/>
    <w:bookmarkEnd w:id="54"/>
    <w:p>
      <w:pPr>
        <w:ind w:right="20"/>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40" w:lineRule="exact"/>
        <w:rPr>
          <w:sz w:val="20"/>
          <w:szCs w:val="20"/>
          <w:color w:val="auto"/>
        </w:rPr>
      </w:pPr>
    </w:p>
    <w:p>
      <w:pPr>
        <w:ind w:firstLine="431"/>
        <w:spacing w:after="0" w:line="279" w:lineRule="auto"/>
        <w:tabs>
          <w:tab w:leader="none" w:pos="622"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requested by a Holder, cooperate with such Holders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32" w:lineRule="exact"/>
        <w:rPr>
          <w:rFonts w:ascii="Times New Roman" w:cs="Times New Roman" w:eastAsia="Times New Roman" w:hAnsi="Times New Roman"/>
          <w:sz w:val="15"/>
          <w:szCs w:val="15"/>
          <w:color w:val="auto"/>
        </w:rPr>
      </w:pPr>
    </w:p>
    <w:p>
      <w:pPr>
        <w:ind w:right="40" w:firstLine="431"/>
        <w:spacing w:after="0" w:line="265" w:lineRule="auto"/>
        <w:tabs>
          <w:tab w:leader="none" w:pos="655"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3(k) to suspend the availability of a Registration Statement and Prospectus, subject to the payment of partial liquidated damages otherwise required pursuant to Section 2(b), for a period not to exceed 60 calendar days (which need not be consecutive days) in any 12 month period.</w:t>
      </w:r>
    </w:p>
    <w:p>
      <w:pPr>
        <w:spacing w:after="0" w:line="235" w:lineRule="exact"/>
        <w:rPr>
          <w:rFonts w:ascii="Times New Roman" w:cs="Times New Roman" w:eastAsia="Times New Roman" w:hAnsi="Times New Roman"/>
          <w:sz w:val="15"/>
          <w:szCs w:val="15"/>
          <w:color w:val="auto"/>
        </w:rPr>
      </w:pPr>
    </w:p>
    <w:p>
      <w:pPr>
        <w:ind w:left="620" w:hanging="189"/>
        <w:spacing w:after="0"/>
        <w:tabs>
          <w:tab w:leader="none" w:pos="6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 with all applicable rules and regulations of the Commission.</w:t>
      </w:r>
    </w:p>
    <w:p>
      <w:pPr>
        <w:spacing w:after="0" w:line="85" w:lineRule="exact"/>
        <w:rPr>
          <w:rFonts w:ascii="Times New Roman" w:cs="Times New Roman" w:eastAsia="Times New Roman" w:hAnsi="Times New Roman"/>
          <w:sz w:val="15"/>
          <w:szCs w:val="15"/>
          <w:color w:val="auto"/>
        </w:rPr>
      </w:pPr>
    </w:p>
    <w:p>
      <w:pPr>
        <w:ind w:right="300" w:firstLine="431"/>
        <w:spacing w:after="0" w:line="279" w:lineRule="auto"/>
        <w:tabs>
          <w:tab w:leader="none" w:pos="69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w:t>
      </w:r>
    </w:p>
    <w:p>
      <w:pPr>
        <w:spacing w:after="0" w:line="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960"/>
          </w:cols>
          <w:pgMar w:left="700" w:top="258" w:right="239" w:bottom="1440" w:gutter="0" w:footer="0" w:header="0"/>
        </w:sectPr>
      </w:pPr>
    </w:p>
    <w:bookmarkStart w:id="55" w:name="page56"/>
    <w:bookmarkEnd w:id="55"/>
    <w:p>
      <w:pPr>
        <w:ind w:left="400" w:right="60"/>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33" w:lineRule="exact"/>
        <w:rPr>
          <w:sz w:val="20"/>
          <w:szCs w:val="20"/>
          <w:color w:val="auto"/>
        </w:rPr>
      </w:pPr>
    </w:p>
    <w:p>
      <w:pPr>
        <w:ind w:left="400" w:firstLine="431"/>
        <w:spacing w:after="0" w:line="264" w:lineRule="auto"/>
        <w:tabs>
          <w:tab w:leader="none" w:pos="1055"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Commission requires any Holder to be identified in a Registration Statement as an underwriter, then the Company shall make available for inspection by (i) any Holder, (ii) legal counsel for such Holder and (iii) one firm of accountants or other agents retained by the Holders (collectively, the “Inspectors”), all pertinent financial and other records, and pertinent corporate documents and properties of the Company (collectively, the “Records”), as shall be reasonably deemed necessary by each Inspector, and cause the Company’s officers, directors and employees to supply all information which any Inspector may reasonably request; provided, however, that each Inspector shall agree to hold in strict confidence and shall not make any disclosure (except to a Holder)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Securities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any other Transaction Document. Each Holder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Holder) shall be deemed to limit the Holders’ ability to sell Registrable Securities in a manner which is otherwise consistent with applicable laws and regulations.</w:t>
      </w:r>
    </w:p>
    <w:p>
      <w:pPr>
        <w:spacing w:after="0" w:line="49" w:lineRule="exact"/>
        <w:rPr>
          <w:sz w:val="20"/>
          <w:szCs w:val="20"/>
          <w:color w:val="auto"/>
        </w:rPr>
      </w:pPr>
    </w:p>
    <w:p>
      <w:pPr>
        <w:ind w:left="400" w:firstLine="439"/>
        <w:spacing w:after="0" w:line="270" w:lineRule="auto"/>
        <w:rPr>
          <w:sz w:val="20"/>
          <w:szCs w:val="20"/>
          <w:color w:val="auto"/>
        </w:rPr>
      </w:pPr>
      <w:r>
        <w:rPr>
          <w:rFonts w:ascii="Times New Roman" w:cs="Times New Roman" w:eastAsia="Times New Roman" w:hAnsi="Times New Roman"/>
          <w:sz w:val="15"/>
          <w:szCs w:val="15"/>
          <w:color w:val="auto"/>
        </w:rPr>
        <w:t>At the reasonable request of any Holder required to be identified as an underwriter by the Commission, the Company shall furnish to such Holder, on the date of the effectiveness of the Registration Statement and thereafter from time to time on such dates as a Holder may reasonably request (i) a letter, dated such date, from the Company’s independent certified public accountants in form and substance as is customarily given by independent certified public accountants to underwriters in an underwritten public offering, addressed to the Holders, and (ii) an opinion, dated as of such date, of counsel representing the Company for purposes of such Registration Statement, in form, scope and substance as is customarily given in an underwritten public offering, addressed to the Holders.</w:t>
      </w:r>
    </w:p>
    <w:p>
      <w:pPr>
        <w:spacing w:after="0" w:line="110" w:lineRule="exact"/>
        <w:rPr>
          <w:sz w:val="20"/>
          <w:szCs w:val="20"/>
          <w:color w:val="auto"/>
        </w:rPr>
      </w:pPr>
    </w:p>
    <w:p>
      <w:pPr>
        <w:ind w:left="-60" w:firstLine="451"/>
        <w:spacing w:after="0" w:line="297" w:lineRule="auto"/>
        <w:tabs>
          <w:tab w:leader="none" w:pos="55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Expenses</w:t>
      </w:r>
      <w:r>
        <w:rPr>
          <w:rFonts w:ascii="Times New Roman" w:cs="Times New Roman" w:eastAsia="Times New Roman" w:hAnsi="Times New Roman"/>
          <w:sz w:val="15"/>
          <w:szCs w:val="15"/>
          <w:color w:val="auto"/>
        </w:rPr>
        <w:t>. All fees and expenses incident to the performance of or compliance with this Agreement by the Company shall be borne by the Company whether or not any Registrable Securities are sold pursuant to a Registration Statement. The fees and expenses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300"/>
          </w:cols>
          <w:pgMar w:left="300" w:top="258" w:right="299" w:bottom="1440" w:gutter="0" w:footer="0" w:header="0"/>
        </w:sectPr>
      </w:pPr>
    </w:p>
    <w:bookmarkStart w:id="56" w:name="page57"/>
    <w:bookmarkEnd w:id="56"/>
    <w:p>
      <w:pPr>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referred to in the foregoing sentence shall include, without limitation, (i) all registration and filing fees (including, without limitation, fees and expenses of the Company’s counsel and auditors) (A) with respect to filings made with the Commission, (B) with respect to filings required to be made with any Trading Market on which the Common Stock is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(D) if not previously paid by the Company in connection with an Issuer Filing, with respect to any filing that may be required to be made by any broker through which a Holder intends to make sales of Registrable Securities with the NASD pursuant to NASD Rule 2710,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88" w:lineRule="exact"/>
        <w:rPr>
          <w:sz w:val="20"/>
          <w:szCs w:val="20"/>
          <w:color w:val="auto"/>
        </w:rPr>
      </w:pPr>
    </w:p>
    <w:p>
      <w:pPr>
        <w:ind w:left="600" w:hanging="149"/>
        <w:spacing w:after="0"/>
        <w:tabs>
          <w:tab w:leader="none" w:pos="60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w:t>
      </w:r>
    </w:p>
    <w:p>
      <w:pPr>
        <w:spacing w:after="0" w:line="85" w:lineRule="exact"/>
        <w:rPr>
          <w:rFonts w:ascii="Times New Roman" w:cs="Times New Roman" w:eastAsia="Times New Roman" w:hAnsi="Times New Roman"/>
          <w:sz w:val="15"/>
          <w:szCs w:val="15"/>
          <w:color w:val="auto"/>
        </w:rPr>
      </w:pPr>
    </w:p>
    <w:p>
      <w:pPr>
        <w:ind w:left="460" w:right="140" w:firstLine="431"/>
        <w:spacing w:after="0" w:line="263" w:lineRule="auto"/>
        <w:tabs>
          <w:tab w:leader="none" w:pos="1107"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by the Company</w:t>
      </w:r>
      <w:r>
        <w:rPr>
          <w:rFonts w:ascii="Times New Roman" w:cs="Times New Roman" w:eastAsia="Times New Roman" w:hAnsi="Times New Roman"/>
          <w:sz w:val="15"/>
          <w:szCs w:val="15"/>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as incurred, arising out of or relating to</w:t>
      </w:r>
    </w:p>
    <w:p>
      <w:pPr>
        <w:spacing w:after="0" w:line="2" w:lineRule="exact"/>
        <w:rPr>
          <w:rFonts w:ascii="Times New Roman" w:cs="Times New Roman" w:eastAsia="Times New Roman" w:hAnsi="Times New Roman"/>
          <w:sz w:val="15"/>
          <w:szCs w:val="15"/>
          <w:color w:val="auto"/>
        </w:rPr>
      </w:pPr>
    </w:p>
    <w:p>
      <w:pPr>
        <w:ind w:left="460" w:right="700"/>
        <w:spacing w:after="0" w:line="28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any untrue or alleged untrue statement of a material fact contained in a Registration Statement, any Prospectus or in any amendment or supplement thereto or in any preliminary prospectus, or arising out of or relating to any omission or alleged omission of a material fact required to be stated therein or necessary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00"/>
          </w:cols>
          <w:pgMar w:left="240" w:top="258" w:right="259" w:bottom="1440" w:gutter="0" w:footer="0" w:header="0"/>
        </w:sectPr>
      </w:pPr>
    </w:p>
    <w:bookmarkStart w:id="57" w:name="page58"/>
    <w:bookmarkEnd w:id="57"/>
    <w:p>
      <w:pPr>
        <w:ind w:right="4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or defective Prospectus after the Company has notified such Holder in writing that the Prospectus is outdated or defective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w:t>
      </w:r>
    </w:p>
    <w:p>
      <w:pPr>
        <w:spacing w:after="0" w:line="48" w:lineRule="exact"/>
        <w:rPr>
          <w:sz w:val="20"/>
          <w:szCs w:val="20"/>
          <w:color w:val="auto"/>
        </w:rPr>
      </w:pPr>
    </w:p>
    <w:p>
      <w:pPr>
        <w:ind w:firstLine="431"/>
        <w:spacing w:after="0" w:line="264" w:lineRule="auto"/>
        <w:tabs>
          <w:tab w:leader="none" w:pos="655"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by Holders</w:t>
      </w:r>
      <w:r>
        <w:rPr>
          <w:rFonts w:ascii="Times New Roman" w:cs="Times New Roman" w:eastAsia="Times New Roman" w:hAnsi="Times New Roman"/>
          <w:sz w:val="15"/>
          <w:szCs w:val="15"/>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(x) such Holder’s failure to comply with the prospectus delivery requirements of the Securities Act or (y)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such Registration Statement or such Prospectus or (ii) to the extent that such information relates to such Holder’s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or (ii) in the case of an occurrence of an event of the type specified in Section 3(d)(iii)-(vi), the use by such Holder of an outdated or defective Prospectus after the Company has notified such Holder in writing that the Prospectus is outdated or defective and prior to the receipt by such Holder of the Advice contemplated in Section 6(d).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0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980"/>
          </w:cols>
          <w:pgMar w:left="700" w:top="258" w:right="219" w:bottom="1440" w:gutter="0" w:footer="0" w:header="0"/>
        </w:sectPr>
      </w:pPr>
    </w:p>
    <w:bookmarkStart w:id="58" w:name="page59"/>
    <w:bookmarkEnd w:id="58"/>
    <w:p>
      <w:pPr>
        <w:ind w:left="9" w:firstLine="431"/>
        <w:spacing w:after="0" w:line="268" w:lineRule="auto"/>
        <w:tabs>
          <w:tab w:leader="none" w:pos="655"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Conduct of Indemnification Proceedings</w:t>
      </w:r>
      <w:r>
        <w:rPr>
          <w:rFonts w:ascii="Times New Roman" w:cs="Times New Roman" w:eastAsia="Times New Roman" w:hAnsi="Times New Roman"/>
          <w:sz w:val="15"/>
          <w:szCs w:val="15"/>
          <w:color w:val="auto"/>
        </w:rPr>
        <w:t>. If any Proceeding shall be brought or asserted against any Person entitled to indemnity hereunder (an “</w:t>
      </w:r>
      <w:r>
        <w:rPr>
          <w:rFonts w:ascii="Times New Roman" w:cs="Times New Roman" w:eastAsia="Times New Roman" w:hAnsi="Times New Roman"/>
          <w:sz w:val="15"/>
          <w:szCs w:val="15"/>
          <w:u w:val="single" w:color="auto"/>
          <w:color w:val="auto"/>
        </w:rPr>
        <w:t>Indemnified Party</w:t>
      </w:r>
      <w:r>
        <w:rPr>
          <w:rFonts w:ascii="Times New Roman" w:cs="Times New Roman" w:eastAsia="Times New Roman" w:hAnsi="Times New Roman"/>
          <w:sz w:val="15"/>
          <w:szCs w:val="15"/>
          <w:color w:val="auto"/>
        </w:rPr>
        <w:t>”), such Indemnified Party shall promptly notify the Person from whom indemnity is sought (the “</w:t>
      </w:r>
      <w:r>
        <w:rPr>
          <w:rFonts w:ascii="Times New Roman" w:cs="Times New Roman" w:eastAsia="Times New Roman" w:hAnsi="Times New Roman"/>
          <w:sz w:val="15"/>
          <w:szCs w:val="15"/>
          <w:u w:val="single" w:color="auto"/>
          <w:color w:val="auto"/>
        </w:rPr>
        <w:t>Indemnifying Party</w:t>
      </w:r>
      <w:r>
        <w:rPr>
          <w:rFonts w:ascii="Times New Roman" w:cs="Times New Roman" w:eastAsia="Times New Roman" w:hAnsi="Times New Roman"/>
          <w:sz w:val="15"/>
          <w:szCs w:val="15"/>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prejudiced the Indemnifying Party.</w:t>
      </w:r>
    </w:p>
    <w:p>
      <w:pPr>
        <w:spacing w:after="0" w:line="42" w:lineRule="exact"/>
        <w:rPr>
          <w:sz w:val="20"/>
          <w:szCs w:val="20"/>
          <w:color w:val="auto"/>
        </w:rPr>
      </w:pPr>
    </w:p>
    <w:p>
      <w:pPr>
        <w:ind w:left="9" w:right="100" w:firstLine="439"/>
        <w:spacing w:after="0" w:line="266" w:lineRule="auto"/>
        <w:rPr>
          <w:sz w:val="20"/>
          <w:szCs w:val="20"/>
          <w:color w:val="auto"/>
        </w:rPr>
      </w:pPr>
      <w:r>
        <w:rPr>
          <w:rFonts w:ascii="Times New Roman" w:cs="Times New Roman" w:eastAsia="Times New Roman" w:hAnsi="Times New Roman"/>
          <w:sz w:val="15"/>
          <w:szCs w:val="15"/>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w:t>
      </w:r>
    </w:p>
    <w:p>
      <w:pPr>
        <w:ind w:left="9" w:right="20" w:hanging="9"/>
        <w:spacing w:after="0" w:line="264" w:lineRule="auto"/>
        <w:tabs>
          <w:tab w:leader="none" w:pos="225"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46" w:lineRule="exact"/>
        <w:rPr>
          <w:sz w:val="20"/>
          <w:szCs w:val="20"/>
          <w:color w:val="auto"/>
        </w:rPr>
      </w:pPr>
    </w:p>
    <w:p>
      <w:pPr>
        <w:ind w:left="9" w:right="20" w:firstLine="439"/>
        <w:spacing w:after="0" w:line="273" w:lineRule="auto"/>
        <w:rPr>
          <w:sz w:val="20"/>
          <w:szCs w:val="20"/>
          <w:color w:val="auto"/>
        </w:rPr>
      </w:pPr>
      <w:r>
        <w:rPr>
          <w:rFonts w:ascii="Times New Roman" w:cs="Times New Roman" w:eastAsia="Times New Roman" w:hAnsi="Times New Roman"/>
          <w:sz w:val="15"/>
          <w:szCs w:val="15"/>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judicially determined to be not entitled to indemnification hereunder.</w:t>
      </w:r>
    </w:p>
    <w:p>
      <w:pPr>
        <w:spacing w:after="0" w:line="37" w:lineRule="exact"/>
        <w:rPr>
          <w:sz w:val="20"/>
          <w:szCs w:val="20"/>
          <w:color w:val="auto"/>
        </w:rPr>
      </w:pPr>
    </w:p>
    <w:p>
      <w:pPr>
        <w:ind w:left="649" w:hanging="209"/>
        <w:spacing w:after="0"/>
        <w:tabs>
          <w:tab w:leader="none" w:pos="64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If the indemnification under Section 5(a) or 5(b) is unavailable to an Indemnified Party or insufficient to hold an Indemnified Party harmless</w:t>
      </w:r>
    </w:p>
    <w:p>
      <w:pPr>
        <w:spacing w:after="0" w:line="144" w:lineRule="exact"/>
        <w:rPr>
          <w:rFonts w:ascii="Times New Roman" w:cs="Times New Roman" w:eastAsia="Times New Roman" w:hAnsi="Times New Roman"/>
          <w:sz w:val="15"/>
          <w:szCs w:val="15"/>
          <w:color w:val="auto"/>
        </w:rPr>
      </w:pPr>
    </w:p>
    <w:p>
      <w:pPr>
        <w:ind w:left="518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w:t>
      </w:r>
    </w:p>
    <w:p>
      <w:pPr>
        <w:sectPr>
          <w:pgSz w:w="11900" w:h="16838" w:orient="portrait"/>
          <w:cols w:equalWidth="0" w:num="1">
            <w:col w:w="10909"/>
          </w:cols>
          <w:pgMar w:left="691" w:top="258" w:right="299" w:bottom="1440" w:gutter="0" w:footer="0" w:header="0"/>
        </w:sectPr>
      </w:pPr>
    </w:p>
    <w:bookmarkStart w:id="59" w:name="page60"/>
    <w:bookmarkEnd w:id="59"/>
    <w:p>
      <w:pPr>
        <w:ind w:left="460" w:right="6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44" w:lineRule="exact"/>
        <w:rPr>
          <w:sz w:val="20"/>
          <w:szCs w:val="20"/>
          <w:color w:val="auto"/>
        </w:rPr>
      </w:pPr>
    </w:p>
    <w:p>
      <w:pPr>
        <w:ind w:left="460" w:firstLine="439"/>
        <w:spacing w:after="0" w:line="270" w:lineRule="auto"/>
        <w:rPr>
          <w:sz w:val="20"/>
          <w:szCs w:val="20"/>
          <w:color w:val="auto"/>
        </w:rPr>
      </w:pPr>
      <w:r>
        <w:rPr>
          <w:rFonts w:ascii="Times New Roman" w:cs="Times New Roman" w:eastAsia="Times New Roman" w:hAnsi="Times New Roman"/>
          <w:sz w:val="15"/>
          <w:szCs w:val="15"/>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except in the case of fraud by such Holder.</w:t>
      </w:r>
    </w:p>
    <w:p>
      <w:pPr>
        <w:spacing w:after="0" w:line="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The indemnity and contribution agreements contained in this Section are in addition to any liability that the Indemnifying Parties may have to the Indemnified Parties.</w:t>
      </w:r>
    </w:p>
    <w:p>
      <w:pPr>
        <w:spacing w:after="0" w:line="227" w:lineRule="exact"/>
        <w:rPr>
          <w:sz w:val="20"/>
          <w:szCs w:val="20"/>
          <w:color w:val="auto"/>
        </w:rPr>
      </w:pPr>
    </w:p>
    <w:p>
      <w:pPr>
        <w:ind w:left="600" w:hanging="149"/>
        <w:spacing w:after="0"/>
        <w:tabs>
          <w:tab w:leader="none" w:pos="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86" w:lineRule="exact"/>
        <w:rPr>
          <w:sz w:val="20"/>
          <w:szCs w:val="20"/>
          <w:color w:val="auto"/>
        </w:rPr>
      </w:pPr>
    </w:p>
    <w:p>
      <w:pPr>
        <w:ind w:right="80" w:firstLine="451"/>
        <w:spacing w:after="0" w:line="270" w:lineRule="auto"/>
        <w:tabs>
          <w:tab w:leader="none" w:pos="665"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10" w:lineRule="exact"/>
        <w:rPr>
          <w:rFonts w:ascii="Times New Roman" w:cs="Times New Roman" w:eastAsia="Times New Roman" w:hAnsi="Times New Roman"/>
          <w:sz w:val="15"/>
          <w:szCs w:val="15"/>
          <w:color w:val="auto"/>
        </w:rPr>
      </w:pPr>
    </w:p>
    <w:p>
      <w:pPr>
        <w:ind w:right="460" w:firstLine="451"/>
        <w:spacing w:after="0" w:line="297" w:lineRule="auto"/>
        <w:tabs>
          <w:tab w:leader="none" w:pos="67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Piggyback on Registrations; Prohibition on Filing Other Registration Statements</w:t>
      </w:r>
      <w:r>
        <w:rPr>
          <w:rFonts w:ascii="Times New Roman" w:cs="Times New Roman" w:eastAsia="Times New Roman" w:hAnsi="Times New Roman"/>
          <w:sz w:val="15"/>
          <w:szCs w:val="15"/>
          <w:color w:val="auto"/>
        </w:rPr>
        <w:t>. Except for Joseph F. Pinkerton, III, who has waived such rights with respect to any Registration Statement to be filed with respect to the Registrable Shares covered by this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20"/>
          </w:cols>
          <w:pgMar w:left="240" w:top="258" w:right="239" w:bottom="1440" w:gutter="0" w:footer="0" w:header="0"/>
        </w:sectPr>
      </w:pPr>
    </w:p>
    <w:bookmarkStart w:id="60" w:name="page61"/>
    <w:bookmarkEnd w:id="60"/>
    <w:p>
      <w:pPr>
        <w:ind w:right="260"/>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Agreement, neither the Company nor any of its security holders (other than the Holders in such capacity pursuant hereto) may include securities of the Company in any Registration Statements other than the Registrable Securities. The Company shall not file any other registration statements (other than on Form S-8 or Form S-4)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w:t>
      </w:r>
    </w:p>
    <w:p>
      <w:pPr>
        <w:spacing w:after="0" w:line="108" w:lineRule="exact"/>
        <w:rPr>
          <w:sz w:val="20"/>
          <w:szCs w:val="20"/>
          <w:color w:val="auto"/>
        </w:rPr>
      </w:pPr>
    </w:p>
    <w:p>
      <w:pPr>
        <w:ind w:firstLine="451"/>
        <w:spacing w:after="0" w:line="297" w:lineRule="auto"/>
        <w:tabs>
          <w:tab w:leader="none" w:pos="66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w:t>
      </w:r>
      <w:r>
        <w:rPr>
          <w:rFonts w:ascii="Times New Roman" w:cs="Times New Roman" w:eastAsia="Times New Roman" w:hAnsi="Times New Roman"/>
          <w:sz w:val="15"/>
          <w:szCs w:val="15"/>
          <w:color w:val="auto"/>
        </w:rPr>
        <w:t>. Each Holder covenants and agrees that it will comply with the prospectus delivery requirements of the Securities Act as applicable to it in connection with sales of Registrable Securities pursuant to a Registration Statement.</w:t>
      </w:r>
    </w:p>
    <w:p>
      <w:pPr>
        <w:spacing w:after="0" w:line="89" w:lineRule="exact"/>
        <w:rPr>
          <w:rFonts w:ascii="Times New Roman" w:cs="Times New Roman" w:eastAsia="Times New Roman" w:hAnsi="Times New Roman"/>
          <w:sz w:val="15"/>
          <w:szCs w:val="15"/>
          <w:color w:val="auto"/>
        </w:rPr>
      </w:pPr>
    </w:p>
    <w:p>
      <w:pPr>
        <w:ind w:firstLine="451"/>
        <w:spacing w:after="0" w:line="270" w:lineRule="auto"/>
        <w:tabs>
          <w:tab w:leader="none" w:pos="674"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Discontinued Disposition</w:t>
      </w:r>
      <w:r>
        <w:rPr>
          <w:rFonts w:ascii="Times New Roman" w:cs="Times New Roman" w:eastAsia="Times New Roman" w:hAnsi="Times New Roman"/>
          <w:sz w:val="15"/>
          <w:szCs w:val="15"/>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5"/>
          <w:szCs w:val="15"/>
          <w:u w:val="single" w:color="auto"/>
          <w:color w:val="auto"/>
        </w:rPr>
        <w:t>Advice</w:t>
      </w:r>
      <w:r>
        <w:rPr>
          <w:rFonts w:ascii="Times New Roman" w:cs="Times New Roman" w:eastAsia="Times New Roman" w:hAnsi="Times New Roman"/>
          <w:sz w:val="15"/>
          <w:szCs w:val="15"/>
          <w:color w:val="auto"/>
        </w:rPr>
        <w:t>”) by the Company that the use of the applicable Prospectus (as it may have been supplemented or amended) may be resumed. The Company will use its best efforts to ensure that the use of the Prospectus may be resumed as promptly as it practicable. The Company agrees and acknowledges that any periods during which the Holder is required to discontinue the disposition of the Registrable Securities hereunder shall be subject to the provisions of Section 2(b).</w:t>
      </w:r>
    </w:p>
    <w:p>
      <w:pPr>
        <w:spacing w:after="0" w:line="110" w:lineRule="exact"/>
        <w:rPr>
          <w:rFonts w:ascii="Times New Roman" w:cs="Times New Roman" w:eastAsia="Times New Roman" w:hAnsi="Times New Roman"/>
          <w:sz w:val="15"/>
          <w:szCs w:val="15"/>
          <w:color w:val="auto"/>
        </w:rPr>
      </w:pPr>
    </w:p>
    <w:p>
      <w:pPr>
        <w:ind w:right="20" w:firstLine="451"/>
        <w:spacing w:after="0" w:line="266" w:lineRule="auto"/>
        <w:tabs>
          <w:tab w:leader="none" w:pos="66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Piggy-Back Registrations</w:t>
      </w:r>
      <w:r>
        <w:rPr>
          <w:rFonts w:ascii="Times New Roman" w:cs="Times New Roman" w:eastAsia="Times New Roman" w:hAnsi="Times New Roman"/>
          <w:sz w:val="15"/>
          <w:szCs w:val="15"/>
          <w:color w:val="auto"/>
        </w:rPr>
        <w:t xml:space="preserve">.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Holder a written notice of such determination and, if within fifteen days after the date of the delivery of such notice, any such Holder shall so request in writing, the Company shall include in such registration statement all or any part of such Registrable Securities such Holder requests to be registered;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not be required to register any Registrable Securities pursuant to this Section 6(e) that are eligible for resale pursuant to Rule 144(k) promulgated by the Commission pursuant to the Securities Act or that are the subject of a then effective Registration Statement.</w:t>
      </w:r>
    </w:p>
    <w:p>
      <w:pPr>
        <w:spacing w:after="0" w:line="114" w:lineRule="exact"/>
        <w:rPr>
          <w:rFonts w:ascii="Times New Roman" w:cs="Times New Roman" w:eastAsia="Times New Roman" w:hAnsi="Times New Roman"/>
          <w:sz w:val="15"/>
          <w:szCs w:val="15"/>
          <w:color w:val="auto"/>
        </w:rPr>
      </w:pPr>
    </w:p>
    <w:p>
      <w:pPr>
        <w:ind w:right="100" w:firstLine="451"/>
        <w:spacing w:after="0" w:line="273" w:lineRule="auto"/>
        <w:tabs>
          <w:tab w:leader="none" w:pos="648"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Amendments and Waivers</w:t>
      </w:r>
      <w:r>
        <w:rPr>
          <w:rFonts w:ascii="Times New Roman" w:cs="Times New Roman" w:eastAsia="Times New Roman" w:hAnsi="Times New Roman"/>
          <w:sz w:val="15"/>
          <w:szCs w:val="15"/>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a majority of the then outstanding Registrable Securities (including, for this purpose any Registrable Securities issuable upon exercise or conversion of any Security). If a Registration Statement does not register all of the Registrable Securities pursuant to a waiver or amendment done in compliance with the previous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20"/>
          </w:cols>
          <w:pgMar w:left="240" w:top="258" w:right="239" w:bottom="1440" w:gutter="0" w:footer="0" w:header="0"/>
        </w:sectPr>
      </w:pPr>
    </w:p>
    <w:bookmarkStart w:id="61" w:name="page62"/>
    <w:bookmarkEnd w:id="61"/>
    <w:p>
      <w:pPr>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 xml:space="preserve">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by such Holder or Holders of all of the Registrable Securities to which such waiver or consent relates;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provisions of this sentence may not be amended, modified, or supplemented except in accordance with the provisions of the first sentence of this Section 6(f).</w:t>
      </w:r>
    </w:p>
    <w:p>
      <w:pPr>
        <w:spacing w:after="0" w:line="110" w:lineRule="exact"/>
        <w:rPr>
          <w:sz w:val="20"/>
          <w:szCs w:val="20"/>
          <w:color w:val="auto"/>
        </w:rPr>
      </w:pPr>
    </w:p>
    <w:p>
      <w:pPr>
        <w:ind w:left="660" w:hanging="209"/>
        <w:spacing w:after="0"/>
        <w:tabs>
          <w:tab w:leader="none" w:pos="6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and all notices or other communications or deliveries required or permitted to be provided hereunder shall be delivered as set forth in the Purchase Agreement.</w:t>
      </w:r>
    </w:p>
    <w:p>
      <w:pPr>
        <w:spacing w:after="0" w:line="156" w:lineRule="exact"/>
        <w:rPr>
          <w:rFonts w:ascii="Times New Roman" w:cs="Times New Roman" w:eastAsia="Times New Roman" w:hAnsi="Times New Roman"/>
          <w:sz w:val="15"/>
          <w:szCs w:val="15"/>
          <w:color w:val="auto"/>
        </w:rPr>
      </w:pPr>
    </w:p>
    <w:p>
      <w:pPr>
        <w:ind w:right="100" w:firstLine="451"/>
        <w:spacing w:after="0" w:line="279" w:lineRule="auto"/>
        <w:tabs>
          <w:tab w:leader="none" w:pos="67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the Purchase Agreement.</w:t>
      </w:r>
    </w:p>
    <w:p>
      <w:pPr>
        <w:spacing w:after="0" w:line="103" w:lineRule="exact"/>
        <w:rPr>
          <w:rFonts w:ascii="Times New Roman" w:cs="Times New Roman" w:eastAsia="Times New Roman" w:hAnsi="Times New Roman"/>
          <w:sz w:val="15"/>
          <w:szCs w:val="15"/>
          <w:color w:val="auto"/>
        </w:rPr>
      </w:pPr>
    </w:p>
    <w:p>
      <w:pPr>
        <w:ind w:firstLine="451"/>
        <w:spacing w:after="0" w:line="273" w:lineRule="auto"/>
        <w:tabs>
          <w:tab w:leader="none" w:pos="6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Inconsistent Agreements</w:t>
      </w:r>
      <w:r>
        <w:rPr>
          <w:rFonts w:ascii="Times New Roman" w:cs="Times New Roman" w:eastAsia="Times New Roman" w:hAnsi="Times New Roman"/>
          <w:sz w:val="15"/>
          <w:szCs w:val="15"/>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Times New Roman" w:cs="Times New Roman" w:eastAsia="Times New Roman" w:hAnsi="Times New Roman"/>
          <w:sz w:val="15"/>
          <w:szCs w:val="15"/>
          <w:u w:val="single" w:color="auto"/>
          <w:color w:val="auto"/>
        </w:rPr>
        <w:t>Schedule 6(i)</w:t>
      </w:r>
      <w:r>
        <w:rPr>
          <w:rFonts w:ascii="Times New Roman" w:cs="Times New Roman" w:eastAsia="Times New Roman" w:hAnsi="Times New Roman"/>
          <w:sz w:val="15"/>
          <w:szCs w:val="15"/>
          <w:color w:val="auto"/>
        </w:rPr>
        <w:t>, neither the Company nor any of its Subsidiaries has previously entered into any agreement granting any registration rights with respect to any of its securities to any Person that have not been satisfied in full.</w:t>
      </w:r>
    </w:p>
    <w:p>
      <w:pPr>
        <w:spacing w:after="0" w:line="107" w:lineRule="exact"/>
        <w:rPr>
          <w:rFonts w:ascii="Times New Roman" w:cs="Times New Roman" w:eastAsia="Times New Roman" w:hAnsi="Times New Roman"/>
          <w:sz w:val="15"/>
          <w:szCs w:val="15"/>
          <w:color w:val="auto"/>
        </w:rPr>
      </w:pPr>
    </w:p>
    <w:p>
      <w:pPr>
        <w:ind w:right="80" w:firstLine="451"/>
        <w:spacing w:after="0" w:line="273" w:lineRule="auto"/>
        <w:tabs>
          <w:tab w:leader="none" w:pos="6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Execution and Counterparts</w:t>
      </w:r>
      <w:r>
        <w:rPr>
          <w:rFonts w:ascii="Times New Roman" w:cs="Times New Roman" w:eastAsia="Times New Roman" w:hAnsi="Times New Roman"/>
          <w:sz w:val="15"/>
          <w:szCs w:val="15"/>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or “.tif” format data file, such signature shall create a valid and binding obligation of the party executing (or on whose behalf such signature is executed) with the same force and effect as if such facsimile or “.pdf” or “.tif” signature page were an original thereof.</w:t>
      </w:r>
    </w:p>
    <w:p>
      <w:pPr>
        <w:spacing w:after="0" w:line="107" w:lineRule="exact"/>
        <w:rPr>
          <w:rFonts w:ascii="Times New Roman" w:cs="Times New Roman" w:eastAsia="Times New Roman" w:hAnsi="Times New Roman"/>
          <w:sz w:val="15"/>
          <w:szCs w:val="15"/>
          <w:color w:val="auto"/>
        </w:rPr>
      </w:pPr>
    </w:p>
    <w:p>
      <w:pPr>
        <w:ind w:right="20" w:firstLine="451"/>
        <w:spacing w:after="0" w:line="297" w:lineRule="auto"/>
        <w:tabs>
          <w:tab w:leader="none" w:pos="67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All questions concerning the construction, validity, enforcement and interpretation of this Agreement shall be determined in accordance with the provisions of the Purchase Agreement.</w:t>
      </w:r>
    </w:p>
    <w:p>
      <w:pPr>
        <w:spacing w:after="0" w:line="89" w:lineRule="exact"/>
        <w:rPr>
          <w:rFonts w:ascii="Times New Roman" w:cs="Times New Roman" w:eastAsia="Times New Roman" w:hAnsi="Times New Roman"/>
          <w:sz w:val="15"/>
          <w:szCs w:val="15"/>
          <w:color w:val="auto"/>
        </w:rPr>
      </w:pPr>
    </w:p>
    <w:p>
      <w:pPr>
        <w:ind w:left="640" w:hanging="189"/>
        <w:spacing w:after="0"/>
        <w:tabs>
          <w:tab w:leader="none" w:pos="6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Cumulative Remedies</w:t>
      </w:r>
      <w:r>
        <w:rPr>
          <w:rFonts w:ascii="Times New Roman" w:cs="Times New Roman" w:eastAsia="Times New Roman" w:hAnsi="Times New Roman"/>
          <w:sz w:val="15"/>
          <w:szCs w:val="15"/>
          <w:color w:val="auto"/>
        </w:rPr>
        <w:t>. The remedies provided herein are cumulative and not exclusive of any other remedies provided by law.</w:t>
      </w:r>
    </w:p>
    <w:p>
      <w:pPr>
        <w:spacing w:after="0" w:line="156" w:lineRule="exact"/>
        <w:rPr>
          <w:rFonts w:ascii="Times New Roman" w:cs="Times New Roman" w:eastAsia="Times New Roman" w:hAnsi="Times New Roman"/>
          <w:sz w:val="15"/>
          <w:szCs w:val="15"/>
          <w:color w:val="auto"/>
        </w:rPr>
      </w:pPr>
    </w:p>
    <w:p>
      <w:pPr>
        <w:ind w:left="720" w:hanging="269"/>
        <w:spacing w:after="0"/>
        <w:tabs>
          <w:tab w:leader="none" w:pos="7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provision, covenant or restriction of this Agreement is held by a court of competent jurisdiction to be invalid, illegal, void or unenforceable,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00"/>
          </w:cols>
          <w:pgMar w:left="240" w:top="258" w:right="259" w:bottom="1440" w:gutter="0" w:footer="0" w:header="0"/>
        </w:sectPr>
      </w:pPr>
    </w:p>
    <w:bookmarkStart w:id="62" w:name="page63"/>
    <w:bookmarkEnd w:id="62"/>
    <w:p>
      <w:pPr>
        <w:ind w:right="60"/>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(n)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in this Agreement are for convenience only, do not constitute a part of the Agreement and shall not be deemed to limit or affect any of the provisions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hereof.</w:t>
      </w:r>
    </w:p>
    <w:p>
      <w:pPr>
        <w:spacing w:after="0" w:line="146" w:lineRule="exact"/>
        <w:rPr>
          <w:sz w:val="20"/>
          <w:szCs w:val="20"/>
          <w:color w:val="auto"/>
        </w:rPr>
      </w:pPr>
    </w:p>
    <w:p>
      <w:pPr>
        <w:ind w:firstLine="451"/>
        <w:spacing w:after="0" w:line="268" w:lineRule="auto"/>
        <w:tabs>
          <w:tab w:leader="none" w:pos="674"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Nature of Holders’ Obligations and Rights</w:t>
      </w:r>
      <w:r>
        <w:rPr>
          <w:rFonts w:ascii="Times New Roman" w:cs="Times New Roman" w:eastAsia="Times New Roman" w:hAnsi="Times New Roman"/>
          <w:sz w:val="15"/>
          <w:szCs w:val="15"/>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360"/>
          </w:cols>
          <w:pgMar w:left="240" w:top="258"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WITNESS WHEREOF, the parties have executed this Registration Rights Agreement as of the date first written above.</w:t>
      </w:r>
    </w:p>
    <w:p>
      <w:pPr>
        <w:spacing w:after="0" w:line="18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b w:val="1"/>
          <w:bCs w:val="1"/>
          <w:color w:val="auto"/>
        </w:rPr>
        <w:t>ACTIVE POWER, INC.</w:t>
      </w:r>
    </w:p>
    <w:p>
      <w:pPr>
        <w:spacing w:after="0" w:line="207"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15"/>
          <w:szCs w:val="15"/>
          <w:color w:val="auto"/>
        </w:rPr>
        <w:t>By:</w:t>
        <w:tab/>
        <w:t>/s/ Jim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17145</wp:posOffset>
            </wp:positionV>
            <wp:extent cx="26181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18105" cy="7620"/>
                    </a:xfrm>
                    <a:prstGeom prst="rect">
                      <a:avLst/>
                    </a:prstGeom>
                    <a:noFill/>
                  </pic:spPr>
                </pic:pic>
              </a:graphicData>
            </a:graphic>
          </wp:anchor>
        </w:drawing>
      </w:r>
    </w:p>
    <w:p>
      <w:pPr>
        <w:spacing w:after="0" w:line="1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Name: Jim Clishem</w:t>
      </w:r>
    </w:p>
    <w:p>
      <w:pPr>
        <w:spacing w:after="0" w:line="26"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15"/>
          <w:szCs w:val="15"/>
          <w:color w:val="auto"/>
        </w:rPr>
        <w:t>Title:</w:t>
        <w:tab/>
        <w:t>President and CEO</w:t>
      </w:r>
    </w:p>
    <w:p>
      <w:pPr>
        <w:spacing w:after="0" w:line="15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[SIGNATURE PAGES OF HOLDERS FOLLOW]</w:t>
      </w:r>
    </w:p>
    <w:p>
      <w:pPr>
        <w:spacing w:after="0" w:line="14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[Signature Page to Active Power 2007 PIPE Registration Rights Agreement]</w:t>
      </w:r>
    </w:p>
    <w:p>
      <w:pPr>
        <w:sectPr>
          <w:pgSz w:w="11900" w:h="16838" w:orient="portrait"/>
          <w:cols w:equalWidth="0" w:num="1">
            <w:col w:w="9759"/>
          </w:cols>
          <w:pgMar w:left="700" w:top="258" w:right="1440" w:bottom="1440" w:gutter="0" w:footer="0" w:header="0"/>
        </w:sectPr>
      </w:pPr>
    </w:p>
    <w:bookmarkStart w:id="64" w:name="page65"/>
    <w:bookmarkEnd w:id="64"/>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SF Capital Partners Ltd.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Brian H. Davidson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Brian H. Davidson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Managing Director</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65" w:name="page66"/>
    <w:bookmarkEnd w:id="65"/>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Southport Energy Alternatives Fund, 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Grammalva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Grammalva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Sound Energy Partners, Inc. Its Investment Manager</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66" w:name="page67"/>
    <w:bookmarkEnd w:id="66"/>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Southport Energy Alternatives SPV Offshore Fund,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Giammalva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Giammalva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 Sound Energy Partners, Inc. – It’s Investment Advisor</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67" w:name="page68"/>
    <w:bookmarkEnd w:id="67"/>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Southport Energy Alternatives SPV Fund, LP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Anthony Giammalva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Anthony Giammalva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CEO Sound Energy Partners, Inc. Its Investment Manager</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68" w:name="page69"/>
    <w:bookmarkEnd w:id="68"/>
    <w:p>
      <w:pPr>
        <w:ind w:left="40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UBS O’Connor LLC F/B/O: O’Connor Pipes Corporate Strategies Master Limited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Andy Martin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Andy Martin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Executive Director</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69" w:name="page70"/>
    <w:bookmarkEnd w:id="69"/>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RHO Management Trust IV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Jeffrey I. Martin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Jeffrey I. Martin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Attorney-in-fact</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70" w:name="page71"/>
    <w:bookmarkEnd w:id="70"/>
    <w:p>
      <w:pPr>
        <w:jc w:val="right"/>
        <w:ind w:right="279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Steelhead Investments Ltd.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J. Baker Gentry, Jr.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J. Baker Gentry, Jr.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Authorized Signatory</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71" w:name="page72"/>
    <w:bookmarkEnd w:id="71"/>
    <w:p>
      <w:pPr>
        <w:ind w:left="40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Paperworld Environmental Opportunities Fund (Register Holder: Paperworld Environmental Opportunities)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Bruce Jenkyn-Jones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72" w:name="page73"/>
    <w:bookmarkEnd w:id="72"/>
    <w:p>
      <w:pPr>
        <w:ind w:left="40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Impax Environmental Markets (Ireland) Fund (Registered Holder: RBC Dexia Investor Services Bank)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Bruce Jenkyn-Jones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73" w:name="page74"/>
    <w:bookmarkEnd w:id="73"/>
    <w:p>
      <w:pPr>
        <w:ind w:left="40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 PAGE OF HOLDERS TO ACPW RRA]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Holder: Impax Environmental Markets PLC (Registered Holder: Nortrust Nominees Limited Account: IEM01)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Signature of Authorized Signatory of Purchaser</w:t>
      </w:r>
      <w:r>
        <w:rPr>
          <w:rFonts w:ascii="Times New Roman" w:cs="Times New Roman" w:eastAsia="Times New Roman" w:hAnsi="Times New Roman"/>
          <w:sz w:val="15"/>
          <w:szCs w:val="15"/>
          <w:color w:val="auto"/>
        </w:rPr>
        <w:t>: /s/ Bruce Jenkyn-Jones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Authorized Signatory: Bruce Jenkyn-Jones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of Authorized Signatory: Director of Investments</w:t>
      </w:r>
    </w:p>
    <w:p>
      <w:pPr>
        <w:spacing w:after="0" w:line="1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color w:val="auto"/>
        </w:rPr>
        <w:t>[SIGNATURE PAGES CONTINUE]</w:t>
      </w:r>
    </w:p>
    <w:p>
      <w:pPr>
        <w:sectPr>
          <w:pgSz w:w="11900" w:h="16838" w:orient="portrait"/>
          <w:cols w:equalWidth="0" w:num="1">
            <w:col w:w="10219"/>
          </w:cols>
          <w:pgMar w:left="240" w:top="258" w:right="144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Annex 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Plan of Distribution</w:t>
      </w:r>
    </w:p>
    <w:p>
      <w:pPr>
        <w:spacing w:after="0" w:line="156" w:lineRule="exact"/>
        <w:rPr>
          <w:sz w:val="20"/>
          <w:szCs w:val="20"/>
          <w:color w:val="auto"/>
        </w:rPr>
      </w:pPr>
    </w:p>
    <w:p>
      <w:pPr>
        <w:ind w:right="60" w:firstLine="457"/>
        <w:spacing w:after="0" w:line="279" w:lineRule="auto"/>
        <w:rPr>
          <w:sz w:val="20"/>
          <w:szCs w:val="20"/>
          <w:color w:val="auto"/>
        </w:rPr>
      </w:pPr>
      <w:r>
        <w:rPr>
          <w:rFonts w:ascii="Times New Roman" w:cs="Times New Roman" w:eastAsia="Times New Roman" w:hAnsi="Times New Roman"/>
          <w:sz w:val="15"/>
          <w:szCs w:val="15"/>
          <w:color w:val="auto"/>
        </w:rPr>
        <w:t>Each Selling Stockholder (the “</w:t>
      </w:r>
      <w:r>
        <w:rPr>
          <w:rFonts w:ascii="Times New Roman" w:cs="Times New Roman" w:eastAsia="Times New Roman" w:hAnsi="Times New Roman"/>
          <w:sz w:val="15"/>
          <w:szCs w:val="15"/>
          <w:u w:val="single" w:color="auto"/>
          <w:color w:val="auto"/>
        </w:rPr>
        <w:t>Selling Stockholders</w:t>
      </w:r>
      <w:r>
        <w:rPr>
          <w:rFonts w:ascii="Times New Roman" w:cs="Times New Roman" w:eastAsia="Times New Roman" w:hAnsi="Times New Roman"/>
          <w:sz w:val="15"/>
          <w:szCs w:val="15"/>
          <w:color w:val="auto"/>
        </w:rPr>
        <w:t>”) of the common stock and any of their pledgees, assignees and successors-in-interest may, from time to time, sell any or all of their shares of common stock on the Nasdaq Global Market or any other stock exchange, market or trading facility on which the shares are traded or in private transactions. These sales may be at fixed or negotiated prices. A Selling Stockholder may use any one or more of the following methods when selling shares:</w:t>
      </w:r>
    </w:p>
    <w:p>
      <w:pPr>
        <w:spacing w:after="0" w:line="33" w:lineRule="exact"/>
        <w:rPr>
          <w:sz w:val="20"/>
          <w:szCs w:val="20"/>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brokerage transactions and transactions in which the broker-dealer solicits purchasers;</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block trades in which the broker-dealer will attempt to sell the shares as agent but may position and resell a portion of the block as principal to facilitate the transaction;</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by a broker-dealer as principal and resale by the broker-dealer for its account;</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exchange distribution in accordance with the rules of the applicable exchange;</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privately negotiated transactions;</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settlement of short sales entered into after the effective date of the registration statement of which this prospectus is a part;</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broker-dealers may agree with the Selling Stockholders to sell a specified number of such shares at a stipulated price per share;</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the writing or settlement of options or other hedging transactions, whether through an options exchange or otherwise;</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combination of any such methods of sale; or</w:t>
      </w:r>
    </w:p>
    <w:p>
      <w:pPr>
        <w:spacing w:after="0" w:line="85" w:lineRule="exact"/>
        <w:rPr>
          <w:rFonts w:ascii="Times New Roman" w:cs="Times New Roman" w:eastAsia="Times New Roman" w:hAnsi="Times New Roman"/>
          <w:sz w:val="15"/>
          <w:szCs w:val="15"/>
          <w:color w:val="auto"/>
        </w:rPr>
      </w:pPr>
    </w:p>
    <w:p>
      <w:pPr>
        <w:ind w:left="880" w:hanging="322"/>
        <w:spacing w:after="0"/>
        <w:tabs>
          <w:tab w:leader="none" w:pos="88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method permitted pursuant to applicable law.</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Selling Stockholders may also sell shares under Rule 144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if available, rather than under this prospectus.</w:t>
      </w:r>
    </w:p>
    <w:p>
      <w:pPr>
        <w:spacing w:after="0" w:line="156" w:lineRule="exact"/>
        <w:rPr>
          <w:sz w:val="20"/>
          <w:szCs w:val="20"/>
          <w:color w:val="auto"/>
        </w:rPr>
      </w:pPr>
    </w:p>
    <w:p>
      <w:pPr>
        <w:ind w:right="200" w:firstLine="457"/>
        <w:spacing w:after="0" w:line="273" w:lineRule="auto"/>
        <w:rPr>
          <w:sz w:val="20"/>
          <w:szCs w:val="20"/>
          <w:color w:val="auto"/>
        </w:rPr>
      </w:pPr>
      <w:r>
        <w:rPr>
          <w:rFonts w:ascii="Times New Roman" w:cs="Times New Roman" w:eastAsia="Times New Roman" w:hAnsi="Times New Roman"/>
          <w:sz w:val="15"/>
          <w:szCs w:val="15"/>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NASDR Rule 2440; and in the case of a principal transaction a markup or markdown in compliance with NASDR IM-2440.</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1440"/>
          </w:cols>
          <w:pgMar w:left="240" w:top="254" w:right="219" w:bottom="1440" w:gutter="0" w:footer="0" w:header="0"/>
        </w:sectPr>
      </w:pPr>
    </w:p>
    <w:bookmarkStart w:id="75" w:name="page76"/>
    <w:bookmarkEnd w:id="75"/>
    <w:p>
      <w:pPr>
        <w:ind w:right="140" w:firstLine="457"/>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3" w:lineRule="exact"/>
        <w:rPr>
          <w:sz w:val="20"/>
          <w:szCs w:val="20"/>
          <w:color w:val="auto"/>
        </w:rPr>
      </w:pPr>
    </w:p>
    <w:p>
      <w:pPr>
        <w:ind w:right="40" w:firstLine="457"/>
        <w:spacing w:after="0" w:line="270" w:lineRule="auto"/>
        <w:rPr>
          <w:sz w:val="20"/>
          <w:szCs w:val="20"/>
          <w:color w:val="auto"/>
        </w:rPr>
      </w:pPr>
      <w:r>
        <w:rPr>
          <w:rFonts w:ascii="Times New Roman" w:cs="Times New Roman" w:eastAsia="Times New Roman" w:hAnsi="Times New Roman"/>
          <w:sz w:val="15"/>
          <w:szCs w:val="15"/>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10" w:lineRule="exact"/>
        <w:rPr>
          <w:sz w:val="20"/>
          <w:szCs w:val="20"/>
          <w:color w:val="auto"/>
        </w:rPr>
      </w:pPr>
    </w:p>
    <w:p>
      <w:pPr>
        <w:ind w:right="200" w:firstLine="457"/>
        <w:spacing w:after="0" w:line="297" w:lineRule="auto"/>
        <w:rPr>
          <w:sz w:val="20"/>
          <w:szCs w:val="20"/>
          <w:color w:val="auto"/>
        </w:rPr>
      </w:pPr>
      <w:r>
        <w:rPr>
          <w:rFonts w:ascii="Times New Roman" w:cs="Times New Roman" w:eastAsia="Times New Roman" w:hAnsi="Times New Roman"/>
          <w:sz w:val="15"/>
          <w:szCs w:val="15"/>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90" w:lineRule="exact"/>
        <w:rPr>
          <w:sz w:val="20"/>
          <w:szCs w:val="20"/>
          <w:color w:val="auto"/>
        </w:rPr>
      </w:pPr>
    </w:p>
    <w:p>
      <w:pPr>
        <w:ind w:firstLine="457"/>
        <w:spacing w:after="0" w:line="270" w:lineRule="auto"/>
        <w:rPr>
          <w:sz w:val="20"/>
          <w:szCs w:val="20"/>
          <w:color w:val="auto"/>
        </w:rPr>
      </w:pPr>
      <w:r>
        <w:rPr>
          <w:rFonts w:ascii="Times New Roman" w:cs="Times New Roman" w:eastAsia="Times New Roman" w:hAnsi="Times New Roman"/>
          <w:sz w:val="15"/>
          <w:szCs w:val="15"/>
          <w:color w:val="auto"/>
        </w:rPr>
        <w:t>Because Selling Stockholders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 dealer regarding the sale of the resale shares. There is no underwriter or coordinating broker acting in connection with the proposed sale of the resale shares by the Selling Stockholders.</w:t>
      </w:r>
    </w:p>
    <w:p>
      <w:pPr>
        <w:spacing w:after="0" w:line="110" w:lineRule="exact"/>
        <w:rPr>
          <w:sz w:val="20"/>
          <w:szCs w:val="20"/>
          <w:color w:val="auto"/>
        </w:rPr>
      </w:pPr>
    </w:p>
    <w:p>
      <w:pPr>
        <w:ind w:right="40" w:firstLine="457"/>
        <w:spacing w:after="0" w:line="270" w:lineRule="auto"/>
        <w:rPr>
          <w:sz w:val="20"/>
          <w:szCs w:val="20"/>
          <w:color w:val="auto"/>
        </w:rPr>
      </w:pPr>
      <w:r>
        <w:rPr>
          <w:rFonts w:ascii="Times New Roman" w:cs="Times New Roman" w:eastAsia="Times New Roman" w:hAnsi="Times New Roman"/>
          <w:sz w:val="15"/>
          <w:szCs w:val="15"/>
          <w:color w:val="auto"/>
        </w:rPr>
        <w:t>We agreed to keep this prospectus effective until the earlier of (i) the date on which the shares may be resold by the Selling Stockholders without registration and without regard to any volume limitations by reason of Rule 144(k) under the Securities Act or any other rule of similar effect or (ii) all of the shares have been sold pursuant to this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420"/>
          </w:cols>
          <w:pgMar w:left="240" w:top="258" w:right="239" w:bottom="1440" w:gutter="0" w:footer="0" w:header="0"/>
        </w:sectPr>
      </w:pPr>
    </w:p>
    <w:bookmarkStart w:id="76" w:name="page77"/>
    <w:bookmarkEnd w:id="76"/>
    <w:p>
      <w:pPr>
        <w:ind w:firstLine="457"/>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1420"/>
          </w:cols>
          <w:pgMar w:left="240" w:top="258"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Annex B</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ACTIVE POWER,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Selling Securityholder Notice and Questionnaire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undersigned beneficial owner of common stock (the “</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of Active Power,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understands that the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has filed or intends to file with the Securities and Exchange Commission (the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a registration statement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for the registration and resale under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Rule 415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of the Registrable Securities, in accordance with the terms of the Registration Rights Agreement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to which this document is annexed. A copy of the Registration Rights Agreement is available from the Company upon request at the address set forth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below. All capitalized terms not otherwise defined herein shall have the meanings ascribed thereto in the Registration Rights Agreement.</w:t>
      </w:r>
    </w:p>
    <w:p>
      <w:pPr>
        <w:spacing w:after="0" w:line="146" w:lineRule="exact"/>
        <w:rPr>
          <w:sz w:val="20"/>
          <w:szCs w:val="20"/>
          <w:color w:val="auto"/>
        </w:rPr>
      </w:pPr>
    </w:p>
    <w:p>
      <w:pPr>
        <w:ind w:right="40" w:firstLine="457"/>
        <w:spacing w:after="0" w:line="279" w:lineRule="auto"/>
        <w:rPr>
          <w:sz w:val="20"/>
          <w:szCs w:val="20"/>
          <w:color w:val="auto"/>
        </w:rPr>
      </w:pPr>
      <w:r>
        <w:rPr>
          <w:rFonts w:ascii="Times New Roman" w:cs="Times New Roman" w:eastAsia="Times New Roman" w:hAnsi="Times New Roman"/>
          <w:sz w:val="15"/>
          <w:szCs w:val="15"/>
          <w:color w:val="auto"/>
        </w:rPr>
        <w:t>Certain legal consequences arise from being named as a selling securityholder in the Registration Statement and the related prospectus. Accordingly, holders and beneficial owners of Registrable Securities are advised to consult their own securities law counsel regarding the consequences of being named or not being named as a selling securityholder in the Registration Statement and the related prospectus.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w:t>
      </w:r>
    </w:p>
    <w:p>
      <w:pPr>
        <w:spacing w:after="0" w:line="160" w:lineRule="exact"/>
        <w:rPr>
          <w:sz w:val="20"/>
          <w:szCs w:val="20"/>
          <w:color w:val="auto"/>
        </w:rPr>
      </w:pPr>
    </w:p>
    <w:p>
      <w:pPr>
        <w:ind w:right="480" w:firstLine="457"/>
        <w:spacing w:after="0" w:line="297" w:lineRule="auto"/>
        <w:rPr>
          <w:sz w:val="20"/>
          <w:szCs w:val="20"/>
          <w:color w:val="auto"/>
        </w:rPr>
      </w:pPr>
      <w:r>
        <w:rPr>
          <w:rFonts w:ascii="Times New Roman" w:cs="Times New Roman" w:eastAsia="Times New Roman" w:hAnsi="Times New Roman"/>
          <w:sz w:val="15"/>
          <w:szCs w:val="15"/>
          <w:color w:val="auto"/>
        </w:rPr>
        <w:t>The undersigned beneficial owner (the “</w:t>
      </w:r>
      <w:r>
        <w:rPr>
          <w:rFonts w:ascii="Times New Roman" w:cs="Times New Roman" w:eastAsia="Times New Roman" w:hAnsi="Times New Roman"/>
          <w:sz w:val="15"/>
          <w:szCs w:val="15"/>
          <w:u w:val="single" w:color="auto"/>
          <w:color w:val="auto"/>
        </w:rPr>
        <w:t>Selling Securityholder</w:t>
      </w:r>
      <w:r>
        <w:rPr>
          <w:rFonts w:ascii="Times New Roman" w:cs="Times New Roman" w:eastAsia="Times New Roman" w:hAnsi="Times New Roman"/>
          <w:sz w:val="15"/>
          <w:szCs w:val="15"/>
          <w:color w:val="auto"/>
        </w:rPr>
        <w:t>”) of Registrable Securities hereby elects to include the Registrable Securities owned by it in the Registration Statement.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11440"/>
          </w:cols>
          <w:pgMar w:left="240" w:top="253" w:right="219" w:bottom="1440" w:gutter="0" w:footer="0" w:header="0"/>
        </w:sectPr>
      </w:pPr>
    </w:p>
    <w:bookmarkStart w:id="78" w:name="page79"/>
    <w:bookmarkEnd w:id="78"/>
    <w:p>
      <w:pPr>
        <w:ind w:left="6"/>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undersigned hereby provides the following information to the Company and represents and warrants that such information is accurate:</w:t>
      </w:r>
    </w:p>
    <w:p>
      <w:pPr>
        <w:spacing w:after="0" w:line="293" w:lineRule="exact"/>
        <w:rPr>
          <w:sz w:val="20"/>
          <w:szCs w:val="20"/>
          <w:color w:val="auto"/>
        </w:rPr>
      </w:pPr>
    </w:p>
    <w:p>
      <w:pPr>
        <w:jc w:val="center"/>
        <w:ind w:right="-205"/>
        <w:spacing w:after="0"/>
        <w:rPr>
          <w:sz w:val="20"/>
          <w:szCs w:val="20"/>
          <w:color w:val="auto"/>
        </w:rPr>
      </w:pPr>
      <w:r>
        <w:rPr>
          <w:rFonts w:ascii="Times New Roman" w:cs="Times New Roman" w:eastAsia="Times New Roman" w:hAnsi="Times New Roman"/>
          <w:sz w:val="15"/>
          <w:szCs w:val="15"/>
          <w:b w:val="1"/>
          <w:bCs w:val="1"/>
          <w:color w:val="auto"/>
        </w:rPr>
        <w:t>QUESTIONNAIRE</w:t>
      </w:r>
    </w:p>
    <w:p>
      <w:pPr>
        <w:spacing w:after="0" w:line="192" w:lineRule="exact"/>
        <w:rPr>
          <w:sz w:val="20"/>
          <w:szCs w:val="20"/>
          <w:color w:val="auto"/>
        </w:rPr>
      </w:pPr>
    </w:p>
    <w:p>
      <w:pPr>
        <w:ind w:left="446" w:hanging="446"/>
        <w:spacing w:after="0"/>
        <w:tabs>
          <w:tab w:leader="none" w:pos="446"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Name.</w:t>
      </w:r>
    </w:p>
    <w:p>
      <w:pPr>
        <w:spacing w:after="0" w:line="89" w:lineRule="exact"/>
        <w:rPr>
          <w:rFonts w:ascii="Times New Roman" w:cs="Times New Roman" w:eastAsia="Times New Roman" w:hAnsi="Times New Roman"/>
          <w:sz w:val="15"/>
          <w:szCs w:val="15"/>
          <w:b w:val="1"/>
          <w:bCs w:val="1"/>
          <w:color w:val="auto"/>
        </w:rPr>
      </w:pPr>
    </w:p>
    <w:p>
      <w:pPr>
        <w:ind w:left="1026" w:hanging="556"/>
        <w:spacing w:after="0"/>
        <w:tabs>
          <w:tab w:leader="none" w:pos="1026"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Full Legal Name of Selling Securityholder</w:t>
      </w:r>
    </w:p>
    <w:p>
      <w:pPr>
        <w:spacing w:after="0" w:line="200" w:lineRule="exact"/>
        <w:rPr>
          <w:rFonts w:ascii="Times New Roman" w:cs="Times New Roman" w:eastAsia="Times New Roman" w:hAnsi="Times New Roman"/>
          <w:sz w:val="15"/>
          <w:szCs w:val="15"/>
          <w:color w:val="auto"/>
        </w:rPr>
      </w:pPr>
    </w:p>
    <w:p>
      <w:pPr>
        <w:spacing w:after="0" w:line="308" w:lineRule="exact"/>
        <w:rPr>
          <w:rFonts w:ascii="Times New Roman" w:cs="Times New Roman" w:eastAsia="Times New Roman" w:hAnsi="Times New Roman"/>
          <w:sz w:val="15"/>
          <w:szCs w:val="15"/>
          <w:color w:val="auto"/>
        </w:rPr>
      </w:pPr>
    </w:p>
    <w:p>
      <w:pPr>
        <w:ind w:left="1026" w:hanging="556"/>
        <w:spacing w:after="0"/>
        <w:tabs>
          <w:tab w:leader="none" w:pos="1026"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5"/>
          <w:szCs w:val="15"/>
          <w:color w:val="auto"/>
        </w:rPr>
      </w:pPr>
    </w:p>
    <w:p>
      <w:pPr>
        <w:spacing w:after="0" w:line="308" w:lineRule="exact"/>
        <w:rPr>
          <w:rFonts w:ascii="Times New Roman" w:cs="Times New Roman" w:eastAsia="Times New Roman" w:hAnsi="Times New Roman"/>
          <w:sz w:val="15"/>
          <w:szCs w:val="15"/>
          <w:color w:val="auto"/>
        </w:rPr>
      </w:pPr>
    </w:p>
    <w:p>
      <w:pPr>
        <w:ind w:left="1026" w:hanging="556"/>
        <w:spacing w:after="0" w:line="297" w:lineRule="auto"/>
        <w:tabs>
          <w:tab w:leader="none" w:pos="1026"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5"/>
          <w:szCs w:val="15"/>
          <w:color w:val="auto"/>
        </w:rPr>
      </w:pPr>
    </w:p>
    <w:p>
      <w:pPr>
        <w:spacing w:after="0" w:line="296" w:lineRule="exact"/>
        <w:rPr>
          <w:rFonts w:ascii="Times New Roman" w:cs="Times New Roman" w:eastAsia="Times New Roman" w:hAnsi="Times New Roman"/>
          <w:sz w:val="15"/>
          <w:szCs w:val="15"/>
          <w:color w:val="auto"/>
        </w:rPr>
      </w:pPr>
    </w:p>
    <w:p>
      <w:pPr>
        <w:ind w:left="446" w:hanging="446"/>
        <w:spacing w:after="0"/>
        <w:tabs>
          <w:tab w:leader="none" w:pos="446"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Address for Notices to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-1255395</wp:posOffset>
            </wp:positionV>
            <wp:extent cx="66078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07810"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-822960</wp:posOffset>
            </wp:positionV>
            <wp:extent cx="66078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07810"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-271145</wp:posOffset>
            </wp:positionV>
            <wp:extent cx="66078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078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2644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72644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571500</wp:posOffset>
            </wp:positionV>
            <wp:extent cx="72644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17145</wp:posOffset>
            </wp:positionV>
            <wp:extent cx="670496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4965" cy="7620"/>
                    </a:xfrm>
                    <a:prstGeom prst="rect">
                      <a:avLst/>
                    </a:prstGeom>
                    <a:noFill/>
                  </pic:spPr>
                </pic:pic>
              </a:graphicData>
            </a:graphic>
          </wp:anchor>
        </w:drawing>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695896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8965" cy="7620"/>
                    </a:xfrm>
                    <a:prstGeom prst="rect">
                      <a:avLst/>
                    </a:prstGeom>
                    <a:noFill/>
                  </pic:spPr>
                </pic:pic>
              </a:graphicData>
            </a:graphic>
          </wp:anchor>
        </w:drawing>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17145</wp:posOffset>
            </wp:positionV>
            <wp:extent cx="65189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8910" cy="7620"/>
                    </a:xfrm>
                    <a:prstGeom prst="rect">
                      <a:avLst/>
                    </a:prstGeom>
                    <a:noFill/>
                  </pic:spPr>
                </pic:pic>
              </a:graphicData>
            </a:graphic>
          </wp:anchor>
        </w:drawing>
      </w:r>
    </w:p>
    <w:p>
      <w:pPr>
        <w:spacing w:after="0" w:line="262" w:lineRule="exact"/>
        <w:rPr>
          <w:sz w:val="20"/>
          <w:szCs w:val="20"/>
          <w:color w:val="auto"/>
        </w:rPr>
      </w:pPr>
    </w:p>
    <w:p>
      <w:pPr>
        <w:ind w:left="446" w:hanging="446"/>
        <w:spacing w:after="0"/>
        <w:tabs>
          <w:tab w:leader="none" w:pos="446"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Broker-Dealer Status:</w:t>
      </w:r>
    </w:p>
    <w:p>
      <w:pPr>
        <w:spacing w:after="0" w:line="89" w:lineRule="exact"/>
        <w:rPr>
          <w:rFonts w:ascii="Times New Roman" w:cs="Times New Roman" w:eastAsia="Times New Roman" w:hAnsi="Times New Roman"/>
          <w:sz w:val="15"/>
          <w:szCs w:val="15"/>
          <w:b w:val="1"/>
          <w:bCs w:val="1"/>
          <w:color w:val="auto"/>
        </w:rPr>
      </w:pPr>
    </w:p>
    <w:p>
      <w:pPr>
        <w:ind w:left="1026" w:hanging="556"/>
        <w:spacing w:after="0"/>
        <w:tabs>
          <w:tab w:leader="none" w:pos="1026"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you a broker-dealer?</w:t>
      </w:r>
    </w:p>
    <w:p>
      <w:pPr>
        <w:spacing w:after="0" w:line="84" w:lineRule="exact"/>
        <w:rPr>
          <w:sz w:val="20"/>
          <w:szCs w:val="20"/>
          <w:color w:val="auto"/>
        </w:rPr>
      </w:pPr>
    </w:p>
    <w:p>
      <w:pPr>
        <w:ind w:left="5746"/>
        <w:spacing w:after="0" w:line="173" w:lineRule="exact"/>
        <w:tabs>
          <w:tab w:leader="none" w:pos="6306"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29" w:lineRule="exact"/>
        <w:rPr>
          <w:sz w:val="20"/>
          <w:szCs w:val="20"/>
          <w:color w:val="auto"/>
        </w:rPr>
      </w:pPr>
    </w:p>
    <w:p>
      <w:pPr>
        <w:ind w:left="5746" w:right="1940" w:hanging="5276"/>
        <w:spacing w:after="0" w:line="248" w:lineRule="exact"/>
        <w:tabs>
          <w:tab w:leader="none" w:pos="1041"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“yes” to Section 3(a), did you receive your Registrable Securities as compensation for investment banking services to the Company?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62" w:lineRule="exact"/>
        <w:rPr>
          <w:sz w:val="20"/>
          <w:szCs w:val="20"/>
          <w:color w:val="auto"/>
        </w:rPr>
      </w:pPr>
    </w:p>
    <w:p>
      <w:pPr>
        <w:ind w:left="466"/>
        <w:spacing w:after="0"/>
        <w:tabs>
          <w:tab w:leader="none" w:pos="1006" w:val="left"/>
        </w:tabs>
        <w:rPr>
          <w:sz w:val="20"/>
          <w:szCs w:val="20"/>
          <w:color w:val="auto"/>
        </w:rPr>
      </w:pPr>
      <w:r>
        <w:rPr>
          <w:rFonts w:ascii="Times New Roman" w:cs="Times New Roman" w:eastAsia="Times New Roman" w:hAnsi="Times New Roman"/>
          <w:sz w:val="15"/>
          <w:szCs w:val="15"/>
          <w:color w:val="auto"/>
        </w:rPr>
        <w:t>Note:</w:t>
        <w:tab/>
        <w:t>If “no” to Section 3(b), the Commission’s staff has indicated that you should be identified as an underwriter in the Registration Statement.</w:t>
      </w:r>
    </w:p>
    <w:p>
      <w:pPr>
        <w:spacing w:after="0" w:line="145" w:lineRule="exact"/>
        <w:rPr>
          <w:sz w:val="20"/>
          <w:szCs w:val="20"/>
          <w:color w:val="auto"/>
        </w:rPr>
      </w:pPr>
    </w:p>
    <w:p>
      <w:pPr>
        <w:ind w:left="5606"/>
        <w:spacing w:after="0"/>
        <w:rPr>
          <w:sz w:val="20"/>
          <w:szCs w:val="20"/>
          <w:color w:val="auto"/>
        </w:rPr>
      </w:pPr>
      <w:r>
        <w:rPr>
          <w:rFonts w:ascii="Times New Roman" w:cs="Times New Roman" w:eastAsia="Times New Roman" w:hAnsi="Times New Roman"/>
          <w:sz w:val="15"/>
          <w:szCs w:val="15"/>
          <w:color w:val="auto"/>
        </w:rPr>
        <w:t>B-2</w:t>
      </w:r>
    </w:p>
    <w:p>
      <w:pPr>
        <w:sectPr>
          <w:pgSz w:w="11900" w:h="16838" w:orient="portrait"/>
          <w:cols w:equalWidth="0" w:num="1">
            <w:col w:w="11226"/>
          </w:cols>
          <w:pgMar w:left="234" w:top="258" w:right="439" w:bottom="1440" w:gutter="0" w:footer="0" w:header="0"/>
        </w:sectPr>
      </w:pPr>
    </w:p>
    <w:bookmarkStart w:id="79" w:name="page80"/>
    <w:bookmarkEnd w:id="79"/>
    <w:p>
      <w:pPr>
        <w:ind w:left="466"/>
        <w:spacing w:after="0"/>
        <w:tabs>
          <w:tab w:leader="none" w:pos="1006" w:val="left"/>
        </w:tabs>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(c)</w:t>
      </w:r>
      <w:r>
        <w:rPr>
          <w:sz w:val="20"/>
          <w:szCs w:val="20"/>
          <w:color w:val="auto"/>
        </w:rPr>
        <w:tab/>
      </w:r>
      <w:r>
        <w:rPr>
          <w:rFonts w:ascii="Times New Roman" w:cs="Times New Roman" w:eastAsia="Times New Roman" w:hAnsi="Times New Roman"/>
          <w:sz w:val="15"/>
          <w:szCs w:val="15"/>
          <w:color w:val="auto"/>
        </w:rPr>
        <w:t>Are you an affiliate of a broker-dealer?</w:t>
      </w:r>
    </w:p>
    <w:p>
      <w:pPr>
        <w:spacing w:after="0" w:line="84" w:lineRule="exact"/>
        <w:rPr>
          <w:sz w:val="20"/>
          <w:szCs w:val="20"/>
          <w:color w:val="auto"/>
        </w:rPr>
      </w:pPr>
    </w:p>
    <w:p>
      <w:pPr>
        <w:ind w:left="5746"/>
        <w:spacing w:after="0" w:line="173" w:lineRule="exact"/>
        <w:tabs>
          <w:tab w:leader="none" w:pos="6306"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29" w:lineRule="exact"/>
        <w:rPr>
          <w:sz w:val="20"/>
          <w:szCs w:val="20"/>
          <w:color w:val="auto"/>
        </w:rPr>
      </w:pPr>
    </w:p>
    <w:p>
      <w:pPr>
        <w:ind w:left="1026" w:hanging="556"/>
        <w:spacing w:after="0" w:line="297" w:lineRule="auto"/>
        <w:tabs>
          <w:tab w:leader="none" w:pos="1026"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7" w:lineRule="exact"/>
        <w:rPr>
          <w:sz w:val="20"/>
          <w:szCs w:val="20"/>
          <w:color w:val="auto"/>
        </w:rPr>
      </w:pPr>
    </w:p>
    <w:p>
      <w:pPr>
        <w:ind w:left="5746"/>
        <w:spacing w:after="0" w:line="173" w:lineRule="exact"/>
        <w:tabs>
          <w:tab w:leader="none" w:pos="6306" w:val="left"/>
        </w:tabs>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35" w:lineRule="exact"/>
        <w:rPr>
          <w:sz w:val="20"/>
          <w:szCs w:val="20"/>
          <w:color w:val="auto"/>
        </w:rPr>
      </w:pPr>
    </w:p>
    <w:p>
      <w:pPr>
        <w:ind w:left="466"/>
        <w:spacing w:after="0"/>
        <w:tabs>
          <w:tab w:leader="none" w:pos="1006" w:val="left"/>
        </w:tabs>
        <w:rPr>
          <w:sz w:val="20"/>
          <w:szCs w:val="20"/>
          <w:color w:val="auto"/>
        </w:rPr>
      </w:pPr>
      <w:r>
        <w:rPr>
          <w:rFonts w:ascii="Times New Roman" w:cs="Times New Roman" w:eastAsia="Times New Roman" w:hAnsi="Times New Roman"/>
          <w:sz w:val="15"/>
          <w:szCs w:val="15"/>
          <w:color w:val="auto"/>
        </w:rPr>
        <w:t>Note:</w:t>
        <w:tab/>
        <w:t>If “no” to Section 3(d), the Commission’s staff has indicated that you should be identified as an underwriter in the Registration Statement.</w:t>
      </w:r>
    </w:p>
    <w:p>
      <w:pPr>
        <w:spacing w:after="0" w:line="188" w:lineRule="exact"/>
        <w:rPr>
          <w:sz w:val="20"/>
          <w:szCs w:val="20"/>
          <w:color w:val="auto"/>
        </w:rPr>
      </w:pPr>
    </w:p>
    <w:p>
      <w:pPr>
        <w:ind w:left="446" w:hanging="446"/>
        <w:spacing w:after="0"/>
        <w:tabs>
          <w:tab w:leader="none" w:pos="446"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Beneficial Ownership of Securities of the Company Owned by the Selling Securityholder.</w:t>
      </w:r>
    </w:p>
    <w:p>
      <w:pPr>
        <w:spacing w:after="0" w:line="86" w:lineRule="exact"/>
        <w:rPr>
          <w:sz w:val="20"/>
          <w:szCs w:val="20"/>
          <w:color w:val="auto"/>
        </w:rPr>
      </w:pPr>
    </w:p>
    <w:p>
      <w:pPr>
        <w:ind w:left="466" w:right="160"/>
        <w:spacing w:after="0" w:line="302" w:lineRule="auto"/>
        <w:rPr>
          <w:sz w:val="20"/>
          <w:szCs w:val="20"/>
          <w:color w:val="auto"/>
        </w:rPr>
      </w:pPr>
      <w:r>
        <w:rPr>
          <w:rFonts w:ascii="Times New Roman" w:cs="Times New Roman" w:eastAsia="Times New Roman" w:hAnsi="Times New Roman"/>
          <w:sz w:val="15"/>
          <w:szCs w:val="15"/>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34" w:lineRule="exact"/>
        <w:rPr>
          <w:sz w:val="20"/>
          <w:szCs w:val="20"/>
          <w:color w:val="auto"/>
        </w:rPr>
      </w:pPr>
    </w:p>
    <w:p>
      <w:pPr>
        <w:ind w:left="1026" w:hanging="556"/>
        <w:spacing w:after="0"/>
        <w:tabs>
          <w:tab w:leader="none" w:pos="1026"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Type and Amount of other securities beneficially owned by the Selling Securityholder:</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5" w:lineRule="exact"/>
        <w:rPr>
          <w:rFonts w:ascii="Times New Roman" w:cs="Times New Roman" w:eastAsia="Times New Roman" w:hAnsi="Times New Roman"/>
          <w:sz w:val="15"/>
          <w:szCs w:val="15"/>
          <w:color w:val="auto"/>
        </w:rPr>
      </w:pPr>
    </w:p>
    <w:p>
      <w:pPr>
        <w:ind w:left="560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-392430</wp:posOffset>
            </wp:positionV>
            <wp:extent cx="66078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07810"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-198755</wp:posOffset>
            </wp:positionV>
            <wp:extent cx="66078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7810" cy="7620"/>
                    </a:xfrm>
                    <a:prstGeom prst="rect">
                      <a:avLst/>
                    </a:prstGeom>
                    <a:noFill/>
                  </pic:spPr>
                </pic:pic>
              </a:graphicData>
            </a:graphic>
          </wp:anchor>
        </w:drawing>
      </w:r>
    </w:p>
    <w:p>
      <w:pPr>
        <w:sectPr>
          <w:pgSz w:w="11900" w:h="16838" w:orient="portrait"/>
          <w:cols w:equalWidth="0" w:num="1">
            <w:col w:w="11386"/>
          </w:cols>
          <w:pgMar w:left="234" w:top="258" w:right="279" w:bottom="1440" w:gutter="0" w:footer="0" w:header="0"/>
        </w:sectPr>
      </w:pPr>
    </w:p>
    <w:bookmarkStart w:id="80" w:name="page81"/>
    <w:bookmarkEnd w:id="80"/>
    <w:p>
      <w:pPr>
        <w:ind w:left="446" w:hanging="446"/>
        <w:spacing w:after="0"/>
        <w:tabs>
          <w:tab w:leader="none" w:pos="446"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Relationships with the Company:</w:t>
      </w:r>
    </w:p>
    <w:p>
      <w:pPr>
        <w:spacing w:after="0" w:line="85" w:lineRule="exact"/>
        <w:rPr>
          <w:rFonts w:ascii="Times New Roman" w:cs="Times New Roman" w:eastAsia="Times New Roman" w:hAnsi="Times New Roman"/>
          <w:sz w:val="15"/>
          <w:szCs w:val="15"/>
          <w:b w:val="1"/>
          <w:bCs w:val="1"/>
          <w:color w:val="auto"/>
        </w:rPr>
      </w:pPr>
    </w:p>
    <w:p>
      <w:pPr>
        <w:ind w:left="466" w:right="400"/>
        <w:spacing w:after="0" w:line="30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33" w:lineRule="exact"/>
        <w:rPr>
          <w:rFonts w:ascii="Times New Roman" w:cs="Times New Roman" w:eastAsia="Times New Roman" w:hAnsi="Times New Roman"/>
          <w:sz w:val="15"/>
          <w:szCs w:val="15"/>
          <w:b w:val="1"/>
          <w:bCs w:val="1"/>
          <w:color w:val="auto"/>
        </w:rPr>
      </w:pPr>
    </w:p>
    <w:p>
      <w:pPr>
        <w:ind w:left="466"/>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195580</wp:posOffset>
            </wp:positionV>
            <wp:extent cx="697357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7357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389890</wp:posOffset>
            </wp:positionV>
            <wp:extent cx="69735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735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 w:right="240" w:firstLine="457"/>
        <w:spacing w:after="0" w:line="297" w:lineRule="auto"/>
        <w:rPr>
          <w:sz w:val="20"/>
          <w:szCs w:val="20"/>
          <w:color w:val="auto"/>
        </w:rPr>
      </w:pPr>
      <w:r>
        <w:rPr>
          <w:rFonts w:ascii="Times New Roman" w:cs="Times New Roman" w:eastAsia="Times New Roman" w:hAnsi="Times New Roman"/>
          <w:sz w:val="15"/>
          <w:szCs w:val="15"/>
          <w:color w:val="auto"/>
        </w:rPr>
        <w:t>The undersigned agrees to promptly notify the Company of any inaccuracies or changes in the information provided herein that may occur subsequent to the date hereof at any time while the Registration Statement remains effective.</w:t>
      </w:r>
    </w:p>
    <w:p>
      <w:pPr>
        <w:spacing w:after="0" w:line="90" w:lineRule="exact"/>
        <w:rPr>
          <w:sz w:val="20"/>
          <w:szCs w:val="20"/>
          <w:color w:val="auto"/>
        </w:rPr>
      </w:pPr>
    </w:p>
    <w:p>
      <w:pPr>
        <w:ind w:left="6" w:firstLine="457"/>
        <w:spacing w:after="0" w:line="279" w:lineRule="auto"/>
        <w:rPr>
          <w:sz w:val="20"/>
          <w:szCs w:val="20"/>
          <w:color w:val="auto"/>
        </w:rPr>
      </w:pPr>
      <w:r>
        <w:rPr>
          <w:rFonts w:ascii="Times New Roman" w:cs="Times New Roman" w:eastAsia="Times New Roman" w:hAnsi="Times New Roman"/>
          <w:sz w:val="15"/>
          <w:szCs w:val="15"/>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w:t>
      </w:r>
    </w:p>
    <w:p>
      <w:pPr>
        <w:spacing w:after="0" w:line="103" w:lineRule="exact"/>
        <w:rPr>
          <w:sz w:val="20"/>
          <w:szCs w:val="20"/>
          <w:color w:val="auto"/>
        </w:rPr>
      </w:pPr>
    </w:p>
    <w:p>
      <w:pPr>
        <w:ind w:left="6" w:right="560" w:firstLine="457"/>
        <w:spacing w:after="0" w:line="297" w:lineRule="auto"/>
        <w:rPr>
          <w:sz w:val="20"/>
          <w:szCs w:val="20"/>
          <w:color w:val="auto"/>
        </w:rPr>
      </w:pPr>
      <w:r>
        <w:rPr>
          <w:rFonts w:ascii="Times New Roman" w:cs="Times New Roman" w:eastAsia="Times New Roman" w:hAnsi="Times New Roman"/>
          <w:sz w:val="15"/>
          <w:szCs w:val="15"/>
          <w:color w:val="auto"/>
        </w:rPr>
        <w:t>IN WITNESS WHEREOF the undersigned, by authority duly given, has caused this Notice and Questionnaire to be executed and delivered either in person or by its duly authorized agent.</w:t>
      </w:r>
    </w:p>
    <w:p>
      <w:pPr>
        <w:spacing w:after="0" w:line="125" w:lineRule="exact"/>
        <w:rPr>
          <w:sz w:val="20"/>
          <w:szCs w:val="20"/>
          <w:color w:val="auto"/>
        </w:rPr>
      </w:pPr>
    </w:p>
    <w:p>
      <w:pPr>
        <w:ind w:left="6"/>
        <w:spacing w:after="0"/>
        <w:tabs>
          <w:tab w:leader="none" w:pos="6646"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17145</wp:posOffset>
            </wp:positionV>
            <wp:extent cx="203644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36445" cy="762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-5080</wp:posOffset>
            </wp:positionV>
            <wp:extent cx="67881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8815" cy="7620"/>
                    </a:xfrm>
                    <a:prstGeom prst="rect">
                      <a:avLst/>
                    </a:prstGeom>
                    <a:noFill/>
                  </pic:spPr>
                </pic:pic>
              </a:graphicData>
            </a:graphic>
          </wp:anchor>
        </w:drawing>
      </w:r>
    </w:p>
    <w:p>
      <w:pPr>
        <w:spacing w:after="0" w:line="230" w:lineRule="exact"/>
        <w:rPr>
          <w:sz w:val="20"/>
          <w:szCs w:val="20"/>
          <w:color w:val="auto"/>
        </w:rPr>
      </w:pPr>
    </w:p>
    <w:p>
      <w:pPr>
        <w:ind w:left="6666"/>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1905</wp:posOffset>
            </wp:positionV>
            <wp:extent cx="26479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7950" cy="7620"/>
                    </a:xfrm>
                    <a:prstGeom prst="rect">
                      <a:avLst/>
                    </a:prstGeom>
                    <a:noFill/>
                  </pic:spPr>
                </pic:pic>
              </a:graphicData>
            </a:graphic>
          </wp:anchor>
        </w:drawing>
      </w:r>
    </w:p>
    <w:p>
      <w:pPr>
        <w:spacing w:after="0" w:line="19" w:lineRule="exact"/>
        <w:rPr>
          <w:sz w:val="20"/>
          <w:szCs w:val="20"/>
          <w:color w:val="auto"/>
        </w:rPr>
      </w:pPr>
    </w:p>
    <w:p>
      <w:pPr>
        <w:ind w:left="6666"/>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1905</wp:posOffset>
            </wp:positionV>
            <wp:extent cx="26479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47950" cy="7620"/>
                    </a:xfrm>
                    <a:prstGeom prst="rect">
                      <a:avLst/>
                    </a:prstGeom>
                    <a:noFill/>
                  </pic:spPr>
                </pic:pic>
              </a:graphicData>
            </a:graphic>
          </wp:anchor>
        </w:drawing>
      </w:r>
    </w:p>
    <w:p>
      <w:pPr>
        <w:spacing w:after="0" w:line="19" w:lineRule="exact"/>
        <w:rPr>
          <w:sz w:val="20"/>
          <w:szCs w:val="20"/>
          <w:color w:val="auto"/>
        </w:rPr>
      </w:pPr>
    </w:p>
    <w:p>
      <w:pPr>
        <w:ind w:left="6666"/>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4616450</wp:posOffset>
            </wp:positionH>
            <wp:positionV relativeFrom="paragraph">
              <wp:posOffset>1905</wp:posOffset>
            </wp:positionV>
            <wp:extent cx="26479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7950" cy="7620"/>
                    </a:xfrm>
                    <a:prstGeom prst="rect">
                      <a:avLst/>
                    </a:prstGeom>
                    <a:noFill/>
                  </pic:spPr>
                </pic:pic>
              </a:graphicData>
            </a:graphic>
          </wp:anchor>
        </w:drawing>
      </w:r>
    </w:p>
    <w:p>
      <w:pPr>
        <w:spacing w:after="0" w:line="132"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5"/>
          <w:szCs w:val="15"/>
          <w:b w:val="1"/>
          <w:bCs w:val="1"/>
          <w:color w:val="auto"/>
        </w:rPr>
        <w:t>PLEASE FAX A COPY OF THE COMPLETED AND EXECUTED NOTICE AND QUESTIONNAIRE, AND RETURN THE ORIGINAL BY OVERNIGHT MAIL, TO:</w:t>
      </w:r>
    </w:p>
    <w:p>
      <w:pPr>
        <w:spacing w:after="0" w:line="149" w:lineRule="exact"/>
        <w:rPr>
          <w:sz w:val="20"/>
          <w:szCs w:val="20"/>
          <w:color w:val="auto"/>
        </w:rPr>
      </w:pPr>
    </w:p>
    <w:p>
      <w:pPr>
        <w:jc w:val="center"/>
        <w:ind w:right="-65"/>
        <w:spacing w:after="0"/>
        <w:rPr>
          <w:sz w:val="20"/>
          <w:szCs w:val="20"/>
          <w:color w:val="auto"/>
        </w:rPr>
      </w:pPr>
      <w:r>
        <w:rPr>
          <w:rFonts w:ascii="Times New Roman" w:cs="Times New Roman" w:eastAsia="Times New Roman" w:hAnsi="Times New Roman"/>
          <w:sz w:val="15"/>
          <w:szCs w:val="15"/>
          <w:color w:val="auto"/>
        </w:rPr>
        <w:t>B-4</w:t>
      </w:r>
    </w:p>
    <w:p>
      <w:pPr>
        <w:sectPr>
          <w:pgSz w:w="11900" w:h="16838" w:orient="portrait"/>
          <w:cols w:equalWidth="0" w:num="1">
            <w:col w:w="11386"/>
          </w:cols>
          <w:pgMar w:left="234" w:top="254" w:right="2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730375" cy="365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3037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IMMEDIATE RELEASE</w:t>
      </w:r>
    </w:p>
    <w:p>
      <w:pPr>
        <w:spacing w:after="0" w:line="1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b w:val="1"/>
          <w:bCs w:val="1"/>
          <w:color w:val="auto"/>
        </w:rPr>
        <w:t>Active Power Closes $14 Million Private Placement of Common Stock</w:t>
      </w:r>
    </w:p>
    <w:p>
      <w:pPr>
        <w:spacing w:after="0" w:line="15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5"/>
          <w:szCs w:val="15"/>
          <w:b w:val="1"/>
          <w:bCs w:val="1"/>
          <w:i w:val="1"/>
          <w:iCs w:val="1"/>
          <w:color w:val="auto"/>
        </w:rPr>
        <w:t>Net Proceeds from Placement to Support Continued Growth and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Successful Go to Market Strategy</w:t>
      </w:r>
    </w:p>
    <w:p>
      <w:pPr>
        <w:spacing w:after="0" w:line="14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AUSTIN, Texas (Aug. 14, 2007) </w:t>
      </w:r>
      <w:r>
        <w:rPr>
          <w:rFonts w:ascii="Times New Roman" w:cs="Times New Roman" w:eastAsia="Times New Roman" w:hAnsi="Times New Roman"/>
          <w:sz w:val="15"/>
          <w:szCs w:val="15"/>
          <w:color w:val="auto"/>
        </w:rPr>
        <w:t>– Active Power, Inc. (NASDAQ: ACPW), inventor and manufacturer of the most energy-efficient critical power systems in the world, announced today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 completed a private placement of approximately $14 million of common stock to institutional investors. The transaction involved the sale of 10,000,000 shares of common stock at a purchase price of approximately $1.40 per share. Active Power intends to use the net proceeds from the placement to grow the business in new and expanding markets and for working capital purposes. RBC Capital Markets acted as the exclusive placement agent for the offering.</w:t>
      </w:r>
    </w:p>
    <w:p>
      <w:pPr>
        <w:spacing w:after="0" w:line="1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color w:val="auto"/>
        </w:rPr>
        <w:t>“This transaction is another proof point of the confidence that existing and new shareholders have in the current Active Power go to market strategy initiated just over a year ago,” said Jim Clishem, president and CEO of Active Power. “Our strategies to natively expand into new global markets, expand our multi-channel sales distribution, increase our focus on service, and deliver complete backup power solutions are demonstrating measurable results. In addition, these new funds allow us to strengthen our balance sheet and build on our success in providing customers with energy efficient, reliable and economically green backup power solutions across the globe. Customers recognize the need and importance of deploying environmentally friendly and energy efficient backup power products to their businesses. We’re beginning to see more and more mission-critical enterprises seek us out by name which truly reinforces our commitment to this expanding market. ”</w:t>
      </w:r>
    </w:p>
    <w:p>
      <w:pPr>
        <w:spacing w:after="0" w:line="113"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5"/>
          <w:szCs w:val="15"/>
          <w:color w:val="auto"/>
        </w:rPr>
        <w:t>“The proceeds from this transaction along with the previously announced $5 million line of credit facility we intend to enter into in the third quarter significantly enhances our liquidity position and the financial flexibility to further execute our business strategies,” said John Penver, CFO of Active Power.</w:t>
      </w:r>
    </w:p>
    <w:p>
      <w:pPr>
        <w:spacing w:after="0" w:line="9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5"/>
          <w:szCs w:val="15"/>
          <w:color w:val="auto"/>
        </w:rPr>
        <w:t>Neither the offer nor sale of the shares of common stock sold to the investors has been registered under the Securities Act of 1933. Accordingly, these securities may not be offered or sold in the United States, except pursuant to an effective registration</w:t>
      </w:r>
    </w:p>
    <w:p>
      <w:pPr>
        <w:sectPr>
          <w:pgSz w:w="11900" w:h="16838" w:orient="portrait"/>
          <w:cols w:equalWidth="0" w:num="1">
            <w:col w:w="11440"/>
          </w:cols>
          <w:pgMar w:left="240" w:top="124" w:right="219" w:bottom="1440" w:gutter="0" w:footer="0" w:header="0"/>
        </w:sectPr>
      </w:pPr>
    </w:p>
    <w:bookmarkStart w:id="82" w:name="page83"/>
    <w:bookmarkEnd w:id="82"/>
    <w:p>
      <w:pPr>
        <w:ind w:right="240"/>
        <w:spacing w:after="0" w:line="29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statement or an applicable exemption from the registration requirements of the Securities Act. Active Power has agreed to file a registration statement covering resale of the shares of common stock sold to the investors. This press release shall not constitute an offer to sell or the solicitation of an offer to buy the common stock.</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 #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Active Power</w:t>
      </w:r>
    </w:p>
    <w:p>
      <w:pPr>
        <w:spacing w:after="0" w:line="9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9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Statements in this release regarding expected future results are forward looking statements that are subject to the Safe Harbor provisions created by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acceptance of our current and new products by the power quality market; inability to accurately predict revenue and budget for expenses for future periods; fluctuations in revenue and operating results; overall market performance; the potential for significant losses to continue; decreases and/or delays in capital spending; limited product offerings; inability to expand and integrate new distribution channels; inability to manage new and existing product distribution relationships; our dependence on our relationship with Caterpillar®; competition; delays in research and development; dependence on sole or limited source suppliers; inability to increase product sales; inventory risks; dependence upon key personnel; inability to protect our intellectual property rights; potential future acquisitions; our need for additional financing including the dilutive effects of such financing; the volatility of our stock price regardless of our actual financial performance, including as a result of the effect of sales of stock or hedging strategies by purchasers of our common stock or other holders of restricted stock; further expenses and adjustments or litigation or government investigations that may be incurred in connection with the review of our historical stock option granting procedures; and other factors detailed in our filings with the Securities and Exchange Commission. Readers are cautioned not to place undue reliance upon these forward looking statements, which speak only as of the date hereof, and we undertake no obligation to update these forward looking statements to reflect subsequent events or circumstances. The inclusion of any statement in this release does not constitute an admission by the company or any other person that the events or circumstances described in such statement are material.</w:t>
      </w:r>
    </w:p>
    <w:p>
      <w:pPr>
        <w:spacing w:after="0" w:line="117"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5"/>
          <w:szCs w:val="15"/>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340"/>
          </w:cols>
          <w:pgMar w:left="240" w:top="257" w:right="31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Active Power Investor Contact: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John Penver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512-744-9234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jpenver@activepower.com</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Active Power Media Contact: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Lee Higgins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Public Relations Manager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512-744-9488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lhiggins@activepower.com</w:t>
      </w:r>
    </w:p>
    <w:p>
      <w:pPr>
        <w:sectPr>
          <w:pgSz w:w="11900" w:h="16838" w:orient="portrait"/>
          <w:cols w:equalWidth="0" w:num="2">
            <w:col w:w="5220" w:space="720"/>
            <w:col w:w="5400"/>
          </w:cols>
          <w:pgMar w:left="240" w:top="257" w:right="31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222885</wp:posOffset>
            </wp:positionH>
            <wp:positionV relativeFrom="page">
              <wp:posOffset>163195</wp:posOffset>
            </wp:positionV>
            <wp:extent cx="7174865" cy="5377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7718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40"/>
        <w:spacing w:after="0"/>
        <w:rPr>
          <w:sz w:val="20"/>
          <w:szCs w:val="20"/>
          <w:color w:val="auto"/>
        </w:rPr>
      </w:pPr>
      <w:r>
        <w:rPr>
          <w:rFonts w:ascii="Arial" w:cs="Arial" w:eastAsia="Arial" w:hAnsi="Arial"/>
          <w:sz w:val="38"/>
          <w:szCs w:val="38"/>
          <w:b w:val="1"/>
          <w:bCs w:val="1"/>
          <w:color w:val="CC0000"/>
        </w:rPr>
        <w:t>Management Presentation</w:t>
      </w:r>
    </w:p>
    <w:p>
      <w:pPr>
        <w:spacing w:after="0" w:line="135" w:lineRule="exact"/>
        <w:rPr>
          <w:sz w:val="20"/>
          <w:szCs w:val="20"/>
          <w:color w:val="auto"/>
        </w:rPr>
      </w:pPr>
    </w:p>
    <w:p>
      <w:pPr>
        <w:ind w:left="6800"/>
        <w:spacing w:after="0"/>
        <w:rPr>
          <w:sz w:val="20"/>
          <w:szCs w:val="20"/>
          <w:color w:val="auto"/>
        </w:rPr>
      </w:pPr>
      <w:r>
        <w:rPr>
          <w:rFonts w:ascii="Arial" w:cs="Arial" w:eastAsia="Arial" w:hAnsi="Arial"/>
          <w:sz w:val="19"/>
          <w:szCs w:val="19"/>
          <w:b w:val="1"/>
          <w:bCs w:val="1"/>
          <w:color w:val="545454"/>
        </w:rPr>
        <w:t>August 2007</w:t>
      </w:r>
    </w:p>
    <w:p>
      <w:pPr>
        <w:sectPr>
          <w:pgSz w:w="11900" w:h="16838" w:orient="portrait"/>
          <w:cols w:equalWidth="0" w:num="1">
            <w:col w:w="9480"/>
          </w:cols>
          <w:pgMar w:left="1440" w:top="569" w:right="979" w:bottom="1440" w:gutter="0" w:footer="0" w:header="0"/>
        </w:sectPr>
      </w:pPr>
    </w:p>
    <w:bookmarkStart w:id="84" w:name="page85"/>
    <w:bookmarkEnd w:id="84"/>
    <w:p>
      <w:pPr>
        <w:ind w:left="420"/>
        <w:spacing w:after="0"/>
        <w:rPr>
          <w:sz w:val="20"/>
          <w:szCs w:val="20"/>
          <w:color w:val="auto"/>
        </w:rPr>
      </w:pPr>
      <w:r>
        <w:rPr>
          <w:rFonts w:ascii="Arial" w:cs="Arial" w:eastAsia="Arial" w:hAnsi="Arial"/>
          <w:sz w:val="32"/>
          <w:szCs w:val="32"/>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Cautionary Note Regarding Forward Looking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0"/>
        <w:spacing w:after="0" w:line="327" w:lineRule="auto"/>
        <w:rPr>
          <w:sz w:val="20"/>
          <w:szCs w:val="20"/>
          <w:color w:val="auto"/>
        </w:rPr>
      </w:pPr>
      <w:r>
        <w:rPr>
          <w:rFonts w:ascii="Verdana" w:cs="Verdana" w:eastAsia="Verdana" w:hAnsi="Verdana"/>
          <w:sz w:val="19"/>
          <w:szCs w:val="19"/>
          <w:b w:val="1"/>
          <w:bCs w:val="1"/>
          <w:color w:val="545454"/>
        </w:rPr>
        <w:t>This presentation may contain forward-looking statements, within the meaning of Section 27A of the Securities Act of 1933 and Section 21E of the Securities Act of 1934, that involve risks and uncertainties. The important factors that could cause actual results to differ materially include, but are not limited to, the potential for significant losses to continue; inability to accurately predict revenue and budget for expenses for future periods; fluctuations in revenue and operating results; overall market performance; decreases and/or delays in capital spending; limited product lines; inability to expand our distribution channels; inability to manage new and existing product distribution relationships; our current dependence on our relationship with Caterpillar; delays in research and development; potential Sarbanes-Oxley 404 compliance issues; the acceptance of the new technology in our current and future products by the power quality market; product performance and quality issues; and other risks set forth in the Company’s most recent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E71B21"/>
        </w:rPr>
        <w:t>2</w:t>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280"/>
          </w:cols>
          <w:pgMar w:left="420" w:top="760" w:right="1199" w:bottom="1440" w:gutter="0" w:footer="0" w:header="0"/>
        </w:sectPr>
      </w:pPr>
    </w:p>
    <w:bookmarkStart w:id="85" w:name="page86"/>
    <w:bookmarkEnd w:id="85"/>
    <w:p>
      <w:pPr>
        <w:ind w:left="4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Management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20"/>
        <w:spacing w:after="0"/>
        <w:rPr>
          <w:sz w:val="20"/>
          <w:szCs w:val="20"/>
          <w:color w:val="auto"/>
        </w:rPr>
      </w:pPr>
      <w:r>
        <w:rPr>
          <w:rFonts w:ascii="Arial" w:cs="Arial" w:eastAsia="Arial" w:hAnsi="Arial"/>
          <w:sz w:val="38"/>
          <w:szCs w:val="38"/>
          <w:b w:val="1"/>
          <w:bCs w:val="1"/>
          <w:color w:val="CC0000"/>
        </w:rPr>
        <w:t>Jim Clishem</w:t>
      </w:r>
    </w:p>
    <w:p>
      <w:pPr>
        <w:spacing w:after="0" w:line="79" w:lineRule="exact"/>
        <w:rPr>
          <w:sz w:val="20"/>
          <w:szCs w:val="20"/>
          <w:color w:val="auto"/>
        </w:rPr>
      </w:pPr>
    </w:p>
    <w:p>
      <w:pPr>
        <w:ind w:left="2760"/>
        <w:spacing w:after="0"/>
        <w:rPr>
          <w:sz w:val="20"/>
          <w:szCs w:val="20"/>
          <w:color w:val="auto"/>
        </w:rPr>
      </w:pPr>
      <w:r>
        <w:rPr>
          <w:rFonts w:ascii="Arial" w:cs="Arial" w:eastAsia="Arial" w:hAnsi="Arial"/>
          <w:sz w:val="32"/>
          <w:szCs w:val="32"/>
          <w:b w:val="1"/>
          <w:bCs w:val="1"/>
          <w:i w:val="1"/>
          <w:iCs w:val="1"/>
          <w:color w:val="545454"/>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20"/>
        <w:spacing w:after="0"/>
        <w:rPr>
          <w:sz w:val="20"/>
          <w:szCs w:val="20"/>
          <w:color w:val="auto"/>
        </w:rPr>
      </w:pPr>
      <w:r>
        <w:rPr>
          <w:rFonts w:ascii="Arial" w:cs="Arial" w:eastAsia="Arial" w:hAnsi="Arial"/>
          <w:sz w:val="38"/>
          <w:szCs w:val="38"/>
          <w:b w:val="1"/>
          <w:bCs w:val="1"/>
          <w:color w:val="CC0000"/>
        </w:rPr>
        <w:t>John Penver</w:t>
      </w:r>
    </w:p>
    <w:p>
      <w:pPr>
        <w:spacing w:after="0" w:line="79" w:lineRule="exact"/>
        <w:rPr>
          <w:sz w:val="20"/>
          <w:szCs w:val="20"/>
          <w:color w:val="auto"/>
        </w:rPr>
      </w:pPr>
    </w:p>
    <w:p>
      <w:pPr>
        <w:jc w:val="right"/>
        <w:ind w:right="819"/>
        <w:spacing w:after="0"/>
        <w:rPr>
          <w:sz w:val="20"/>
          <w:szCs w:val="20"/>
          <w:color w:val="auto"/>
        </w:rPr>
      </w:pPr>
      <w:r>
        <w:rPr>
          <w:rFonts w:ascii="Arial" w:cs="Arial" w:eastAsia="Arial" w:hAnsi="Arial"/>
          <w:sz w:val="32"/>
          <w:szCs w:val="32"/>
          <w:b w:val="1"/>
          <w:bCs w:val="1"/>
          <w:i w:val="1"/>
          <w:iCs w:val="1"/>
          <w:color w:val="545454"/>
        </w:rPr>
        <w:t>Vice President of Finance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E71B21"/>
        </w:rPr>
        <w:t>3</w:t>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39"/>
          </w:cols>
          <w:pgMar w:left="420" w:top="687" w:right="1440" w:bottom="1440" w:gutter="0" w:footer="0" w:header="0"/>
        </w:sectPr>
      </w:pPr>
    </w:p>
    <w:bookmarkStart w:id="86" w:name="page87"/>
    <w:bookmarkEnd w:id="86"/>
    <w:p>
      <w:pPr>
        <w:ind w:left="4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Active Power is …</w:t>
      </w:r>
    </w:p>
    <w:p>
      <w:pPr>
        <w:spacing w:after="0" w:line="200" w:lineRule="exact"/>
        <w:rPr>
          <w:sz w:val="20"/>
          <w:szCs w:val="20"/>
          <w:color w:val="auto"/>
        </w:rPr>
      </w:pPr>
    </w:p>
    <w:p>
      <w:pPr>
        <w:spacing w:after="0" w:line="250" w:lineRule="exact"/>
        <w:rPr>
          <w:sz w:val="20"/>
          <w:szCs w:val="20"/>
          <w:color w:val="auto"/>
        </w:rPr>
      </w:pPr>
    </w:p>
    <w:p>
      <w:pPr>
        <w:ind w:left="640" w:right="400" w:hanging="415"/>
        <w:spacing w:after="0" w:line="279" w:lineRule="auto"/>
        <w:tabs>
          <w:tab w:leader="none" w:pos="640" w:val="left"/>
        </w:tabs>
        <w:numPr>
          <w:ilvl w:val="0"/>
          <w:numId w:val="56"/>
        </w:numPr>
        <w:rPr>
          <w:rFonts w:ascii="Arial" w:cs="Arial" w:eastAsia="Arial" w:hAnsi="Arial"/>
          <w:sz w:val="25"/>
          <w:szCs w:val="25"/>
          <w:color w:val="C3092C"/>
        </w:rPr>
      </w:pPr>
      <w:r>
        <w:rPr>
          <w:rFonts w:ascii="Arial" w:cs="Arial" w:eastAsia="Arial" w:hAnsi="Arial"/>
          <w:sz w:val="25"/>
          <w:szCs w:val="25"/>
          <w:b w:val="1"/>
          <w:bCs w:val="1"/>
          <w:color w:val="545454"/>
        </w:rPr>
        <w:t>A provider of turnkey critical power solutions that provide “power insurance” to global enterprises with zero tolerance for downtime</w:t>
      </w:r>
    </w:p>
    <w:p>
      <w:pPr>
        <w:spacing w:after="0" w:line="1" w:lineRule="exact"/>
        <w:rPr>
          <w:rFonts w:ascii="Arial" w:cs="Arial" w:eastAsia="Arial" w:hAnsi="Arial"/>
          <w:sz w:val="25"/>
          <w:szCs w:val="25"/>
          <w:color w:val="C3092C"/>
        </w:rPr>
      </w:pPr>
    </w:p>
    <w:p>
      <w:pPr>
        <w:ind w:left="640" w:right="1380" w:hanging="415"/>
        <w:spacing w:after="0" w:line="296" w:lineRule="auto"/>
        <w:tabs>
          <w:tab w:leader="none" w:pos="640" w:val="left"/>
        </w:tabs>
        <w:numPr>
          <w:ilvl w:val="0"/>
          <w:numId w:val="56"/>
        </w:numPr>
        <w:rPr>
          <w:rFonts w:ascii="Arial" w:cs="Arial" w:eastAsia="Arial" w:hAnsi="Arial"/>
          <w:sz w:val="25"/>
          <w:szCs w:val="25"/>
          <w:color w:val="C3092C"/>
        </w:rPr>
      </w:pPr>
      <w:r>
        <w:rPr>
          <w:rFonts w:ascii="Arial" w:cs="Arial" w:eastAsia="Arial" w:hAnsi="Arial"/>
          <w:sz w:val="25"/>
          <w:szCs w:val="25"/>
          <w:b w:val="1"/>
          <w:bCs w:val="1"/>
          <w:color w:val="545454"/>
        </w:rPr>
        <w:t>A manufacturer of uninterruptible power (UPS) systems that utilize green technology as a renewable energy source</w:t>
      </w:r>
    </w:p>
    <w:p>
      <w:pPr>
        <w:sectPr>
          <w:pgSz w:w="11900" w:h="16838" w:orient="portrait"/>
          <w:cols w:equalWidth="0" w:num="1">
            <w:col w:w="10580"/>
          </w:cols>
          <w:pgMar w:left="420" w:top="68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545454"/>
        </w:rPr>
        <w:t>Company Overview:</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6 continent sales &amp; service coverage</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15 years in business</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40+ country implementations</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42 patents held</w:t>
      </w:r>
    </w:p>
    <w:p>
      <w:pPr>
        <w:spacing w:after="0" w:line="64"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150+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545454"/>
        </w:rPr>
        <w:t>400 MW of pure power provided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545454"/>
        </w:rPr>
        <w:t>1,600+ flywheels shipped worldwide</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545454"/>
        </w:rPr>
        <w:t>9001:2000 ISO certification</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22"/>
          <w:szCs w:val="22"/>
          <w:color w:val="545454"/>
        </w:rPr>
        <w:t>80,000 square foot manufacturing and operations facility in Austin, Texas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545454"/>
        </w:rPr>
        <w:t>35 million+ hours of field runtime</w:t>
      </w:r>
    </w:p>
    <w:p>
      <w:pPr>
        <w:spacing w:after="0" w:line="200" w:lineRule="exact"/>
        <w:rPr>
          <w:sz w:val="20"/>
          <w:szCs w:val="20"/>
          <w:color w:val="auto"/>
        </w:rPr>
      </w:pPr>
    </w:p>
    <w:p>
      <w:pPr>
        <w:sectPr>
          <w:pgSz w:w="11900" w:h="16838" w:orient="portrait"/>
          <w:cols w:equalWidth="0" w:num="2">
            <w:col w:w="4980" w:space="720"/>
            <w:col w:w="4880"/>
          </w:cols>
          <w:pgMar w:left="420" w:top="687"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E71B21"/>
        </w:rPr>
        <w:t>4</w:t>
      </w:r>
    </w:p>
    <w:p>
      <w:pPr>
        <w:spacing w:after="0" w:line="51"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808080"/>
        </w:rPr>
        <w:t>Copyright © 2007 Active Power, Inc</w:t>
      </w:r>
    </w:p>
    <w:p>
      <w:pPr>
        <w:sectPr>
          <w:pgSz w:w="11900" w:h="16838" w:orient="portrait"/>
          <w:cols w:equalWidth="0" w:num="1">
            <w:col w:w="10580"/>
          </w:cols>
          <w:pgMar w:left="420" w:top="687" w:right="899" w:bottom="1440" w:gutter="0" w:footer="0" w:header="0"/>
          <w:type w:val="continuous"/>
        </w:sectPr>
      </w:pPr>
    </w:p>
    <w:bookmarkStart w:id="87" w:name="page88"/>
    <w:bookmarkEnd w:id="87"/>
    <w:p>
      <w:pPr>
        <w:ind w:left="4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Investment Highlights</w:t>
      </w:r>
    </w:p>
    <w:p>
      <w:pPr>
        <w:spacing w:after="0" w:line="200" w:lineRule="exact"/>
        <w:rPr>
          <w:sz w:val="20"/>
          <w:szCs w:val="20"/>
          <w:color w:val="auto"/>
        </w:rPr>
      </w:pPr>
    </w:p>
    <w:p>
      <w:pPr>
        <w:spacing w:after="0" w:line="238" w:lineRule="exact"/>
        <w:rPr>
          <w:sz w:val="20"/>
          <w:szCs w:val="20"/>
          <w:color w:val="auto"/>
        </w:rPr>
      </w:pPr>
    </w:p>
    <w:p>
      <w:pPr>
        <w:ind w:left="640" w:hanging="415"/>
        <w:spacing w:after="0"/>
        <w:tabs>
          <w:tab w:leader="none" w:pos="640" w:val="left"/>
        </w:tabs>
        <w:numPr>
          <w:ilvl w:val="0"/>
          <w:numId w:val="57"/>
        </w:numPr>
        <w:rPr>
          <w:rFonts w:ascii="Arial" w:cs="Arial" w:eastAsia="Arial" w:hAnsi="Arial"/>
          <w:sz w:val="25"/>
          <w:szCs w:val="25"/>
          <w:color w:val="C3092C"/>
        </w:rPr>
      </w:pPr>
      <w:r>
        <w:rPr>
          <w:rFonts w:ascii="Arial" w:cs="Arial" w:eastAsia="Arial" w:hAnsi="Arial"/>
          <w:sz w:val="25"/>
          <w:szCs w:val="25"/>
          <w:b w:val="1"/>
          <w:bCs w:val="1"/>
          <w:color w:val="545454"/>
        </w:rPr>
        <w:t>Demonstrating ability to perform</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41% revenue growth in 2006</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Q2 2007 record revenue performance $9.2M is 68% increase over Q2 2006</w:t>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3% gross margin in 2006, first year ever achieved</w:t>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17% gross margin in Q2 2007</w:t>
      </w:r>
    </w:p>
    <w:p>
      <w:pPr>
        <w:spacing w:after="0" w:line="29" w:lineRule="exact"/>
        <w:rPr>
          <w:sz w:val="20"/>
          <w:szCs w:val="20"/>
          <w:color w:val="auto"/>
        </w:rPr>
      </w:pPr>
    </w:p>
    <w:p>
      <w:pPr>
        <w:ind w:left="1140"/>
        <w:spacing w:after="0" w:line="261" w:lineRule="auto"/>
        <w:rPr>
          <w:sz w:val="20"/>
          <w:szCs w:val="20"/>
          <w:color w:val="auto"/>
        </w:rPr>
      </w:pPr>
      <w:r>
        <w:rPr>
          <w:rFonts w:ascii="Arial" w:cs="Arial" w:eastAsia="Arial" w:hAnsi="Arial"/>
          <w:sz w:val="22"/>
          <w:szCs w:val="22"/>
          <w:color w:val="545454"/>
        </w:rPr>
        <w:t>Recently announced a multimillion dollar, 7.6 MW order from a European based customer for four Containerized Mobile Power systems</w:t>
      </w:r>
    </w:p>
    <w:p>
      <w:pPr>
        <w:spacing w:after="0" w:line="1" w:lineRule="exact"/>
        <w:rPr>
          <w:sz w:val="20"/>
          <w:szCs w:val="20"/>
          <w:color w:val="auto"/>
        </w:rPr>
      </w:pPr>
    </w:p>
    <w:p>
      <w:pPr>
        <w:ind w:left="640" w:hanging="415"/>
        <w:spacing w:after="0"/>
        <w:tabs>
          <w:tab w:leader="none" w:pos="640" w:val="left"/>
        </w:tabs>
        <w:numPr>
          <w:ilvl w:val="0"/>
          <w:numId w:val="58"/>
        </w:numPr>
        <w:rPr>
          <w:rFonts w:ascii="Arial" w:cs="Arial" w:eastAsia="Arial" w:hAnsi="Arial"/>
          <w:sz w:val="25"/>
          <w:szCs w:val="25"/>
          <w:color w:val="C3092C"/>
        </w:rPr>
      </w:pPr>
      <w:r>
        <w:rPr>
          <w:rFonts w:ascii="Arial" w:cs="Arial" w:eastAsia="Arial" w:hAnsi="Arial"/>
          <w:sz w:val="25"/>
          <w:szCs w:val="25"/>
          <w:b w:val="1"/>
          <w:bCs w:val="1"/>
          <w:color w:val="545454"/>
        </w:rPr>
        <w:t>Differentiated family of products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CleanSource: the most energy &amp; space efficient UPS in the world, and its green!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CoolAir: the world’s only back up power &amp; cooling system, and its green!</w:t>
      </w:r>
    </w:p>
    <w:p>
      <w:pPr>
        <w:spacing w:after="0" w:line="52" w:lineRule="exact"/>
        <w:rPr>
          <w:sz w:val="20"/>
          <w:szCs w:val="20"/>
          <w:color w:val="auto"/>
        </w:rPr>
      </w:pPr>
    </w:p>
    <w:p>
      <w:pPr>
        <w:ind w:left="640" w:hanging="415"/>
        <w:spacing w:after="0"/>
        <w:tabs>
          <w:tab w:leader="none" w:pos="640" w:val="left"/>
        </w:tabs>
        <w:numPr>
          <w:ilvl w:val="0"/>
          <w:numId w:val="59"/>
        </w:numPr>
        <w:rPr>
          <w:rFonts w:ascii="Arial" w:cs="Arial" w:eastAsia="Arial" w:hAnsi="Arial"/>
          <w:sz w:val="25"/>
          <w:szCs w:val="25"/>
          <w:color w:val="C3092C"/>
        </w:rPr>
      </w:pPr>
      <w:r>
        <w:rPr>
          <w:rFonts w:ascii="Arial" w:cs="Arial" w:eastAsia="Arial" w:hAnsi="Arial"/>
          <w:sz w:val="25"/>
          <w:szCs w:val="25"/>
          <w:b w:val="1"/>
          <w:bCs w:val="1"/>
          <w:color w:val="545454"/>
        </w:rPr>
        <w:t>Delivering solutions globally</w:t>
      </w:r>
    </w:p>
    <w:p>
      <w:pPr>
        <w:spacing w:after="0" w:line="50" w:lineRule="exact"/>
        <w:rPr>
          <w:sz w:val="20"/>
          <w:szCs w:val="20"/>
          <w:color w:val="auto"/>
        </w:rPr>
      </w:pPr>
    </w:p>
    <w:p>
      <w:pPr>
        <w:ind w:left="1140" w:right="3740"/>
        <w:spacing w:after="0" w:line="274" w:lineRule="auto"/>
        <w:rPr>
          <w:sz w:val="20"/>
          <w:szCs w:val="20"/>
          <w:color w:val="auto"/>
        </w:rPr>
      </w:pPr>
      <w:r>
        <w:rPr>
          <w:rFonts w:ascii="Arial" w:cs="Arial" w:eastAsia="Arial" w:hAnsi="Arial"/>
          <w:sz w:val="22"/>
          <w:szCs w:val="22"/>
          <w:color w:val="545454"/>
        </w:rPr>
        <w:t>Over 400 MWs of power delivered via 1600 wheels globally 45 units and 81 wheels sold in Q2 2007</w:t>
      </w:r>
    </w:p>
    <w:p>
      <w:pPr>
        <w:spacing w:after="0" w:line="1" w:lineRule="exact"/>
        <w:rPr>
          <w:sz w:val="20"/>
          <w:szCs w:val="20"/>
          <w:color w:val="auto"/>
        </w:rPr>
      </w:pPr>
    </w:p>
    <w:p>
      <w:pPr>
        <w:ind w:left="640" w:hanging="415"/>
        <w:spacing w:after="0"/>
        <w:tabs>
          <w:tab w:leader="none" w:pos="640" w:val="left"/>
        </w:tabs>
        <w:numPr>
          <w:ilvl w:val="0"/>
          <w:numId w:val="60"/>
        </w:numPr>
        <w:rPr>
          <w:rFonts w:ascii="Arial" w:cs="Arial" w:eastAsia="Arial" w:hAnsi="Arial"/>
          <w:sz w:val="25"/>
          <w:szCs w:val="25"/>
          <w:color w:val="C3092C"/>
        </w:rPr>
      </w:pPr>
      <w:r>
        <w:rPr>
          <w:rFonts w:ascii="Arial" w:cs="Arial" w:eastAsia="Arial" w:hAnsi="Arial"/>
          <w:sz w:val="25"/>
          <w:szCs w:val="25"/>
          <w:b w:val="1"/>
          <w:bCs w:val="1"/>
          <w:color w:val="545454"/>
        </w:rPr>
        <w:t>Establishing a path to profitability</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Multiple sales channels strategy developed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Native geographic expansion implemented</w:t>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Growth of the service business</w:t>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Focus on higher margin product sales</w:t>
      </w:r>
    </w:p>
    <w:p>
      <w:pPr>
        <w:spacing w:after="0" w:line="52" w:lineRule="exact"/>
        <w:rPr>
          <w:sz w:val="20"/>
          <w:szCs w:val="20"/>
          <w:color w:val="auto"/>
        </w:rPr>
      </w:pPr>
    </w:p>
    <w:p>
      <w:pPr>
        <w:ind w:left="640" w:hanging="415"/>
        <w:spacing w:after="0"/>
        <w:tabs>
          <w:tab w:leader="none" w:pos="640" w:val="left"/>
        </w:tabs>
        <w:numPr>
          <w:ilvl w:val="0"/>
          <w:numId w:val="61"/>
        </w:numPr>
        <w:rPr>
          <w:rFonts w:ascii="Arial" w:cs="Arial" w:eastAsia="Arial" w:hAnsi="Arial"/>
          <w:sz w:val="25"/>
          <w:szCs w:val="25"/>
          <w:color w:val="C3092C"/>
        </w:rPr>
      </w:pPr>
      <w:r>
        <w:rPr>
          <w:rFonts w:ascii="Arial" w:cs="Arial" w:eastAsia="Arial" w:hAnsi="Arial"/>
          <w:sz w:val="25"/>
          <w:szCs w:val="25"/>
          <w:b w:val="1"/>
          <w:bCs w:val="1"/>
          <w:color w:val="545454"/>
        </w:rPr>
        <w:t>Strong &amp; innovative management team</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New team transforming the business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22"/>
          <w:szCs w:val="22"/>
          <w:color w:val="545454"/>
        </w:rPr>
        <w:t>Driving towards 125 wheels / quarter for EBITDA breakeven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E71B21"/>
        </w:rPr>
        <w:t>5</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740"/>
          </w:cols>
          <w:pgMar w:left="420" w:top="687" w:right="739" w:bottom="1440" w:gutter="0" w:footer="0" w:header="0"/>
        </w:sectPr>
      </w:pPr>
    </w:p>
    <w:bookmarkStart w:id="88" w:name="page89"/>
    <w:bookmarkEnd w:id="88"/>
    <w:p>
      <w:pPr>
        <w:ind w:left="43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Demonstrating Results</w:t>
      </w:r>
    </w:p>
    <w:p>
      <w:pPr>
        <w:spacing w:after="0" w:line="200" w:lineRule="exact"/>
        <w:rPr>
          <w:sz w:val="20"/>
          <w:szCs w:val="20"/>
          <w:color w:val="auto"/>
        </w:rPr>
      </w:pPr>
    </w:p>
    <w:p>
      <w:pPr>
        <w:spacing w:after="0" w:line="250" w:lineRule="exact"/>
        <w:rPr>
          <w:sz w:val="20"/>
          <w:szCs w:val="20"/>
          <w:color w:val="auto"/>
        </w:rPr>
      </w:pPr>
    </w:p>
    <w:tbl>
      <w:tblPr>
        <w:tblLayout w:type="fixed"/>
        <w:tblInd w:w="390" w:type="dxa"/>
        <w:tblCellMar>
          <w:top w:w="0" w:type="dxa"/>
          <w:left w:w="0" w:type="dxa"/>
          <w:bottom w:w="0" w:type="dxa"/>
          <w:right w:w="0" w:type="dxa"/>
        </w:tblCellMar>
      </w:tblPr>
      <w:tr>
        <w:trPr>
          <w:trHeight w:val="349"/>
        </w:trPr>
        <w:tc>
          <w:tcPr>
            <w:tcW w:w="1240" w:type="dxa"/>
            <w:vAlign w:val="bottom"/>
          </w:tcPr>
          <w:p>
            <w:pPr>
              <w:spacing w:after="0"/>
              <w:rPr>
                <w:sz w:val="24"/>
                <w:szCs w:val="24"/>
                <w:color w:val="auto"/>
              </w:rPr>
            </w:pPr>
          </w:p>
        </w:tc>
        <w:tc>
          <w:tcPr>
            <w:tcW w:w="1660" w:type="dxa"/>
            <w:vAlign w:val="bottom"/>
          </w:tcPr>
          <w:p>
            <w:pPr>
              <w:ind w:left="620"/>
              <w:spacing w:after="0"/>
              <w:rPr>
                <w:sz w:val="20"/>
                <w:szCs w:val="20"/>
                <w:color w:val="auto"/>
              </w:rPr>
            </w:pPr>
            <w:r>
              <w:rPr>
                <w:rFonts w:ascii="Arial" w:cs="Arial" w:eastAsia="Arial" w:hAnsi="Arial"/>
                <w:sz w:val="25"/>
                <w:szCs w:val="25"/>
                <w:b w:val="1"/>
                <w:bCs w:val="1"/>
                <w:color w:val="FFFFFF"/>
                <w:w w:val="97"/>
              </w:rPr>
              <w:t>Revenue</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60" w:type="dxa"/>
            <w:vAlign w:val="bottom"/>
            <w:gridSpan w:val="4"/>
          </w:tcPr>
          <w:p>
            <w:pPr>
              <w:jc w:val="right"/>
              <w:spacing w:after="0"/>
              <w:rPr>
                <w:sz w:val="20"/>
                <w:szCs w:val="20"/>
                <w:color w:val="auto"/>
              </w:rPr>
            </w:pPr>
            <w:r>
              <w:rPr>
                <w:rFonts w:ascii="Arial" w:cs="Arial" w:eastAsia="Arial" w:hAnsi="Arial"/>
                <w:sz w:val="25"/>
                <w:szCs w:val="25"/>
                <w:b w:val="1"/>
                <w:bCs w:val="1"/>
                <w:color w:val="FFFFFF"/>
                <w:w w:val="99"/>
              </w:rPr>
              <w:t>Average Selling Price per Wheel</w:t>
            </w:r>
          </w:p>
        </w:tc>
        <w:tc>
          <w:tcPr>
            <w:tcW w:w="0" w:type="dxa"/>
            <w:vAlign w:val="bottom"/>
          </w:tcPr>
          <w:p>
            <w:pPr>
              <w:spacing w:after="0"/>
              <w:rPr>
                <w:sz w:val="1"/>
                <w:szCs w:val="1"/>
                <w:color w:val="auto"/>
              </w:rPr>
            </w:pPr>
          </w:p>
        </w:tc>
      </w:tr>
      <w:tr>
        <w:trPr>
          <w:trHeight w:val="294"/>
        </w:trPr>
        <w:tc>
          <w:tcPr>
            <w:tcW w:w="1240" w:type="dxa"/>
            <w:vAlign w:val="bottom"/>
          </w:tcPr>
          <w:p>
            <w:pPr>
              <w:jc w:val="right"/>
              <w:ind w:right="856"/>
              <w:spacing w:after="0"/>
              <w:rPr>
                <w:sz w:val="20"/>
                <w:szCs w:val="20"/>
                <w:color w:val="auto"/>
              </w:rPr>
            </w:pPr>
            <w:r>
              <w:rPr>
                <w:rFonts w:ascii="Arial" w:cs="Arial" w:eastAsia="Arial" w:hAnsi="Arial"/>
                <w:sz w:val="9"/>
                <w:szCs w:val="9"/>
                <w:b w:val="1"/>
                <w:bCs w:val="1"/>
                <w:color w:val="auto"/>
                <w:w w:val="98"/>
              </w:rPr>
              <w:t>$32,500</w:t>
            </w: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$76,000</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jc w:val="center"/>
              <w:ind w:right="273"/>
              <w:spacing w:after="0"/>
              <w:rPr>
                <w:sz w:val="20"/>
                <w:szCs w:val="20"/>
                <w:color w:val="auto"/>
              </w:rPr>
            </w:pPr>
            <w:r>
              <w:rPr>
                <w:rFonts w:ascii="Arial" w:cs="Arial" w:eastAsia="Arial" w:hAnsi="Arial"/>
                <w:sz w:val="11"/>
                <w:szCs w:val="11"/>
                <w:b w:val="1"/>
                <w:bCs w:val="1"/>
                <w:color w:val="auto"/>
                <w:w w:val="95"/>
              </w:rPr>
              <w:t>$29,149</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$72,615</w:t>
            </w:r>
          </w:p>
        </w:tc>
        <w:tc>
          <w:tcPr>
            <w:tcW w:w="0" w:type="dxa"/>
            <w:vAlign w:val="bottom"/>
          </w:tcPr>
          <w:p>
            <w:pPr>
              <w:spacing w:after="0"/>
              <w:rPr>
                <w:sz w:val="1"/>
                <w:szCs w:val="1"/>
                <w:color w:val="auto"/>
              </w:rPr>
            </w:pPr>
          </w:p>
        </w:tc>
      </w:tr>
      <w:tr>
        <w:trPr>
          <w:trHeight w:val="153"/>
        </w:trPr>
        <w:tc>
          <w:tcPr>
            <w:tcW w:w="1240" w:type="dxa"/>
            <w:vAlign w:val="bottom"/>
            <w:vMerge w:val="restart"/>
          </w:tcPr>
          <w:p>
            <w:pPr>
              <w:jc w:val="right"/>
              <w:ind w:right="856"/>
              <w:spacing w:after="0"/>
              <w:rPr>
                <w:sz w:val="20"/>
                <w:szCs w:val="20"/>
                <w:color w:val="auto"/>
              </w:rPr>
            </w:pPr>
            <w:r>
              <w:rPr>
                <w:rFonts w:ascii="Arial" w:cs="Arial" w:eastAsia="Arial" w:hAnsi="Arial"/>
                <w:sz w:val="9"/>
                <w:szCs w:val="9"/>
                <w:b w:val="1"/>
                <w:bCs w:val="1"/>
                <w:color w:val="auto"/>
                <w:w w:val="98"/>
              </w:rPr>
              <w:t>$27,500</w:t>
            </w:r>
          </w:p>
        </w:tc>
        <w:tc>
          <w:tcPr>
            <w:tcW w:w="1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$72,000</w:t>
            </w: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24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940" w:type="dxa"/>
            <w:vAlign w:val="bottom"/>
            <w:vMerge w:val="restart"/>
          </w:tcPr>
          <w:p>
            <w:pPr>
              <w:jc w:val="center"/>
              <w:ind w:right="473"/>
              <w:spacing w:after="0"/>
              <w:rPr>
                <w:sz w:val="20"/>
                <w:szCs w:val="20"/>
                <w:color w:val="auto"/>
              </w:rPr>
            </w:pPr>
            <w:r>
              <w:rPr>
                <w:rFonts w:ascii="Arial" w:cs="Arial" w:eastAsia="Arial" w:hAnsi="Arial"/>
                <w:sz w:val="11"/>
                <w:szCs w:val="11"/>
                <w:b w:val="1"/>
                <w:bCs w:val="1"/>
                <w:color w:val="auto"/>
                <w:w w:val="95"/>
              </w:rPr>
              <w:t>$25,029</w:t>
            </w: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240" w:type="dxa"/>
            <w:vAlign w:val="bottom"/>
            <w:vMerge w:val="restart"/>
          </w:tcPr>
          <w:p>
            <w:pPr>
              <w:jc w:val="right"/>
              <w:ind w:right="856"/>
              <w:spacing w:after="0"/>
              <w:rPr>
                <w:sz w:val="20"/>
                <w:szCs w:val="20"/>
                <w:color w:val="auto"/>
              </w:rPr>
            </w:pPr>
            <w:r>
              <w:rPr>
                <w:rFonts w:ascii="Arial" w:cs="Arial" w:eastAsia="Arial" w:hAnsi="Arial"/>
                <w:sz w:val="9"/>
                <w:szCs w:val="9"/>
                <w:b w:val="1"/>
                <w:bCs w:val="1"/>
                <w:color w:val="auto"/>
                <w:w w:val="98"/>
              </w:rPr>
              <w:t>$22,500</w:t>
            </w: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$68,000</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vMerge w:val="restart"/>
          </w:tcPr>
          <w:p>
            <w:pPr>
              <w:jc w:val="right"/>
              <w:ind w:right="393"/>
              <w:spacing w:after="0"/>
              <w:rPr>
                <w:sz w:val="20"/>
                <w:szCs w:val="20"/>
                <w:color w:val="auto"/>
              </w:rPr>
            </w:pPr>
            <w:r>
              <w:rPr>
                <w:rFonts w:ascii="Arial" w:cs="Arial" w:eastAsia="Arial" w:hAnsi="Arial"/>
                <w:sz w:val="9"/>
                <w:szCs w:val="9"/>
                <w:b w:val="1"/>
                <w:bCs w:val="1"/>
                <w:color w:val="auto"/>
              </w:rPr>
              <w:t>$66,380</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1240" w:type="dxa"/>
            <w:vAlign w:val="bottom"/>
          </w:tcPr>
          <w:p>
            <w:pPr>
              <w:spacing w:after="0"/>
              <w:rPr>
                <w:sz w:val="24"/>
                <w:szCs w:val="24"/>
                <w:color w:val="auto"/>
              </w:rPr>
            </w:pPr>
          </w:p>
        </w:tc>
        <w:tc>
          <w:tcPr>
            <w:tcW w:w="166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$17,788</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$64,000</w:t>
            </w:r>
          </w:p>
        </w:tc>
        <w:tc>
          <w:tcPr>
            <w:tcW w:w="840" w:type="dxa"/>
            <w:vAlign w:val="bottom"/>
          </w:tcPr>
          <w:p>
            <w:pPr>
              <w:spacing w:after="0"/>
              <w:rPr>
                <w:sz w:val="24"/>
                <w:szCs w:val="24"/>
                <w:color w:val="auto"/>
              </w:rPr>
            </w:pPr>
          </w:p>
        </w:tc>
        <w:tc>
          <w:tcPr>
            <w:tcW w:w="1280" w:type="dxa"/>
            <w:vAlign w:val="bottom"/>
          </w:tcPr>
          <w:p>
            <w:pPr>
              <w:jc w:val="center"/>
              <w:ind w:left="158"/>
              <w:spacing w:after="0"/>
              <w:rPr>
                <w:sz w:val="20"/>
                <w:szCs w:val="20"/>
                <w:color w:val="auto"/>
              </w:rPr>
            </w:pPr>
            <w:r>
              <w:rPr>
                <w:rFonts w:ascii="Arial" w:cs="Arial" w:eastAsia="Arial" w:hAnsi="Arial"/>
                <w:sz w:val="9"/>
                <w:szCs w:val="9"/>
                <w:b w:val="1"/>
                <w:bCs w:val="1"/>
                <w:color w:val="auto"/>
              </w:rPr>
              <w:t>$63,030</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240" w:type="dxa"/>
            <w:vAlign w:val="bottom"/>
            <w:vMerge w:val="restart"/>
          </w:tcPr>
          <w:p>
            <w:pPr>
              <w:jc w:val="right"/>
              <w:ind w:right="856"/>
              <w:spacing w:after="0"/>
              <w:rPr>
                <w:sz w:val="20"/>
                <w:szCs w:val="20"/>
                <w:color w:val="auto"/>
              </w:rPr>
            </w:pPr>
            <w:r>
              <w:rPr>
                <w:rFonts w:ascii="Arial" w:cs="Arial" w:eastAsia="Arial" w:hAnsi="Arial"/>
                <w:sz w:val="9"/>
                <w:szCs w:val="9"/>
                <w:b w:val="1"/>
                <w:bCs w:val="1"/>
                <w:color w:val="auto"/>
                <w:w w:val="98"/>
              </w:rPr>
              <w:t>$17,500</w:t>
            </w:r>
          </w:p>
        </w:tc>
        <w:tc>
          <w:tcPr>
            <w:tcW w:w="166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9"/>
                <w:szCs w:val="9"/>
                <w:b w:val="1"/>
                <w:bCs w:val="1"/>
                <w:color w:val="auto"/>
              </w:rPr>
              <w:t>$60,930</w:t>
            </w:r>
          </w:p>
        </w:tc>
        <w:tc>
          <w:tcPr>
            <w:tcW w:w="1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820"/>
              <w:spacing w:after="0"/>
              <w:rPr>
                <w:sz w:val="20"/>
                <w:szCs w:val="20"/>
                <w:color w:val="auto"/>
              </w:rPr>
            </w:pPr>
            <w:r>
              <w:rPr>
                <w:rFonts w:ascii="Arial" w:cs="Arial" w:eastAsia="Arial" w:hAnsi="Arial"/>
                <w:sz w:val="11"/>
                <w:szCs w:val="11"/>
                <w:b w:val="1"/>
                <w:bCs w:val="1"/>
                <w:color w:val="auto"/>
              </w:rPr>
              <w:t>$15,783</w:t>
            </w:r>
          </w:p>
        </w:tc>
        <w:tc>
          <w:tcPr>
            <w:tcW w:w="1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$60,000</w:t>
            </w: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tcPr>
          <w:p>
            <w:pPr>
              <w:jc w:val="right"/>
              <w:ind w:right="856"/>
              <w:spacing w:after="0"/>
              <w:rPr>
                <w:sz w:val="20"/>
                <w:szCs w:val="20"/>
                <w:color w:val="auto"/>
              </w:rPr>
            </w:pPr>
            <w:r>
              <w:rPr>
                <w:rFonts w:ascii="Arial" w:cs="Arial" w:eastAsia="Arial" w:hAnsi="Arial"/>
                <w:sz w:val="9"/>
                <w:szCs w:val="9"/>
                <w:b w:val="1"/>
                <w:bCs w:val="1"/>
                <w:color w:val="auto"/>
                <w:w w:val="98"/>
              </w:rPr>
              <w:t>$12,500</w:t>
            </w:r>
          </w:p>
        </w:tc>
        <w:tc>
          <w:tcPr>
            <w:tcW w:w="1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$56,000</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40" w:type="dxa"/>
            <w:vAlign w:val="bottom"/>
          </w:tcPr>
          <w:p>
            <w:pPr>
              <w:jc w:val="right"/>
              <w:ind w:right="856"/>
              <w:spacing w:after="0"/>
              <w:rPr>
                <w:sz w:val="20"/>
                <w:szCs w:val="20"/>
                <w:color w:val="auto"/>
              </w:rPr>
            </w:pPr>
            <w:r>
              <w:rPr>
                <w:rFonts w:ascii="Arial" w:cs="Arial" w:eastAsia="Arial" w:hAnsi="Arial"/>
                <w:sz w:val="9"/>
                <w:szCs w:val="9"/>
                <w:b w:val="1"/>
                <w:bCs w:val="1"/>
                <w:color w:val="auto"/>
              </w:rPr>
              <w:t>$7,500</w:t>
            </w:r>
          </w:p>
        </w:tc>
        <w:tc>
          <w:tcPr>
            <w:tcW w:w="1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240" w:type="dxa"/>
            <w:vAlign w:val="bottom"/>
          </w:tcPr>
          <w:p>
            <w:pPr>
              <w:jc w:val="right"/>
              <w:ind w:right="96"/>
              <w:spacing w:after="0"/>
              <w:rPr>
                <w:sz w:val="20"/>
                <w:szCs w:val="20"/>
                <w:color w:val="auto"/>
              </w:rPr>
            </w:pPr>
            <w:r>
              <w:rPr>
                <w:rFonts w:ascii="Arial" w:cs="Arial" w:eastAsia="Arial" w:hAnsi="Arial"/>
                <w:sz w:val="9"/>
                <w:szCs w:val="9"/>
                <w:b w:val="1"/>
                <w:bCs w:val="1"/>
                <w:color w:val="auto"/>
              </w:rPr>
              <w:t>2004</w:t>
            </w:r>
          </w:p>
        </w:tc>
        <w:tc>
          <w:tcPr>
            <w:tcW w:w="1660" w:type="dxa"/>
            <w:vAlign w:val="bottom"/>
          </w:tcPr>
          <w:p>
            <w:pPr>
              <w:jc w:val="right"/>
              <w:ind w:right="671"/>
              <w:spacing w:after="0"/>
              <w:rPr>
                <w:sz w:val="20"/>
                <w:szCs w:val="20"/>
                <w:color w:val="auto"/>
              </w:rPr>
            </w:pPr>
            <w:r>
              <w:rPr>
                <w:rFonts w:ascii="Arial" w:cs="Arial" w:eastAsia="Arial" w:hAnsi="Arial"/>
                <w:sz w:val="9"/>
                <w:szCs w:val="9"/>
                <w:b w:val="1"/>
                <w:bCs w:val="1"/>
                <w:color w:val="auto"/>
              </w:rPr>
              <w:t>2005</w:t>
            </w:r>
          </w:p>
        </w:tc>
        <w:tc>
          <w:tcPr>
            <w:tcW w:w="940" w:type="dxa"/>
            <w:vAlign w:val="bottom"/>
          </w:tcPr>
          <w:p>
            <w:pPr>
              <w:jc w:val="center"/>
              <w:ind w:right="473"/>
              <w:spacing w:after="0"/>
              <w:rPr>
                <w:sz w:val="20"/>
                <w:szCs w:val="20"/>
                <w:color w:val="auto"/>
              </w:rPr>
            </w:pPr>
            <w:r>
              <w:rPr>
                <w:rFonts w:ascii="Arial" w:cs="Arial" w:eastAsia="Arial" w:hAnsi="Arial"/>
                <w:sz w:val="9"/>
                <w:szCs w:val="9"/>
                <w:b w:val="1"/>
                <w:bCs w:val="1"/>
                <w:color w:val="auto"/>
              </w:rPr>
              <w:t>2006</w:t>
            </w:r>
          </w:p>
        </w:tc>
        <w:tc>
          <w:tcPr>
            <w:tcW w:w="940" w:type="dxa"/>
            <w:vAlign w:val="bottom"/>
          </w:tcPr>
          <w:p>
            <w:pPr>
              <w:jc w:val="center"/>
              <w:ind w:right="273"/>
              <w:spacing w:after="0"/>
              <w:rPr>
                <w:sz w:val="20"/>
                <w:szCs w:val="20"/>
                <w:color w:val="auto"/>
              </w:rPr>
            </w:pPr>
            <w:r>
              <w:rPr>
                <w:rFonts w:ascii="Arial" w:cs="Arial" w:eastAsia="Arial" w:hAnsi="Arial"/>
                <w:sz w:val="9"/>
                <w:szCs w:val="9"/>
                <w:b w:val="1"/>
                <w:bCs w:val="1"/>
                <w:color w:val="auto"/>
                <w:w w:val="97"/>
              </w:rPr>
              <w:t>LTM</w:t>
            </w:r>
          </w:p>
        </w:tc>
        <w:tc>
          <w:tcPr>
            <w:tcW w:w="840" w:type="dxa"/>
            <w:vAlign w:val="bottom"/>
          </w:tcPr>
          <w:p>
            <w:pPr>
              <w:jc w:val="right"/>
              <w:ind w:right="13"/>
              <w:spacing w:after="0"/>
              <w:rPr>
                <w:sz w:val="20"/>
                <w:szCs w:val="20"/>
                <w:color w:val="auto"/>
              </w:rPr>
            </w:pPr>
            <w:r>
              <w:rPr>
                <w:rFonts w:ascii="Arial" w:cs="Arial" w:eastAsia="Arial" w:hAnsi="Arial"/>
                <w:sz w:val="9"/>
                <w:szCs w:val="9"/>
                <w:b w:val="1"/>
                <w:bCs w:val="1"/>
                <w:color w:val="auto"/>
              </w:rPr>
              <w:t>$52,000</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1660" w:type="dxa"/>
            <w:vAlign w:val="bottom"/>
          </w:tcPr>
          <w:p>
            <w:pPr>
              <w:jc w:val="right"/>
              <w:ind w:right="791"/>
              <w:spacing w:after="0"/>
              <w:rPr>
                <w:sz w:val="20"/>
                <w:szCs w:val="20"/>
                <w:color w:val="auto"/>
              </w:rPr>
            </w:pPr>
            <w:r>
              <w:rPr>
                <w:rFonts w:ascii="Arial" w:cs="Arial" w:eastAsia="Arial" w:hAnsi="Arial"/>
                <w:sz w:val="9"/>
                <w:szCs w:val="9"/>
                <w:b w:val="1"/>
                <w:bCs w:val="1"/>
                <w:color w:val="auto"/>
              </w:rPr>
              <w:t>Product Revenue</w:t>
            </w:r>
          </w:p>
        </w:tc>
        <w:tc>
          <w:tcPr>
            <w:tcW w:w="940" w:type="dxa"/>
            <w:vAlign w:val="bottom"/>
          </w:tcPr>
          <w:p>
            <w:pPr>
              <w:ind w:left="60"/>
              <w:spacing w:after="0"/>
              <w:rPr>
                <w:sz w:val="20"/>
                <w:szCs w:val="20"/>
                <w:color w:val="auto"/>
              </w:rPr>
            </w:pPr>
            <w:r>
              <w:rPr>
                <w:rFonts w:ascii="Arial" w:cs="Arial" w:eastAsia="Arial" w:hAnsi="Arial"/>
                <w:sz w:val="9"/>
                <w:szCs w:val="9"/>
                <w:b w:val="1"/>
                <w:bCs w:val="1"/>
                <w:color w:val="auto"/>
              </w:rPr>
              <w:t>Service Revenue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138"/>
              <w:spacing w:after="0"/>
              <w:rPr>
                <w:sz w:val="20"/>
                <w:szCs w:val="20"/>
                <w:color w:val="auto"/>
              </w:rPr>
            </w:pPr>
            <w:r>
              <w:rPr>
                <w:rFonts w:ascii="Arial" w:cs="Arial" w:eastAsia="Arial" w:hAnsi="Arial"/>
                <w:sz w:val="9"/>
                <w:szCs w:val="9"/>
                <w:b w:val="1"/>
                <w:bCs w:val="1"/>
                <w:color w:val="auto"/>
              </w:rPr>
              <w:t>2004</w:t>
            </w:r>
          </w:p>
        </w:tc>
        <w:tc>
          <w:tcPr>
            <w:tcW w:w="1280" w:type="dxa"/>
            <w:vAlign w:val="bottom"/>
          </w:tcPr>
          <w:p>
            <w:pPr>
              <w:jc w:val="center"/>
              <w:ind w:left="158"/>
              <w:spacing w:after="0"/>
              <w:rPr>
                <w:sz w:val="20"/>
                <w:szCs w:val="20"/>
                <w:color w:val="auto"/>
              </w:rPr>
            </w:pPr>
            <w:r>
              <w:rPr>
                <w:rFonts w:ascii="Arial" w:cs="Arial" w:eastAsia="Arial" w:hAnsi="Arial"/>
                <w:sz w:val="9"/>
                <w:szCs w:val="9"/>
                <w:b w:val="1"/>
                <w:bCs w:val="1"/>
                <w:color w:val="auto"/>
              </w:rPr>
              <w:t>2005</w:t>
            </w:r>
          </w:p>
        </w:tc>
        <w:tc>
          <w:tcPr>
            <w:tcW w:w="1140" w:type="dxa"/>
            <w:vAlign w:val="bottom"/>
          </w:tcPr>
          <w:p>
            <w:pPr>
              <w:jc w:val="right"/>
              <w:ind w:right="473"/>
              <w:spacing w:after="0"/>
              <w:rPr>
                <w:sz w:val="20"/>
                <w:szCs w:val="20"/>
                <w:color w:val="auto"/>
              </w:rPr>
            </w:pPr>
            <w:r>
              <w:rPr>
                <w:rFonts w:ascii="Arial" w:cs="Arial" w:eastAsia="Arial" w:hAnsi="Arial"/>
                <w:sz w:val="9"/>
                <w:szCs w:val="9"/>
                <w:b w:val="1"/>
                <w:bCs w:val="1"/>
                <w:color w:val="auto"/>
              </w:rPr>
              <w:t>2006</w:t>
            </w:r>
          </w:p>
        </w:tc>
        <w:tc>
          <w:tcPr>
            <w:tcW w:w="600" w:type="dxa"/>
            <w:vAlign w:val="bottom"/>
          </w:tcPr>
          <w:p>
            <w:pPr>
              <w:jc w:val="right"/>
              <w:ind w:right="33"/>
              <w:spacing w:after="0"/>
              <w:rPr>
                <w:sz w:val="20"/>
                <w:szCs w:val="20"/>
                <w:color w:val="auto"/>
              </w:rPr>
            </w:pPr>
            <w:r>
              <w:rPr>
                <w:rFonts w:ascii="Arial" w:cs="Arial" w:eastAsia="Arial" w:hAnsi="Arial"/>
                <w:sz w:val="9"/>
                <w:szCs w:val="9"/>
                <w:b w:val="1"/>
                <w:bCs w:val="1"/>
                <w:color w:val="auto"/>
              </w:rPr>
              <w:t>LTM</w:t>
            </w:r>
          </w:p>
        </w:tc>
        <w:tc>
          <w:tcPr>
            <w:tcW w:w="0" w:type="dxa"/>
            <w:vAlign w:val="bottom"/>
          </w:tcPr>
          <w:p>
            <w:pPr>
              <w:spacing w:after="0"/>
              <w:rPr>
                <w:sz w:val="1"/>
                <w:szCs w:val="1"/>
                <w:color w:val="auto"/>
              </w:rPr>
            </w:pPr>
          </w:p>
        </w:tc>
      </w:tr>
      <w:tr>
        <w:trPr>
          <w:trHeight w:val="563"/>
        </w:trPr>
        <w:tc>
          <w:tcPr>
            <w:tcW w:w="1240" w:type="dxa"/>
            <w:vAlign w:val="bottom"/>
          </w:tcPr>
          <w:p>
            <w:pPr>
              <w:spacing w:after="0"/>
              <w:rPr>
                <w:sz w:val="24"/>
                <w:szCs w:val="24"/>
                <w:color w:val="auto"/>
              </w:rPr>
            </w:pPr>
          </w:p>
        </w:tc>
        <w:tc>
          <w:tcPr>
            <w:tcW w:w="2600" w:type="dxa"/>
            <w:vAlign w:val="bottom"/>
            <w:gridSpan w:val="2"/>
          </w:tcPr>
          <w:p>
            <w:pPr>
              <w:ind w:left="340"/>
              <w:spacing w:after="0"/>
              <w:rPr>
                <w:sz w:val="20"/>
                <w:szCs w:val="20"/>
                <w:color w:val="auto"/>
              </w:rPr>
            </w:pPr>
            <w:r>
              <w:rPr>
                <w:rFonts w:ascii="Arial" w:cs="Arial" w:eastAsia="Arial" w:hAnsi="Arial"/>
                <w:sz w:val="25"/>
                <w:szCs w:val="25"/>
                <w:b w:val="1"/>
                <w:bCs w:val="1"/>
                <w:color w:val="FFFFFF"/>
              </w:rPr>
              <w:t>Gross Margin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20" w:type="dxa"/>
            <w:vAlign w:val="bottom"/>
            <w:gridSpan w:val="2"/>
          </w:tcPr>
          <w:p>
            <w:pPr>
              <w:jc w:val="right"/>
              <w:ind w:right="213"/>
              <w:spacing w:after="0"/>
              <w:rPr>
                <w:sz w:val="20"/>
                <w:szCs w:val="20"/>
                <w:color w:val="auto"/>
              </w:rPr>
            </w:pPr>
            <w:r>
              <w:rPr>
                <w:rFonts w:ascii="Arial" w:cs="Arial" w:eastAsia="Arial" w:hAnsi="Arial"/>
                <w:sz w:val="25"/>
                <w:szCs w:val="25"/>
                <w:b w:val="1"/>
                <w:bCs w:val="1"/>
                <w:color w:val="FFFFFF"/>
              </w:rPr>
              <w:t>Operating Margin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96"/>
              <w:spacing w:after="0"/>
              <w:rPr>
                <w:sz w:val="20"/>
                <w:szCs w:val="20"/>
                <w:color w:val="auto"/>
              </w:rPr>
            </w:pPr>
            <w:r>
              <w:rPr>
                <w:rFonts w:ascii="Arial" w:cs="Arial" w:eastAsia="Arial" w:hAnsi="Arial"/>
                <w:sz w:val="8"/>
                <w:szCs w:val="8"/>
                <w:b w:val="1"/>
                <w:bCs w:val="1"/>
                <w:color w:val="auto"/>
              </w:rPr>
              <w:t>15%</w:t>
            </w: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9"/>
                <w:szCs w:val="9"/>
                <w:b w:val="1"/>
                <w:bCs w:val="1"/>
                <w:color w:val="auto"/>
              </w:rPr>
              <w:t>0%</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vMerge w:val="restart"/>
          </w:tcPr>
          <w:p>
            <w:pPr>
              <w:jc w:val="right"/>
              <w:ind w:right="896"/>
              <w:spacing w:after="0"/>
              <w:rPr>
                <w:sz w:val="20"/>
                <w:szCs w:val="20"/>
                <w:color w:val="auto"/>
              </w:rPr>
            </w:pPr>
            <w:r>
              <w:rPr>
                <w:rFonts w:ascii="Arial" w:cs="Arial" w:eastAsia="Arial" w:hAnsi="Arial"/>
                <w:sz w:val="8"/>
                <w:szCs w:val="8"/>
                <w:b w:val="1"/>
                <w:bCs w:val="1"/>
                <w:color w:val="auto"/>
              </w:rPr>
              <w:t>10%</w:t>
            </w:r>
          </w:p>
        </w:tc>
        <w:tc>
          <w:tcPr>
            <w:tcW w:w="1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jc w:val="right"/>
              <w:ind w:right="453"/>
              <w:spacing w:after="0"/>
              <w:rPr>
                <w:sz w:val="20"/>
                <w:szCs w:val="20"/>
                <w:color w:val="auto"/>
              </w:rPr>
            </w:pPr>
            <w:r>
              <w:rPr>
                <w:rFonts w:ascii="Arial" w:cs="Arial" w:eastAsia="Arial" w:hAnsi="Arial"/>
                <w:sz w:val="9"/>
                <w:szCs w:val="9"/>
                <w:b w:val="1"/>
                <w:bCs w:val="1"/>
                <w:color w:val="auto"/>
              </w:rPr>
              <w:t>10%</w:t>
            </w: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jc w:val="right"/>
              <w:ind w:right="33"/>
              <w:spacing w:after="0"/>
              <w:rPr>
                <w:sz w:val="20"/>
                <w:szCs w:val="20"/>
                <w:color w:val="auto"/>
              </w:rPr>
            </w:pPr>
            <w:r>
              <w:rPr>
                <w:rFonts w:ascii="Arial" w:cs="Arial" w:eastAsia="Arial" w:hAnsi="Arial"/>
                <w:sz w:val="9"/>
                <w:szCs w:val="9"/>
                <w:b w:val="1"/>
                <w:bCs w:val="1"/>
                <w:color w:val="auto"/>
              </w:rPr>
              <w:t>-40%</w:t>
            </w: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240" w:type="dxa"/>
            <w:vAlign w:val="bottom"/>
          </w:tcPr>
          <w:p>
            <w:pPr>
              <w:jc w:val="right"/>
              <w:ind w:right="896"/>
              <w:spacing w:after="0"/>
              <w:rPr>
                <w:sz w:val="20"/>
                <w:szCs w:val="20"/>
                <w:color w:val="auto"/>
              </w:rPr>
            </w:pPr>
            <w:r>
              <w:rPr>
                <w:rFonts w:ascii="Arial" w:cs="Arial" w:eastAsia="Arial" w:hAnsi="Arial"/>
                <w:sz w:val="8"/>
                <w:szCs w:val="8"/>
                <w:b w:val="1"/>
                <w:bCs w:val="1"/>
                <w:color w:val="auto"/>
              </w:rPr>
              <w:t>5%</w:t>
            </w:r>
          </w:p>
        </w:tc>
        <w:tc>
          <w:tcPr>
            <w:tcW w:w="1660" w:type="dxa"/>
            <w:vAlign w:val="bottom"/>
          </w:tcPr>
          <w:p>
            <w:pPr>
              <w:spacing w:after="0"/>
              <w:rPr>
                <w:sz w:val="19"/>
                <w:szCs w:val="19"/>
                <w:color w:val="auto"/>
              </w:rPr>
            </w:pPr>
          </w:p>
        </w:tc>
        <w:tc>
          <w:tcPr>
            <w:tcW w:w="940" w:type="dxa"/>
            <w:vAlign w:val="bottom"/>
            <w:vMerge w:val="restart"/>
          </w:tcPr>
          <w:p>
            <w:pPr>
              <w:jc w:val="center"/>
              <w:ind w:right="513"/>
              <w:spacing w:after="0"/>
              <w:rPr>
                <w:sz w:val="20"/>
                <w:szCs w:val="20"/>
                <w:color w:val="auto"/>
              </w:rPr>
            </w:pPr>
            <w:r>
              <w:rPr>
                <w:rFonts w:ascii="Arial" w:cs="Arial" w:eastAsia="Arial" w:hAnsi="Arial"/>
                <w:sz w:val="9"/>
                <w:szCs w:val="9"/>
                <w:b w:val="1"/>
                <w:bCs w:val="1"/>
                <w:color w:val="auto"/>
              </w:rPr>
              <w:t>3%</w:t>
            </w: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240" w:type="dxa"/>
            <w:vAlign w:val="bottom"/>
            <w:vMerge w:val="restart"/>
          </w:tcPr>
          <w:p>
            <w:pPr>
              <w:jc w:val="right"/>
              <w:ind w:right="896"/>
              <w:spacing w:after="0"/>
              <w:rPr>
                <w:sz w:val="20"/>
                <w:szCs w:val="20"/>
                <w:color w:val="auto"/>
              </w:rPr>
            </w:pPr>
            <w:r>
              <w:rPr>
                <w:rFonts w:ascii="Arial" w:cs="Arial" w:eastAsia="Arial" w:hAnsi="Arial"/>
                <w:sz w:val="8"/>
                <w:szCs w:val="8"/>
                <w:b w:val="1"/>
                <w:bCs w:val="1"/>
                <w:color w:val="auto"/>
              </w:rPr>
              <w:t>0%</w:t>
            </w:r>
          </w:p>
        </w:tc>
        <w:tc>
          <w:tcPr>
            <w:tcW w:w="1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9"/>
                <w:szCs w:val="9"/>
                <w:b w:val="1"/>
                <w:bCs w:val="1"/>
                <w:color w:val="auto"/>
              </w:rPr>
              <w:t>-80%</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-72%</w:t>
            </w: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660" w:type="dxa"/>
            <w:vAlign w:val="bottom"/>
            <w:vMerge w:val="restart"/>
          </w:tcPr>
          <w:p>
            <w:pPr>
              <w:jc w:val="right"/>
              <w:ind w:right="751"/>
              <w:spacing w:after="0"/>
              <w:rPr>
                <w:sz w:val="20"/>
                <w:szCs w:val="20"/>
                <w:color w:val="auto"/>
              </w:rPr>
            </w:pPr>
            <w:r>
              <w:rPr>
                <w:rFonts w:ascii="Arial" w:cs="Arial" w:eastAsia="Arial" w:hAnsi="Arial"/>
                <w:sz w:val="9"/>
                <w:szCs w:val="9"/>
                <w:b w:val="1"/>
                <w:bCs w:val="1"/>
                <w:color w:val="auto"/>
              </w:rPr>
              <w:t>-2%</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jc w:val="right"/>
              <w:ind w:right="433"/>
              <w:spacing w:after="0"/>
              <w:rPr>
                <w:sz w:val="20"/>
                <w:szCs w:val="20"/>
                <w:color w:val="auto"/>
              </w:rPr>
            </w:pPr>
            <w:r>
              <w:rPr>
                <w:rFonts w:ascii="Arial" w:cs="Arial" w:eastAsia="Arial" w:hAnsi="Arial"/>
                <w:sz w:val="9"/>
                <w:szCs w:val="9"/>
                <w:b w:val="1"/>
                <w:bCs w:val="1"/>
                <w:color w:val="auto"/>
              </w:rPr>
              <w:t>-91%</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40" w:type="dxa"/>
            <w:vAlign w:val="bottom"/>
            <w:vMerge w:val="restart"/>
          </w:tcPr>
          <w:p>
            <w:pPr>
              <w:jc w:val="right"/>
              <w:ind w:right="896"/>
              <w:spacing w:after="0"/>
              <w:rPr>
                <w:sz w:val="20"/>
                <w:szCs w:val="20"/>
                <w:color w:val="auto"/>
              </w:rPr>
            </w:pPr>
            <w:r>
              <w:rPr>
                <w:rFonts w:ascii="Arial" w:cs="Arial" w:eastAsia="Arial" w:hAnsi="Arial"/>
                <w:sz w:val="8"/>
                <w:szCs w:val="8"/>
                <w:b w:val="1"/>
                <w:bCs w:val="1"/>
                <w:color w:val="auto"/>
              </w:rPr>
              <w:t>-5%</w:t>
            </w:r>
          </w:p>
        </w:tc>
        <w:tc>
          <w:tcPr>
            <w:tcW w:w="16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9"/>
                <w:szCs w:val="9"/>
                <w:b w:val="1"/>
                <w:bCs w:val="1"/>
                <w:color w:val="auto"/>
              </w:rPr>
              <w:t>-120%</w:t>
            </w: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4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1240" w:type="dxa"/>
            <w:vAlign w:val="bottom"/>
          </w:tcPr>
          <w:p>
            <w:pPr>
              <w:jc w:val="right"/>
              <w:ind w:right="896"/>
              <w:spacing w:after="0"/>
              <w:rPr>
                <w:sz w:val="20"/>
                <w:szCs w:val="20"/>
                <w:color w:val="auto"/>
              </w:rPr>
            </w:pPr>
            <w:r>
              <w:rPr>
                <w:rFonts w:ascii="Arial" w:cs="Arial" w:eastAsia="Arial" w:hAnsi="Arial"/>
                <w:sz w:val="8"/>
                <w:szCs w:val="8"/>
                <w:b w:val="1"/>
                <w:bCs w:val="1"/>
                <w:color w:val="auto"/>
              </w:rPr>
              <w:t>-10%</w:t>
            </w: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vMerge w:val="restart"/>
          </w:tcPr>
          <w:p>
            <w:pPr>
              <w:jc w:val="center"/>
              <w:ind w:left="198"/>
              <w:spacing w:after="0"/>
              <w:rPr>
                <w:sz w:val="20"/>
                <w:szCs w:val="20"/>
                <w:color w:val="auto"/>
              </w:rPr>
            </w:pPr>
            <w:r>
              <w:rPr>
                <w:rFonts w:ascii="Arial" w:cs="Arial" w:eastAsia="Arial" w:hAnsi="Arial"/>
                <w:sz w:val="9"/>
                <w:szCs w:val="9"/>
                <w:b w:val="1"/>
                <w:bCs w:val="1"/>
                <w:color w:val="auto"/>
                <w:w w:val="99"/>
              </w:rPr>
              <w:t>-142%</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9"/>
                <w:szCs w:val="9"/>
                <w:b w:val="1"/>
                <w:bCs w:val="1"/>
                <w:color w:val="auto"/>
              </w:rPr>
              <w:t>-160%</w:t>
            </w:r>
          </w:p>
        </w:tc>
        <w:tc>
          <w:tcPr>
            <w:tcW w:w="8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240" w:type="dxa"/>
            <w:vAlign w:val="bottom"/>
          </w:tcPr>
          <w:p>
            <w:pPr>
              <w:jc w:val="right"/>
              <w:ind w:right="896"/>
              <w:spacing w:after="0"/>
              <w:rPr>
                <w:sz w:val="20"/>
                <w:szCs w:val="20"/>
                <w:color w:val="auto"/>
              </w:rPr>
            </w:pPr>
            <w:r>
              <w:rPr>
                <w:rFonts w:ascii="Arial" w:cs="Arial" w:eastAsia="Arial" w:hAnsi="Arial"/>
                <w:sz w:val="8"/>
                <w:szCs w:val="8"/>
                <w:b w:val="1"/>
                <w:bCs w:val="1"/>
                <w:color w:val="auto"/>
              </w:rPr>
              <w:t>-15%</w:t>
            </w:r>
          </w:p>
        </w:tc>
        <w:tc>
          <w:tcPr>
            <w:tcW w:w="1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40" w:type="dxa"/>
            <w:vAlign w:val="bottom"/>
          </w:tcPr>
          <w:p>
            <w:pPr>
              <w:ind w:left="800"/>
              <w:spacing w:after="0"/>
              <w:rPr>
                <w:sz w:val="20"/>
                <w:szCs w:val="20"/>
                <w:color w:val="auto"/>
              </w:rPr>
            </w:pPr>
            <w:r>
              <w:rPr>
                <w:rFonts w:ascii="Arial" w:cs="Arial" w:eastAsia="Arial" w:hAnsi="Arial"/>
                <w:sz w:val="9"/>
                <w:szCs w:val="9"/>
                <w:b w:val="1"/>
                <w:bCs w:val="1"/>
                <w:color w:val="auto"/>
              </w:rPr>
              <w:t>-15%</w:t>
            </w:r>
          </w:p>
        </w:tc>
        <w:tc>
          <w:tcPr>
            <w:tcW w:w="1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9"/>
                <w:szCs w:val="9"/>
                <w:b w:val="1"/>
                <w:bCs w:val="1"/>
                <w:color w:val="auto"/>
              </w:rPr>
              <w:t>-186%</w:t>
            </w: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9"/>
                <w:szCs w:val="9"/>
                <w:b w:val="1"/>
                <w:bCs w:val="1"/>
                <w:color w:val="auto"/>
              </w:rPr>
              <w:t>-200%</w:t>
            </w:r>
          </w:p>
        </w:tc>
        <w:tc>
          <w:tcPr>
            <w:tcW w:w="8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240" w:type="dxa"/>
            <w:vAlign w:val="bottom"/>
            <w:vMerge w:val="restart"/>
          </w:tcPr>
          <w:p>
            <w:pPr>
              <w:jc w:val="right"/>
              <w:ind w:right="896"/>
              <w:spacing w:after="0"/>
              <w:rPr>
                <w:sz w:val="20"/>
                <w:szCs w:val="20"/>
                <w:color w:val="auto"/>
              </w:rPr>
            </w:pPr>
            <w:r>
              <w:rPr>
                <w:rFonts w:ascii="Arial" w:cs="Arial" w:eastAsia="Arial" w:hAnsi="Arial"/>
                <w:sz w:val="8"/>
                <w:szCs w:val="8"/>
                <w:b w:val="1"/>
                <w:bCs w:val="1"/>
                <w:color w:val="auto"/>
              </w:rPr>
              <w:t>-20%</w:t>
            </w:r>
          </w:p>
        </w:tc>
        <w:tc>
          <w:tcPr>
            <w:tcW w:w="1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24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vMerge w:val="restart"/>
          </w:tcPr>
          <w:p>
            <w:pPr>
              <w:jc w:val="right"/>
              <w:ind w:right="138"/>
              <w:spacing w:after="0"/>
              <w:rPr>
                <w:sz w:val="20"/>
                <w:szCs w:val="20"/>
                <w:color w:val="auto"/>
              </w:rPr>
            </w:pPr>
            <w:r>
              <w:rPr>
                <w:rFonts w:ascii="Arial" w:cs="Arial" w:eastAsia="Arial" w:hAnsi="Arial"/>
                <w:sz w:val="9"/>
                <w:szCs w:val="9"/>
                <w:b w:val="1"/>
                <w:bCs w:val="1"/>
                <w:color w:val="auto"/>
              </w:rPr>
              <w:t>2004</w:t>
            </w:r>
          </w:p>
        </w:tc>
        <w:tc>
          <w:tcPr>
            <w:tcW w:w="1280" w:type="dxa"/>
            <w:vAlign w:val="bottom"/>
            <w:vMerge w:val="restart"/>
          </w:tcPr>
          <w:p>
            <w:pPr>
              <w:jc w:val="center"/>
              <w:ind w:left="198"/>
              <w:spacing w:after="0"/>
              <w:rPr>
                <w:sz w:val="20"/>
                <w:szCs w:val="20"/>
                <w:color w:val="auto"/>
              </w:rPr>
            </w:pPr>
            <w:r>
              <w:rPr>
                <w:rFonts w:ascii="Arial" w:cs="Arial" w:eastAsia="Arial" w:hAnsi="Arial"/>
                <w:sz w:val="9"/>
                <w:szCs w:val="9"/>
                <w:b w:val="1"/>
                <w:bCs w:val="1"/>
                <w:color w:val="auto"/>
              </w:rPr>
              <w:t>2005</w:t>
            </w:r>
          </w:p>
        </w:tc>
        <w:tc>
          <w:tcPr>
            <w:tcW w:w="1140" w:type="dxa"/>
            <w:vAlign w:val="bottom"/>
            <w:vMerge w:val="restart"/>
          </w:tcPr>
          <w:p>
            <w:pPr>
              <w:jc w:val="right"/>
              <w:ind w:right="433"/>
              <w:spacing w:after="0"/>
              <w:rPr>
                <w:sz w:val="20"/>
                <w:szCs w:val="20"/>
                <w:color w:val="auto"/>
              </w:rPr>
            </w:pPr>
            <w:r>
              <w:rPr>
                <w:rFonts w:ascii="Arial" w:cs="Arial" w:eastAsia="Arial" w:hAnsi="Arial"/>
                <w:sz w:val="9"/>
                <w:szCs w:val="9"/>
                <w:b w:val="1"/>
                <w:bCs w:val="1"/>
                <w:color w:val="auto"/>
              </w:rPr>
              <w:t>2006</w:t>
            </w:r>
          </w:p>
        </w:tc>
        <w:tc>
          <w:tcPr>
            <w:tcW w:w="600" w:type="dxa"/>
            <w:vAlign w:val="bottom"/>
            <w:vMerge w:val="restart"/>
          </w:tcPr>
          <w:p>
            <w:pPr>
              <w:jc w:val="right"/>
              <w:spacing w:after="0"/>
              <w:rPr>
                <w:sz w:val="20"/>
                <w:szCs w:val="20"/>
                <w:color w:val="auto"/>
              </w:rPr>
            </w:pPr>
            <w:r>
              <w:rPr>
                <w:rFonts w:ascii="Arial" w:cs="Arial" w:eastAsia="Arial" w:hAnsi="Arial"/>
                <w:sz w:val="9"/>
                <w:szCs w:val="9"/>
                <w:b w:val="1"/>
                <w:bCs w:val="1"/>
                <w:color w:val="auto"/>
              </w:rPr>
              <w:t>LTM</w:t>
            </w:r>
          </w:p>
        </w:tc>
        <w:tc>
          <w:tcPr>
            <w:tcW w:w="0" w:type="dxa"/>
            <w:vAlign w:val="bottom"/>
          </w:tcPr>
          <w:p>
            <w:pPr>
              <w:spacing w:after="0"/>
              <w:rPr>
                <w:sz w:val="1"/>
                <w:szCs w:val="1"/>
                <w:color w:val="auto"/>
              </w:rPr>
            </w:pPr>
          </w:p>
        </w:tc>
      </w:tr>
      <w:tr>
        <w:trPr>
          <w:trHeight w:val="63"/>
        </w:trPr>
        <w:tc>
          <w:tcPr>
            <w:tcW w:w="1240" w:type="dxa"/>
            <w:vAlign w:val="bottom"/>
            <w:vMerge w:val="restart"/>
          </w:tcPr>
          <w:p>
            <w:pPr>
              <w:ind w:left="800"/>
              <w:spacing w:after="0"/>
              <w:rPr>
                <w:sz w:val="20"/>
                <w:szCs w:val="20"/>
                <w:color w:val="auto"/>
              </w:rPr>
            </w:pPr>
            <w:r>
              <w:rPr>
                <w:rFonts w:ascii="Arial" w:cs="Arial" w:eastAsia="Arial" w:hAnsi="Arial"/>
                <w:sz w:val="8"/>
                <w:szCs w:val="8"/>
                <w:b w:val="1"/>
                <w:bCs w:val="1"/>
                <w:color w:val="auto"/>
              </w:rPr>
              <w:t>2004</w:t>
            </w:r>
          </w:p>
        </w:tc>
        <w:tc>
          <w:tcPr>
            <w:tcW w:w="1660" w:type="dxa"/>
            <w:vAlign w:val="bottom"/>
            <w:vMerge w:val="restart"/>
          </w:tcPr>
          <w:p>
            <w:pPr>
              <w:jc w:val="right"/>
              <w:ind w:right="751"/>
              <w:spacing w:after="0"/>
              <w:rPr>
                <w:sz w:val="20"/>
                <w:szCs w:val="20"/>
                <w:color w:val="auto"/>
              </w:rPr>
            </w:pPr>
            <w:r>
              <w:rPr>
                <w:rFonts w:ascii="Arial" w:cs="Arial" w:eastAsia="Arial" w:hAnsi="Arial"/>
                <w:sz w:val="8"/>
                <w:szCs w:val="8"/>
                <w:b w:val="1"/>
                <w:bCs w:val="1"/>
                <w:color w:val="auto"/>
              </w:rPr>
              <w:t>2005</w:t>
            </w:r>
          </w:p>
        </w:tc>
        <w:tc>
          <w:tcPr>
            <w:tcW w:w="940" w:type="dxa"/>
            <w:vAlign w:val="bottom"/>
            <w:vMerge w:val="restart"/>
          </w:tcPr>
          <w:p>
            <w:pPr>
              <w:jc w:val="center"/>
              <w:ind w:right="513"/>
              <w:spacing w:after="0"/>
              <w:rPr>
                <w:sz w:val="20"/>
                <w:szCs w:val="20"/>
                <w:color w:val="auto"/>
              </w:rPr>
            </w:pPr>
            <w:r>
              <w:rPr>
                <w:rFonts w:ascii="Arial" w:cs="Arial" w:eastAsia="Arial" w:hAnsi="Arial"/>
                <w:sz w:val="8"/>
                <w:szCs w:val="8"/>
                <w:b w:val="1"/>
                <w:bCs w:val="1"/>
                <w:color w:val="auto"/>
              </w:rPr>
              <w:t>2006</w:t>
            </w:r>
          </w:p>
        </w:tc>
        <w:tc>
          <w:tcPr>
            <w:tcW w:w="940" w:type="dxa"/>
            <w:vAlign w:val="bottom"/>
            <w:vMerge w:val="restart"/>
          </w:tcPr>
          <w:p>
            <w:pPr>
              <w:jc w:val="center"/>
              <w:ind w:right="213"/>
              <w:spacing w:after="0"/>
              <w:rPr>
                <w:sz w:val="20"/>
                <w:szCs w:val="20"/>
                <w:color w:val="auto"/>
              </w:rPr>
            </w:pPr>
            <w:r>
              <w:rPr>
                <w:rFonts w:ascii="Arial" w:cs="Arial" w:eastAsia="Arial" w:hAnsi="Arial"/>
                <w:sz w:val="8"/>
                <w:szCs w:val="8"/>
                <w:b w:val="1"/>
                <w:bCs w:val="1"/>
                <w:color w:val="auto"/>
                <w:w w:val="97"/>
              </w:rPr>
              <w:t>LTM</w:t>
            </w:r>
          </w:p>
        </w:tc>
        <w:tc>
          <w:tcPr>
            <w:tcW w:w="8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24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450" w:hanging="450"/>
        <w:spacing w:after="0" w:line="182" w:lineRule="auto"/>
        <w:tabs>
          <w:tab w:leader="none" w:pos="450" w:val="left"/>
        </w:tabs>
        <w:numPr>
          <w:ilvl w:val="0"/>
          <w:numId w:val="62"/>
        </w:numPr>
        <w:rPr>
          <w:rFonts w:ascii="Arial" w:cs="Arial" w:eastAsia="Arial" w:hAnsi="Arial"/>
          <w:sz w:val="24"/>
          <w:szCs w:val="24"/>
          <w:color w:val="E71B21"/>
          <w:vertAlign w:val="superscript"/>
        </w:rPr>
      </w:pPr>
      <w:r>
        <w:rPr>
          <w:rFonts w:ascii="Arial" w:cs="Arial" w:eastAsia="Arial" w:hAnsi="Arial"/>
          <w:sz w:val="12"/>
          <w:szCs w:val="12"/>
          <w:i w:val="1"/>
          <w:iCs w:val="1"/>
          <w:color w:val="5F5F5F"/>
        </w:rPr>
        <w:t>Note: LTM data as of June 30, 2007</w:t>
      </w:r>
    </w:p>
    <w:p>
      <w:pPr>
        <w:spacing w:after="0" w:line="1" w:lineRule="exact"/>
        <w:rPr>
          <w:sz w:val="20"/>
          <w:szCs w:val="20"/>
          <w:color w:val="auto"/>
        </w:rPr>
      </w:pPr>
    </w:p>
    <w:p>
      <w:pPr>
        <w:ind w:left="439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49"/>
          </w:cols>
          <w:pgMar w:left="410" w:top="687" w:right="1440" w:bottom="1440" w:gutter="0" w:footer="0" w:header="0"/>
        </w:sectPr>
      </w:pPr>
    </w:p>
    <w:bookmarkStart w:id="89" w:name="page90"/>
    <w:bookmarkEnd w:id="89"/>
    <w:p>
      <w:pPr>
        <w:ind w:left="4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Product Line</w:t>
      </w:r>
    </w:p>
    <w:p>
      <w:pPr>
        <w:spacing w:after="0" w:line="200" w:lineRule="exact"/>
        <w:rPr>
          <w:sz w:val="20"/>
          <w:szCs w:val="20"/>
          <w:color w:val="auto"/>
        </w:rPr>
      </w:pPr>
    </w:p>
    <w:p>
      <w:pPr>
        <w:spacing w:after="0" w:line="300" w:lineRule="exact"/>
        <w:rPr>
          <w:sz w:val="20"/>
          <w:szCs w:val="20"/>
          <w:color w:val="auto"/>
        </w:rPr>
      </w:pPr>
    </w:p>
    <w:tbl>
      <w:tblPr>
        <w:tblLayout w:type="fixed"/>
        <w:tblInd w:w="1040" w:type="dxa"/>
        <w:tblCellMar>
          <w:top w:w="0" w:type="dxa"/>
          <w:left w:w="0" w:type="dxa"/>
          <w:bottom w:w="0" w:type="dxa"/>
          <w:right w:w="0" w:type="dxa"/>
        </w:tblCellMar>
      </w:tblPr>
      <w:tr>
        <w:trPr>
          <w:trHeight w:val="489"/>
        </w:trPr>
        <w:tc>
          <w:tcPr>
            <w:tcW w:w="4280" w:type="dxa"/>
            <w:vAlign w:val="bottom"/>
          </w:tcPr>
          <w:p>
            <w:pPr>
              <w:ind w:left="700"/>
              <w:spacing w:after="0"/>
              <w:rPr>
                <w:sz w:val="20"/>
                <w:szCs w:val="20"/>
                <w:color w:val="auto"/>
              </w:rPr>
            </w:pPr>
            <w:r>
              <w:rPr>
                <w:rFonts w:ascii="Arial" w:cs="Arial" w:eastAsia="Arial" w:hAnsi="Arial"/>
                <w:sz w:val="25"/>
                <w:szCs w:val="25"/>
                <w:b w:val="1"/>
                <w:bCs w:val="1"/>
                <w:color w:val="FFFFFF"/>
              </w:rPr>
              <w:t>CleanSource</w:t>
            </w:r>
            <w:r>
              <w:rPr>
                <w:rFonts w:ascii="Arial" w:cs="Arial" w:eastAsia="Arial" w:hAnsi="Arial"/>
                <w:sz w:val="35"/>
                <w:szCs w:val="35"/>
                <w:b w:val="1"/>
                <w:bCs w:val="1"/>
                <w:color w:val="FFFFFF"/>
                <w:vertAlign w:val="superscript"/>
              </w:rPr>
              <w:t>®</w:t>
            </w:r>
          </w:p>
        </w:tc>
        <w:tc>
          <w:tcPr>
            <w:tcW w:w="3300" w:type="dxa"/>
            <w:vAlign w:val="bottom"/>
          </w:tcPr>
          <w:p>
            <w:pPr>
              <w:ind w:left="1720"/>
              <w:spacing w:after="0"/>
              <w:rPr>
                <w:sz w:val="20"/>
                <w:szCs w:val="20"/>
                <w:color w:val="auto"/>
              </w:rPr>
            </w:pPr>
            <w:r>
              <w:rPr>
                <w:rFonts w:ascii="Arial" w:cs="Arial" w:eastAsia="Arial" w:hAnsi="Arial"/>
                <w:sz w:val="25"/>
                <w:szCs w:val="25"/>
                <w:b w:val="1"/>
                <w:bCs w:val="1"/>
                <w:color w:val="FFFFFF"/>
              </w:rPr>
              <w:t>CoolAir</w:t>
            </w:r>
            <w:r>
              <w:rPr>
                <w:rFonts w:ascii="Arial" w:cs="Arial" w:eastAsia="Arial" w:hAnsi="Arial"/>
                <w:sz w:val="18"/>
                <w:szCs w:val="18"/>
                <w:b w:val="1"/>
                <w:bCs w:val="1"/>
                <w:color w:val="FFFFFF"/>
              </w:rPr>
              <w:t>™</w:t>
            </w:r>
          </w:p>
        </w:tc>
      </w:tr>
      <w:tr>
        <w:trPr>
          <w:trHeight w:val="323"/>
        </w:trPr>
        <w:tc>
          <w:tcPr>
            <w:tcW w:w="4280" w:type="dxa"/>
            <w:vAlign w:val="bottom"/>
          </w:tcPr>
          <w:p>
            <w:pPr>
              <w:spacing w:after="0"/>
              <w:rPr>
                <w:sz w:val="20"/>
                <w:szCs w:val="20"/>
                <w:color w:val="auto"/>
              </w:rPr>
            </w:pPr>
            <w:r>
              <w:rPr>
                <w:rFonts w:ascii="Arial" w:cs="Arial" w:eastAsia="Arial" w:hAnsi="Arial"/>
                <w:sz w:val="22"/>
                <w:szCs w:val="22"/>
                <w:color w:val="545454"/>
              </w:rPr>
              <w:t>CleanSource UPS</w:t>
            </w:r>
          </w:p>
        </w:tc>
        <w:tc>
          <w:tcPr>
            <w:tcW w:w="3300" w:type="dxa"/>
            <w:vAlign w:val="bottom"/>
          </w:tcPr>
          <w:p>
            <w:pPr>
              <w:ind w:left="960"/>
              <w:spacing w:after="0"/>
              <w:rPr>
                <w:sz w:val="20"/>
                <w:szCs w:val="20"/>
                <w:color w:val="auto"/>
              </w:rPr>
            </w:pPr>
            <w:r>
              <w:rPr>
                <w:rFonts w:ascii="Arial" w:cs="Arial" w:eastAsia="Arial" w:hAnsi="Arial"/>
                <w:sz w:val="22"/>
                <w:szCs w:val="22"/>
                <w:color w:val="545454"/>
              </w:rPr>
              <w:t>CoolAir UPS</w:t>
            </w:r>
          </w:p>
        </w:tc>
      </w:tr>
      <w:tr>
        <w:trPr>
          <w:trHeight w:val="266"/>
        </w:trPr>
        <w:tc>
          <w:tcPr>
            <w:tcW w:w="4280" w:type="dxa"/>
            <w:vAlign w:val="bottom"/>
          </w:tcPr>
          <w:p>
            <w:pPr>
              <w:ind w:left="200"/>
              <w:spacing w:after="0"/>
              <w:rPr>
                <w:sz w:val="20"/>
                <w:szCs w:val="20"/>
                <w:color w:val="auto"/>
              </w:rPr>
            </w:pPr>
            <w:r>
              <w:rPr>
                <w:rFonts w:ascii="Arial" w:cs="Arial" w:eastAsia="Arial" w:hAnsi="Arial"/>
                <w:sz w:val="19"/>
                <w:szCs w:val="19"/>
                <w:color w:val="545454"/>
              </w:rPr>
              <w:t>–  130-3,600 kVA systems</w:t>
            </w:r>
          </w:p>
        </w:tc>
        <w:tc>
          <w:tcPr>
            <w:tcW w:w="3300" w:type="dxa"/>
            <w:vAlign w:val="bottom"/>
          </w:tcPr>
          <w:p>
            <w:pPr>
              <w:ind w:left="1180"/>
              <w:spacing w:after="0"/>
              <w:rPr>
                <w:sz w:val="20"/>
                <w:szCs w:val="20"/>
                <w:color w:val="auto"/>
              </w:rPr>
            </w:pPr>
            <w:r>
              <w:rPr>
                <w:rFonts w:ascii="Arial" w:cs="Arial" w:eastAsia="Arial" w:hAnsi="Arial"/>
                <w:sz w:val="19"/>
                <w:szCs w:val="19"/>
                <w:color w:val="545454"/>
                <w:w w:val="99"/>
              </w:rPr>
              <w:t>–  50 – 100 kVA systems</w:t>
            </w:r>
          </w:p>
        </w:tc>
      </w:tr>
      <w:tr>
        <w:trPr>
          <w:trHeight w:val="297"/>
        </w:trPr>
        <w:tc>
          <w:tcPr>
            <w:tcW w:w="4280" w:type="dxa"/>
            <w:vAlign w:val="bottom"/>
          </w:tcPr>
          <w:p>
            <w:pPr>
              <w:ind w:left="200"/>
              <w:spacing w:after="0"/>
              <w:rPr>
                <w:sz w:val="20"/>
                <w:szCs w:val="20"/>
                <w:color w:val="auto"/>
              </w:rPr>
            </w:pPr>
            <w:r>
              <w:rPr>
                <w:rFonts w:ascii="Arial" w:cs="Arial" w:eastAsia="Arial" w:hAnsi="Arial"/>
                <w:sz w:val="19"/>
                <w:szCs w:val="19"/>
                <w:color w:val="545454"/>
              </w:rPr>
              <w:t>–  Multi MegaWatt Turnkey solutions</w:t>
            </w:r>
          </w:p>
        </w:tc>
        <w:tc>
          <w:tcPr>
            <w:tcW w:w="3300" w:type="dxa"/>
            <w:vAlign w:val="bottom"/>
          </w:tcPr>
          <w:p>
            <w:pPr>
              <w:ind w:left="960"/>
              <w:spacing w:after="0"/>
              <w:rPr>
                <w:sz w:val="20"/>
                <w:szCs w:val="20"/>
                <w:color w:val="auto"/>
              </w:rPr>
            </w:pPr>
            <w:r>
              <w:rPr>
                <w:rFonts w:ascii="Arial" w:cs="Arial" w:eastAsia="Arial" w:hAnsi="Arial"/>
                <w:sz w:val="22"/>
                <w:szCs w:val="22"/>
                <w:color w:val="545454"/>
              </w:rPr>
              <w:t>CoolAir DC</w:t>
            </w:r>
          </w:p>
        </w:tc>
      </w:tr>
      <w:tr>
        <w:trPr>
          <w:trHeight w:val="302"/>
        </w:trPr>
        <w:tc>
          <w:tcPr>
            <w:tcW w:w="4280" w:type="dxa"/>
            <w:vAlign w:val="bottom"/>
          </w:tcPr>
          <w:p>
            <w:pPr>
              <w:spacing w:after="0"/>
              <w:rPr>
                <w:sz w:val="20"/>
                <w:szCs w:val="20"/>
                <w:color w:val="auto"/>
              </w:rPr>
            </w:pPr>
            <w:r>
              <w:rPr>
                <w:rFonts w:ascii="Arial" w:cs="Arial" w:eastAsia="Arial" w:hAnsi="Arial"/>
                <w:sz w:val="22"/>
                <w:szCs w:val="22"/>
                <w:color w:val="545454"/>
              </w:rPr>
              <w:t>CleanSource DC</w:t>
            </w:r>
          </w:p>
        </w:tc>
        <w:tc>
          <w:tcPr>
            <w:tcW w:w="3300" w:type="dxa"/>
            <w:vAlign w:val="bottom"/>
          </w:tcPr>
          <w:p>
            <w:pPr>
              <w:ind w:left="1180"/>
              <w:spacing w:after="0"/>
              <w:rPr>
                <w:sz w:val="20"/>
                <w:szCs w:val="20"/>
                <w:color w:val="auto"/>
              </w:rPr>
            </w:pPr>
            <w:r>
              <w:rPr>
                <w:rFonts w:ascii="Arial" w:cs="Arial" w:eastAsia="Arial" w:hAnsi="Arial"/>
                <w:sz w:val="19"/>
                <w:szCs w:val="19"/>
                <w:color w:val="545454"/>
              </w:rPr>
              <w:t>–  85 kW system</w:t>
            </w:r>
          </w:p>
        </w:tc>
      </w:tr>
      <w:tr>
        <w:trPr>
          <w:trHeight w:val="258"/>
        </w:trPr>
        <w:tc>
          <w:tcPr>
            <w:tcW w:w="4280" w:type="dxa"/>
            <w:vAlign w:val="bottom"/>
          </w:tcPr>
          <w:p>
            <w:pPr>
              <w:ind w:left="200"/>
              <w:spacing w:after="0"/>
              <w:rPr>
                <w:sz w:val="20"/>
                <w:szCs w:val="20"/>
                <w:color w:val="auto"/>
              </w:rPr>
            </w:pPr>
            <w:r>
              <w:rPr>
                <w:rFonts w:ascii="Arial" w:cs="Arial" w:eastAsia="Arial" w:hAnsi="Arial"/>
                <w:sz w:val="19"/>
                <w:szCs w:val="19"/>
                <w:color w:val="545454"/>
              </w:rPr>
              <w:t>–  250-2,000 kW</w:t>
            </w:r>
          </w:p>
        </w:tc>
        <w:tc>
          <w:tcPr>
            <w:tcW w:w="33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349"/>
        </w:trPr>
        <w:tc>
          <w:tcPr>
            <w:tcW w:w="4100" w:type="dxa"/>
            <w:vAlign w:val="bottom"/>
          </w:tcPr>
          <w:p>
            <w:pPr>
              <w:ind w:left="420"/>
              <w:spacing w:after="0"/>
              <w:rPr>
                <w:sz w:val="20"/>
                <w:szCs w:val="20"/>
                <w:color w:val="auto"/>
              </w:rPr>
            </w:pPr>
            <w:r>
              <w:rPr>
                <w:rFonts w:ascii="Arial" w:cs="Arial" w:eastAsia="Arial" w:hAnsi="Arial"/>
                <w:sz w:val="25"/>
                <w:szCs w:val="25"/>
                <w:b w:val="1"/>
                <w:bCs w:val="1"/>
                <w:color w:val="FFFFFF"/>
              </w:rPr>
              <w:t>Ancillary Products</w:t>
            </w:r>
          </w:p>
        </w:tc>
        <w:tc>
          <w:tcPr>
            <w:tcW w:w="3100" w:type="dxa"/>
            <w:vAlign w:val="bottom"/>
          </w:tcPr>
          <w:p>
            <w:pPr>
              <w:ind w:left="1960"/>
              <w:spacing w:after="0"/>
              <w:rPr>
                <w:sz w:val="20"/>
                <w:szCs w:val="20"/>
                <w:color w:val="auto"/>
              </w:rPr>
            </w:pPr>
            <w:r>
              <w:rPr>
                <w:rFonts w:ascii="Arial" w:cs="Arial" w:eastAsia="Arial" w:hAnsi="Arial"/>
                <w:sz w:val="25"/>
                <w:szCs w:val="25"/>
                <w:b w:val="1"/>
                <w:bCs w:val="1"/>
                <w:color w:val="FFFFFF"/>
              </w:rPr>
              <w:t>Services</w:t>
            </w:r>
          </w:p>
        </w:tc>
        <w:tc>
          <w:tcPr>
            <w:tcW w:w="0" w:type="dxa"/>
            <w:vAlign w:val="bottom"/>
          </w:tcPr>
          <w:p>
            <w:pPr>
              <w:spacing w:after="0"/>
              <w:rPr>
                <w:sz w:val="1"/>
                <w:szCs w:val="1"/>
                <w:color w:val="auto"/>
              </w:rPr>
            </w:pPr>
          </w:p>
        </w:tc>
      </w:tr>
      <w:tr>
        <w:trPr>
          <w:trHeight w:val="331"/>
        </w:trPr>
        <w:tc>
          <w:tcPr>
            <w:tcW w:w="4100" w:type="dxa"/>
            <w:vAlign w:val="bottom"/>
          </w:tcPr>
          <w:p>
            <w:pPr>
              <w:spacing w:after="0"/>
              <w:rPr>
                <w:sz w:val="20"/>
                <w:szCs w:val="20"/>
                <w:color w:val="auto"/>
              </w:rPr>
            </w:pPr>
            <w:r>
              <w:rPr>
                <w:rFonts w:ascii="Arial" w:cs="Arial" w:eastAsia="Arial" w:hAnsi="Arial"/>
                <w:sz w:val="22"/>
                <w:szCs w:val="22"/>
                <w:color w:val="545454"/>
              </w:rPr>
              <w:t>Containerized Solutions</w:t>
            </w:r>
          </w:p>
        </w:tc>
        <w:tc>
          <w:tcPr>
            <w:tcW w:w="3100" w:type="dxa"/>
            <w:vAlign w:val="bottom"/>
          </w:tcPr>
          <w:p>
            <w:pPr>
              <w:ind w:left="1140"/>
              <w:spacing w:after="0"/>
              <w:rPr>
                <w:sz w:val="20"/>
                <w:szCs w:val="20"/>
                <w:color w:val="auto"/>
              </w:rPr>
            </w:pPr>
            <w:r>
              <w:rPr>
                <w:rFonts w:ascii="Arial" w:cs="Arial" w:eastAsia="Arial" w:hAnsi="Arial"/>
                <w:sz w:val="22"/>
                <w:szCs w:val="22"/>
                <w:color w:val="545454"/>
              </w:rPr>
              <w:t>Design Engineering</w:t>
            </w:r>
          </w:p>
        </w:tc>
        <w:tc>
          <w:tcPr>
            <w:tcW w:w="0" w:type="dxa"/>
            <w:vAlign w:val="bottom"/>
          </w:tcPr>
          <w:p>
            <w:pPr>
              <w:spacing w:after="0"/>
              <w:rPr>
                <w:sz w:val="1"/>
                <w:szCs w:val="1"/>
                <w:color w:val="auto"/>
              </w:rPr>
            </w:pPr>
          </w:p>
        </w:tc>
      </w:tr>
      <w:tr>
        <w:trPr>
          <w:trHeight w:val="294"/>
        </w:trPr>
        <w:tc>
          <w:tcPr>
            <w:tcW w:w="4100" w:type="dxa"/>
            <w:vAlign w:val="bottom"/>
          </w:tcPr>
          <w:p>
            <w:pPr>
              <w:spacing w:after="0" w:line="293" w:lineRule="exact"/>
              <w:rPr>
                <w:sz w:val="20"/>
                <w:szCs w:val="20"/>
                <w:color w:val="auto"/>
              </w:rPr>
            </w:pPr>
            <w:r>
              <w:rPr>
                <w:rFonts w:ascii="Arial" w:cs="Arial" w:eastAsia="Arial" w:hAnsi="Arial"/>
                <w:sz w:val="22"/>
                <w:szCs w:val="22"/>
                <w:color w:val="545454"/>
              </w:rPr>
              <w:t>GenSTART</w:t>
            </w:r>
            <w:r>
              <w:rPr>
                <w:rFonts w:ascii="Arial" w:cs="Arial" w:eastAsia="Arial" w:hAnsi="Arial"/>
                <w:sz w:val="28"/>
                <w:szCs w:val="28"/>
                <w:color w:val="545454"/>
                <w:vertAlign w:val="superscript"/>
              </w:rPr>
              <w:t>TM</w:t>
            </w:r>
          </w:p>
        </w:tc>
        <w:tc>
          <w:tcPr>
            <w:tcW w:w="3100" w:type="dxa"/>
            <w:vAlign w:val="bottom"/>
          </w:tcPr>
          <w:p>
            <w:pPr>
              <w:ind w:left="1140"/>
              <w:spacing w:after="0"/>
              <w:rPr>
                <w:sz w:val="20"/>
                <w:szCs w:val="20"/>
                <w:color w:val="auto"/>
              </w:rPr>
            </w:pPr>
            <w:r>
              <w:rPr>
                <w:rFonts w:ascii="Arial" w:cs="Arial" w:eastAsia="Arial" w:hAnsi="Arial"/>
                <w:sz w:val="22"/>
                <w:szCs w:val="22"/>
                <w:color w:val="545454"/>
              </w:rPr>
              <w:t>Assessment</w:t>
            </w:r>
          </w:p>
        </w:tc>
        <w:tc>
          <w:tcPr>
            <w:tcW w:w="0" w:type="dxa"/>
            <w:vAlign w:val="bottom"/>
          </w:tcPr>
          <w:p>
            <w:pPr>
              <w:spacing w:after="0"/>
              <w:rPr>
                <w:sz w:val="1"/>
                <w:szCs w:val="1"/>
                <w:color w:val="auto"/>
              </w:rPr>
            </w:pPr>
          </w:p>
        </w:tc>
      </w:tr>
      <w:tr>
        <w:trPr>
          <w:trHeight w:val="282"/>
        </w:trPr>
        <w:tc>
          <w:tcPr>
            <w:tcW w:w="4100" w:type="dxa"/>
            <w:vAlign w:val="bottom"/>
          </w:tcPr>
          <w:p>
            <w:pPr>
              <w:spacing w:after="0"/>
              <w:rPr>
                <w:sz w:val="20"/>
                <w:szCs w:val="20"/>
                <w:color w:val="auto"/>
              </w:rPr>
            </w:pPr>
            <w:r>
              <w:rPr>
                <w:rFonts w:ascii="Arial" w:cs="Arial" w:eastAsia="Arial" w:hAnsi="Arial"/>
                <w:sz w:val="22"/>
                <w:szCs w:val="22"/>
                <w:color w:val="545454"/>
              </w:rPr>
              <w:t>Monitoring &amp; Control Software</w:t>
            </w:r>
          </w:p>
        </w:tc>
        <w:tc>
          <w:tcPr>
            <w:tcW w:w="3100" w:type="dxa"/>
            <w:vAlign w:val="bottom"/>
          </w:tcPr>
          <w:p>
            <w:pPr>
              <w:ind w:left="1140"/>
              <w:spacing w:after="0"/>
              <w:rPr>
                <w:sz w:val="20"/>
                <w:szCs w:val="20"/>
                <w:color w:val="auto"/>
              </w:rPr>
            </w:pPr>
            <w:r>
              <w:rPr>
                <w:rFonts w:ascii="Arial" w:cs="Arial" w:eastAsia="Arial" w:hAnsi="Arial"/>
                <w:sz w:val="22"/>
                <w:szCs w:val="22"/>
                <w:color w:val="545454"/>
              </w:rPr>
              <w:t>Implementation</w:t>
            </w:r>
          </w:p>
        </w:tc>
        <w:tc>
          <w:tcPr>
            <w:tcW w:w="0" w:type="dxa"/>
            <w:vAlign w:val="bottom"/>
          </w:tcPr>
          <w:p>
            <w:pPr>
              <w:spacing w:after="0"/>
              <w:rPr>
                <w:sz w:val="1"/>
                <w:szCs w:val="1"/>
                <w:color w:val="auto"/>
              </w:rPr>
            </w:pPr>
          </w:p>
        </w:tc>
      </w:tr>
      <w:tr>
        <w:trPr>
          <w:trHeight w:val="240"/>
        </w:trPr>
        <w:tc>
          <w:tcPr>
            <w:tcW w:w="4100" w:type="dxa"/>
            <w:vAlign w:val="bottom"/>
          </w:tcPr>
          <w:p>
            <w:pPr>
              <w:spacing w:after="0" w:line="240" w:lineRule="exact"/>
              <w:rPr>
                <w:sz w:val="20"/>
                <w:szCs w:val="20"/>
                <w:color w:val="auto"/>
              </w:rPr>
            </w:pPr>
            <w:r>
              <w:rPr>
                <w:rFonts w:ascii="Arial" w:cs="Arial" w:eastAsia="Arial" w:hAnsi="Arial"/>
                <w:sz w:val="22"/>
                <w:szCs w:val="22"/>
                <w:color w:val="545454"/>
              </w:rPr>
              <w:t>Switchgear</w:t>
            </w:r>
          </w:p>
        </w:tc>
        <w:tc>
          <w:tcPr>
            <w:tcW w:w="3100" w:type="dxa"/>
            <w:vAlign w:val="bottom"/>
            <w:vMerge w:val="restart"/>
          </w:tcPr>
          <w:p>
            <w:pPr>
              <w:ind w:left="1140"/>
              <w:spacing w:after="0"/>
              <w:rPr>
                <w:sz w:val="20"/>
                <w:szCs w:val="20"/>
                <w:color w:val="auto"/>
              </w:rPr>
            </w:pPr>
            <w:r>
              <w:rPr>
                <w:rFonts w:ascii="Arial" w:cs="Arial" w:eastAsia="Arial" w:hAnsi="Arial"/>
                <w:sz w:val="22"/>
                <w:szCs w:val="22"/>
                <w:color w:val="545454"/>
              </w:rPr>
              <w:t>Lifecycle &amp; Support</w:t>
            </w:r>
          </w:p>
        </w:tc>
        <w:tc>
          <w:tcPr>
            <w:tcW w:w="0" w:type="dxa"/>
            <w:vAlign w:val="bottom"/>
          </w:tcPr>
          <w:p>
            <w:pPr>
              <w:spacing w:after="0"/>
              <w:rPr>
                <w:sz w:val="1"/>
                <w:szCs w:val="1"/>
                <w:color w:val="auto"/>
              </w:rPr>
            </w:pPr>
          </w:p>
        </w:tc>
      </w:tr>
      <w:tr>
        <w:trPr>
          <w:trHeight w:val="106"/>
        </w:trPr>
        <w:tc>
          <w:tcPr>
            <w:tcW w:w="4100" w:type="dxa"/>
            <w:vAlign w:val="bottom"/>
            <w:vMerge w:val="restart"/>
          </w:tcPr>
          <w:p>
            <w:pPr>
              <w:spacing w:after="0"/>
              <w:rPr>
                <w:sz w:val="20"/>
                <w:szCs w:val="20"/>
                <w:color w:val="auto"/>
              </w:rPr>
            </w:pPr>
            <w:r>
              <w:rPr>
                <w:rFonts w:ascii="Arial" w:cs="Arial" w:eastAsia="Arial" w:hAnsi="Arial"/>
                <w:sz w:val="22"/>
                <w:szCs w:val="22"/>
                <w:color w:val="545454"/>
              </w:rPr>
              <w:t>Generators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100" w:type="dxa"/>
            <w:vAlign w:val="bottom"/>
            <w:vMerge w:val="restart"/>
          </w:tcPr>
          <w:p>
            <w:pPr>
              <w:ind w:left="1140"/>
              <w:spacing w:after="0"/>
              <w:rPr>
                <w:sz w:val="20"/>
                <w:szCs w:val="20"/>
                <w:color w:val="auto"/>
              </w:rPr>
            </w:pPr>
            <w:r>
              <w:rPr>
                <w:rFonts w:ascii="Arial" w:cs="Arial" w:eastAsia="Arial" w:hAnsi="Arial"/>
                <w:sz w:val="22"/>
                <w:szCs w:val="22"/>
                <w:color w:val="545454"/>
              </w:rPr>
              <w:t>24 x 7 x 365 Care</w:t>
            </w:r>
          </w:p>
        </w:tc>
        <w:tc>
          <w:tcPr>
            <w:tcW w:w="0" w:type="dxa"/>
            <w:vAlign w:val="bottom"/>
          </w:tcPr>
          <w:p>
            <w:pPr>
              <w:spacing w:after="0"/>
              <w:rPr>
                <w:sz w:val="1"/>
                <w:szCs w:val="1"/>
                <w:color w:val="auto"/>
              </w:rPr>
            </w:pPr>
          </w:p>
        </w:tc>
      </w:tr>
      <w:tr>
        <w:trPr>
          <w:trHeight w:val="106"/>
        </w:trPr>
        <w:tc>
          <w:tcPr>
            <w:tcW w:w="410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E71B21"/>
        </w:rPr>
        <w:t>7</w:t>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39"/>
          </w:cols>
          <w:pgMar w:left="420" w:top="687" w:right="1440" w:bottom="1440" w:gutter="0" w:footer="0" w:header="0"/>
        </w:sectPr>
      </w:pPr>
    </w:p>
    <w:bookmarkStart w:id="90" w:name="page91"/>
    <w:bookmarkEnd w:id="90"/>
    <w:p>
      <w:pPr>
        <w:ind w:left="420"/>
        <w:spacing w:after="0"/>
        <w:rPr>
          <w:sz w:val="20"/>
          <w:szCs w:val="20"/>
          <w:color w:val="auto"/>
        </w:rPr>
      </w:pPr>
      <w:r>
        <w:rPr>
          <w:rFonts w:ascii="Arial" w:cs="Arial" w:eastAsia="Arial" w:hAnsi="Arial"/>
          <w:sz w:val="37"/>
          <w:szCs w:val="37"/>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Containerized Turnkey Power System</w:t>
      </w:r>
    </w:p>
    <w:p>
      <w:pPr>
        <w:sectPr>
          <w:pgSz w:w="11900" w:h="16838" w:orient="portrait"/>
          <w:cols w:equalWidth="0" w:num="1">
            <w:col w:w="10520"/>
          </w:cols>
          <w:pgMar w:left="420" w:top="687" w:right="9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28"/>
          <w:szCs w:val="28"/>
          <w:i w:val="1"/>
          <w:iCs w:val="1"/>
          <w:color w:val="CC0000"/>
        </w:rPr>
        <w:t>What is containerization?</w:t>
      </w:r>
    </w:p>
    <w:p>
      <w:pPr>
        <w:spacing w:after="0" w:line="200" w:lineRule="exact"/>
        <w:rPr>
          <w:sz w:val="20"/>
          <w:szCs w:val="20"/>
          <w:color w:val="auto"/>
        </w:rPr>
      </w:pPr>
    </w:p>
    <w:p>
      <w:pPr>
        <w:spacing w:after="0" w:line="307" w:lineRule="exact"/>
        <w:rPr>
          <w:sz w:val="20"/>
          <w:szCs w:val="20"/>
          <w:color w:val="auto"/>
        </w:rPr>
      </w:pPr>
    </w:p>
    <w:p>
      <w:pPr>
        <w:ind w:left="640" w:right="760" w:hanging="415"/>
        <w:spacing w:after="0" w:line="319" w:lineRule="auto"/>
        <w:tabs>
          <w:tab w:leader="none" w:pos="640" w:val="left"/>
        </w:tabs>
        <w:numPr>
          <w:ilvl w:val="0"/>
          <w:numId w:val="63"/>
        </w:numPr>
        <w:rPr>
          <w:rFonts w:ascii="Arial" w:cs="Arial" w:eastAsia="Arial" w:hAnsi="Arial"/>
          <w:sz w:val="24"/>
          <w:szCs w:val="24"/>
          <w:color w:val="C3092C"/>
        </w:rPr>
      </w:pPr>
      <w:r>
        <w:rPr>
          <w:rFonts w:ascii="Arial" w:cs="Arial" w:eastAsia="Arial" w:hAnsi="Arial"/>
          <w:sz w:val="24"/>
          <w:szCs w:val="24"/>
          <w:b w:val="1"/>
          <w:bCs w:val="1"/>
          <w:color w:val="5F5F5F"/>
        </w:rPr>
        <w:t>A modular, mission critical Data Center power plant</w:t>
      </w:r>
    </w:p>
    <w:p>
      <w:pPr>
        <w:spacing w:after="0" w:line="346" w:lineRule="exact"/>
        <w:rPr>
          <w:rFonts w:ascii="Arial" w:cs="Arial" w:eastAsia="Arial" w:hAnsi="Arial"/>
          <w:sz w:val="24"/>
          <w:szCs w:val="24"/>
          <w:color w:val="C3092C"/>
        </w:rPr>
      </w:pPr>
    </w:p>
    <w:p>
      <w:pPr>
        <w:ind w:left="640" w:right="620" w:hanging="415"/>
        <w:spacing w:after="0" w:line="268" w:lineRule="auto"/>
        <w:tabs>
          <w:tab w:leader="none" w:pos="640" w:val="left"/>
        </w:tabs>
        <w:numPr>
          <w:ilvl w:val="0"/>
          <w:numId w:val="63"/>
        </w:numPr>
        <w:rPr>
          <w:rFonts w:ascii="Arial" w:cs="Arial" w:eastAsia="Arial" w:hAnsi="Arial"/>
          <w:sz w:val="25"/>
          <w:szCs w:val="25"/>
          <w:color w:val="C3092C"/>
        </w:rPr>
      </w:pPr>
      <w:r>
        <w:rPr>
          <w:rFonts w:ascii="Arial" w:cs="Arial" w:eastAsia="Arial" w:hAnsi="Arial"/>
          <w:sz w:val="25"/>
          <w:szCs w:val="25"/>
          <w:b w:val="1"/>
          <w:bCs w:val="1"/>
          <w:color w:val="5F5F5F"/>
        </w:rPr>
        <w:t>Standard dimension 20’, 30’ or 40’ container that can be custom modified by application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2780" w:type="dxa"/>
            <w:vAlign w:val="bottom"/>
          </w:tcPr>
          <w:p>
            <w:pPr>
              <w:ind w:left="620"/>
              <w:spacing w:after="0"/>
              <w:rPr>
                <w:sz w:val="20"/>
                <w:szCs w:val="20"/>
                <w:color w:val="auto"/>
              </w:rPr>
            </w:pPr>
            <w:r>
              <w:rPr>
                <w:rFonts w:ascii="Arial" w:cs="Arial" w:eastAsia="Arial" w:hAnsi="Arial"/>
                <w:sz w:val="19"/>
                <w:szCs w:val="19"/>
                <w:b w:val="1"/>
                <w:bCs w:val="1"/>
                <w:color w:val="CC0000"/>
              </w:rPr>
              <w:t>Generator</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5"/>
        </w:trPr>
        <w:tc>
          <w:tcPr>
            <w:tcW w:w="2780" w:type="dxa"/>
            <w:vAlign w:val="bottom"/>
          </w:tcPr>
          <w:p>
            <w:pPr>
              <w:spacing w:after="0"/>
              <w:rPr>
                <w:sz w:val="20"/>
                <w:szCs w:val="20"/>
                <w:color w:val="auto"/>
              </w:rPr>
            </w:pPr>
            <w:r>
              <w:rPr>
                <w:rFonts w:ascii="Arial" w:cs="Arial" w:eastAsia="Arial" w:hAnsi="Arial"/>
                <w:sz w:val="19"/>
                <w:szCs w:val="19"/>
                <w:b w:val="1"/>
                <w:bCs w:val="1"/>
                <w:color w:val="CC0000"/>
              </w:rPr>
              <w:t>GenSTART</w:t>
            </w:r>
          </w:p>
        </w:tc>
        <w:tc>
          <w:tcPr>
            <w:tcW w:w="2480" w:type="dxa"/>
            <w:vAlign w:val="bottom"/>
            <w:vMerge w:val="restart"/>
          </w:tcPr>
          <w:p>
            <w:pPr>
              <w:ind w:left="1260"/>
              <w:spacing w:after="0"/>
              <w:rPr>
                <w:sz w:val="20"/>
                <w:szCs w:val="20"/>
                <w:color w:val="auto"/>
              </w:rPr>
            </w:pPr>
            <w:r>
              <w:rPr>
                <w:rFonts w:ascii="Arial" w:cs="Arial" w:eastAsia="Arial" w:hAnsi="Arial"/>
                <w:sz w:val="19"/>
                <w:szCs w:val="19"/>
                <w:b w:val="1"/>
                <w:bCs w:val="1"/>
                <w:color w:val="CC0000"/>
                <w:w w:val="96"/>
              </w:rPr>
              <w:t>UPS Cabinets</w:t>
            </w: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86" w:lineRule="exact"/>
        <w:rPr>
          <w:sz w:val="20"/>
          <w:szCs w:val="20"/>
          <w:color w:val="auto"/>
        </w:rPr>
      </w:pPr>
    </w:p>
    <w:p>
      <w:pPr>
        <w:sectPr>
          <w:pgSz w:w="11900" w:h="16838" w:orient="portrait"/>
          <w:cols w:equalWidth="0" w:num="2">
            <w:col w:w="4540" w:space="720"/>
            <w:col w:w="5260"/>
          </w:cols>
          <w:pgMar w:left="420" w:top="687" w:right="959" w:bottom="1440" w:gutter="0" w:footer="0" w:header="0"/>
          <w:type w:val="continuous"/>
        </w:sectPr>
      </w:pPr>
    </w:p>
    <w:p>
      <w:pPr>
        <w:spacing w:after="0" w:line="207" w:lineRule="exact"/>
        <w:rPr>
          <w:sz w:val="20"/>
          <w:szCs w:val="20"/>
          <w:color w:val="auto"/>
        </w:rPr>
      </w:pPr>
    </w:p>
    <w:p>
      <w:pPr>
        <w:ind w:left="640" w:right="80" w:hanging="415"/>
        <w:spacing w:after="0" w:line="276" w:lineRule="auto"/>
        <w:tabs>
          <w:tab w:leader="none" w:pos="640" w:val="left"/>
        </w:tabs>
        <w:numPr>
          <w:ilvl w:val="0"/>
          <w:numId w:val="64"/>
        </w:numPr>
        <w:rPr>
          <w:rFonts w:ascii="Arial" w:cs="Arial" w:eastAsia="Arial" w:hAnsi="Arial"/>
          <w:sz w:val="24"/>
          <w:szCs w:val="24"/>
          <w:color w:val="C3092C"/>
        </w:rPr>
      </w:pPr>
      <w:r>
        <w:rPr>
          <w:rFonts w:ascii="Arial" w:cs="Arial" w:eastAsia="Arial" w:hAnsi="Arial"/>
          <w:sz w:val="24"/>
          <w:szCs w:val="24"/>
          <w:b w:val="1"/>
          <w:bCs w:val="1"/>
          <w:color w:val="5F5F5F"/>
        </w:rPr>
        <w:t>A purpose made facility-based enclosure to acoustically isolate, thermally protect, weatherproof and/or fireproof power plants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right"/>
        <w:ind w:right="920"/>
        <w:spacing w:after="0"/>
        <w:rPr>
          <w:sz w:val="20"/>
          <w:szCs w:val="20"/>
          <w:color w:val="auto"/>
        </w:rPr>
      </w:pPr>
      <w:r>
        <w:rPr>
          <w:rFonts w:ascii="Arial" w:cs="Arial" w:eastAsia="Arial" w:hAnsi="Arial"/>
          <w:sz w:val="19"/>
          <w:szCs w:val="19"/>
          <w:b w:val="1"/>
          <w:bCs w:val="1"/>
          <w:color w:val="CC0000"/>
        </w:rPr>
        <w:t>Switchgear</w: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CC0000"/>
        </w:rPr>
        <w:t>Fuel Tank</w:t>
      </w:r>
    </w:p>
    <w:p>
      <w:pPr>
        <w:spacing w:after="0" w:line="861" w:lineRule="exact"/>
        <w:rPr>
          <w:sz w:val="20"/>
          <w:szCs w:val="20"/>
          <w:color w:val="auto"/>
        </w:rPr>
      </w:pPr>
    </w:p>
    <w:p>
      <w:pPr>
        <w:sectPr>
          <w:pgSz w:w="11900" w:h="16838" w:orient="portrait"/>
          <w:cols w:equalWidth="0" w:num="2">
            <w:col w:w="4220" w:space="720"/>
            <w:col w:w="5580"/>
          </w:cols>
          <w:pgMar w:left="420" w:top="687"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E71B21"/>
        </w:rPr>
        <w:t>8</w:t>
      </w:r>
    </w:p>
    <w:p>
      <w:pPr>
        <w:spacing w:after="0" w:line="51"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808080"/>
        </w:rPr>
        <w:t>Copyright © 2007 Active Power, Inc</w:t>
      </w:r>
    </w:p>
    <w:p>
      <w:pPr>
        <w:sectPr>
          <w:pgSz w:w="11900" w:h="16838" w:orient="portrait"/>
          <w:cols w:equalWidth="0" w:num="1">
            <w:col w:w="10520"/>
          </w:cols>
          <w:pgMar w:left="420" w:top="687" w:right="959" w:bottom="1440" w:gutter="0" w:footer="0" w:header="0"/>
          <w:type w:val="continuous"/>
        </w:sectPr>
      </w:pPr>
    </w:p>
    <w:bookmarkStart w:id="91" w:name="page92"/>
    <w:bookmarkEnd w:id="91"/>
    <w:p>
      <w:pPr>
        <w:ind w:left="4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What is Our Value Proposition?</w:t>
      </w: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28"/>
          <w:szCs w:val="28"/>
          <w:i w:val="1"/>
          <w:iCs w:val="1"/>
          <w:color w:val="CC0000"/>
        </w:rPr>
        <w:t>Our Solutions Are:</w:t>
      </w:r>
    </w:p>
    <w:p>
      <w:pPr>
        <w:spacing w:after="0" w:line="200" w:lineRule="exact"/>
        <w:rPr>
          <w:sz w:val="20"/>
          <w:szCs w:val="20"/>
          <w:color w:val="auto"/>
        </w:rPr>
      </w:pPr>
    </w:p>
    <w:p>
      <w:pPr>
        <w:spacing w:after="0" w:line="280" w:lineRule="exact"/>
        <w:rPr>
          <w:sz w:val="20"/>
          <w:szCs w:val="20"/>
          <w:color w:val="auto"/>
        </w:rPr>
      </w:pPr>
    </w:p>
    <w:p>
      <w:pPr>
        <w:ind w:left="640" w:hanging="415"/>
        <w:spacing w:after="0"/>
        <w:tabs>
          <w:tab w:leader="none" w:pos="640" w:val="left"/>
        </w:tabs>
        <w:numPr>
          <w:ilvl w:val="0"/>
          <w:numId w:val="65"/>
        </w:numPr>
        <w:rPr>
          <w:rFonts w:ascii="Arial" w:cs="Arial" w:eastAsia="Arial" w:hAnsi="Arial"/>
          <w:sz w:val="28"/>
          <w:szCs w:val="28"/>
          <w:color w:val="C3092C"/>
        </w:rPr>
      </w:pPr>
      <w:r>
        <w:rPr>
          <w:rFonts w:ascii="Arial" w:cs="Arial" w:eastAsia="Arial" w:hAnsi="Arial"/>
          <w:sz w:val="28"/>
          <w:szCs w:val="28"/>
          <w:b w:val="1"/>
          <w:bCs w:val="1"/>
          <w:color w:val="545454"/>
        </w:rPr>
        <w:t>Intelligently EFFICIENT</w:t>
      </w:r>
    </w:p>
    <w:p>
      <w:pPr>
        <w:spacing w:after="0" w:line="106" w:lineRule="exact"/>
        <w:rPr>
          <w:sz w:val="20"/>
          <w:szCs w:val="20"/>
          <w:color w:val="auto"/>
        </w:rPr>
      </w:pPr>
    </w:p>
    <w:p>
      <w:pPr>
        <w:ind w:left="1140" w:right="2679"/>
        <w:spacing w:after="0" w:line="269" w:lineRule="auto"/>
        <w:rPr>
          <w:sz w:val="20"/>
          <w:szCs w:val="20"/>
          <w:color w:val="auto"/>
        </w:rPr>
      </w:pPr>
      <w:r>
        <w:rPr>
          <w:rFonts w:ascii="Arial" w:cs="Arial" w:eastAsia="Arial" w:hAnsi="Arial"/>
          <w:sz w:val="25"/>
          <w:szCs w:val="25"/>
          <w:color w:val="545454"/>
        </w:rPr>
        <w:t>Precision engineered to be up to 98% efficient, delivering real bottom line impact by reducing power consumption costs</w:t>
      </w:r>
    </w:p>
    <w:p>
      <w:pPr>
        <w:spacing w:after="0" w:line="332" w:lineRule="exact"/>
        <w:rPr>
          <w:sz w:val="20"/>
          <w:szCs w:val="20"/>
          <w:color w:val="auto"/>
        </w:rPr>
      </w:pPr>
    </w:p>
    <w:p>
      <w:pPr>
        <w:ind w:left="640" w:hanging="415"/>
        <w:spacing w:after="0"/>
        <w:tabs>
          <w:tab w:leader="none" w:pos="640" w:val="left"/>
        </w:tabs>
        <w:numPr>
          <w:ilvl w:val="0"/>
          <w:numId w:val="66"/>
        </w:numPr>
        <w:rPr>
          <w:rFonts w:ascii="Arial" w:cs="Arial" w:eastAsia="Arial" w:hAnsi="Arial"/>
          <w:sz w:val="28"/>
          <w:szCs w:val="28"/>
          <w:color w:val="C3092C"/>
        </w:rPr>
      </w:pPr>
      <w:r>
        <w:rPr>
          <w:rFonts w:ascii="Arial" w:cs="Arial" w:eastAsia="Arial" w:hAnsi="Arial"/>
          <w:sz w:val="28"/>
          <w:szCs w:val="28"/>
          <w:b w:val="1"/>
          <w:bCs w:val="1"/>
          <w:color w:val="545454"/>
        </w:rPr>
        <w:t>Inherently RELIABLE</w:t>
      </w:r>
    </w:p>
    <w:p>
      <w:pPr>
        <w:spacing w:after="0" w:line="106" w:lineRule="exact"/>
        <w:rPr>
          <w:sz w:val="20"/>
          <w:szCs w:val="20"/>
          <w:color w:val="auto"/>
        </w:rPr>
      </w:pPr>
    </w:p>
    <w:p>
      <w:pPr>
        <w:ind w:left="1140" w:right="3279"/>
        <w:spacing w:after="0" w:line="274" w:lineRule="auto"/>
        <w:rPr>
          <w:sz w:val="20"/>
          <w:szCs w:val="20"/>
          <w:color w:val="auto"/>
        </w:rPr>
      </w:pPr>
      <w:r>
        <w:rPr>
          <w:rFonts w:ascii="Arial" w:cs="Arial" w:eastAsia="Arial" w:hAnsi="Arial"/>
          <w:sz w:val="25"/>
          <w:szCs w:val="25"/>
          <w:color w:val="545454"/>
        </w:rPr>
        <w:t>Uniquely designed to deliver predictable, consistent backup power with more than 35 million hours of customer runtime on six continents</w:t>
      </w:r>
    </w:p>
    <w:p>
      <w:pPr>
        <w:spacing w:after="0" w:line="326" w:lineRule="exact"/>
        <w:rPr>
          <w:sz w:val="20"/>
          <w:szCs w:val="20"/>
          <w:color w:val="auto"/>
        </w:rPr>
      </w:pPr>
    </w:p>
    <w:p>
      <w:pPr>
        <w:ind w:left="640" w:hanging="415"/>
        <w:spacing w:after="0"/>
        <w:tabs>
          <w:tab w:leader="none" w:pos="640" w:val="left"/>
        </w:tabs>
        <w:numPr>
          <w:ilvl w:val="0"/>
          <w:numId w:val="67"/>
        </w:numPr>
        <w:rPr>
          <w:rFonts w:ascii="Arial" w:cs="Arial" w:eastAsia="Arial" w:hAnsi="Arial"/>
          <w:sz w:val="28"/>
          <w:szCs w:val="28"/>
          <w:color w:val="C3092C"/>
        </w:rPr>
      </w:pPr>
      <w:r>
        <w:rPr>
          <w:rFonts w:ascii="Arial" w:cs="Arial" w:eastAsia="Arial" w:hAnsi="Arial"/>
          <w:sz w:val="28"/>
          <w:szCs w:val="28"/>
          <w:b w:val="1"/>
          <w:bCs w:val="1"/>
          <w:color w:val="545454"/>
        </w:rPr>
        <w:t>Economically GREEN</w:t>
      </w:r>
    </w:p>
    <w:p>
      <w:pPr>
        <w:spacing w:after="0" w:line="106" w:lineRule="exact"/>
        <w:rPr>
          <w:sz w:val="20"/>
          <w:szCs w:val="20"/>
          <w:color w:val="auto"/>
        </w:rPr>
      </w:pPr>
    </w:p>
    <w:p>
      <w:pPr>
        <w:ind w:left="1140" w:right="3679"/>
        <w:spacing w:after="0" w:line="315" w:lineRule="auto"/>
        <w:rPr>
          <w:sz w:val="20"/>
          <w:szCs w:val="20"/>
          <w:color w:val="auto"/>
        </w:rPr>
      </w:pPr>
      <w:r>
        <w:rPr>
          <w:rFonts w:ascii="Arial" w:cs="Arial" w:eastAsia="Arial" w:hAnsi="Arial"/>
          <w:sz w:val="24"/>
          <w:szCs w:val="24"/>
          <w:color w:val="545454"/>
        </w:rPr>
        <w:t>Environmentally-friendly solution (reduced CO2 emissions) delivered at an economic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E71B21"/>
        </w:rPr>
        <w:t>9</w:t>
      </w:r>
    </w:p>
    <w:p>
      <w:pPr>
        <w:spacing w:after="0" w:line="51" w:lineRule="exact"/>
        <w:rPr>
          <w:sz w:val="20"/>
          <w:szCs w:val="20"/>
          <w:color w:val="auto"/>
        </w:rPr>
      </w:pPr>
    </w:p>
    <w:p>
      <w:pPr>
        <w:ind w:left="438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39"/>
          </w:cols>
          <w:pgMar w:left="420" w:top="687" w:right="1440" w:bottom="1440" w:gutter="0" w:footer="0" w:header="0"/>
        </w:sectPr>
      </w:pPr>
    </w:p>
    <w:bookmarkStart w:id="92" w:name="page93"/>
    <w:bookmarkEnd w:id="92"/>
    <w:p>
      <w:pPr>
        <w:ind w:left="500"/>
        <w:spacing w:after="0"/>
        <w:rPr>
          <w:sz w:val="20"/>
          <w:szCs w:val="20"/>
          <w:color w:val="auto"/>
        </w:rPr>
      </w:pPr>
      <w:r>
        <w:rPr>
          <w:rFonts w:ascii="Arial" w:cs="Arial" w:eastAsia="Arial" w:hAnsi="Arial"/>
          <w:sz w:val="37"/>
          <w:szCs w:val="37"/>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Who Needs Clean, Reliable, Green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E71B21"/>
        </w:rPr>
        <w:t>10</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93" w:name="page94"/>
    <w:bookmarkEnd w:id="93"/>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Power Reliability</w:t>
      </w:r>
    </w:p>
    <w:p>
      <w:pPr>
        <w:spacing w:after="0" w:line="200" w:lineRule="exact"/>
        <w:rPr>
          <w:sz w:val="20"/>
          <w:szCs w:val="20"/>
          <w:color w:val="auto"/>
        </w:rPr>
      </w:pPr>
    </w:p>
    <w:p>
      <w:pPr>
        <w:spacing w:after="0" w:line="250" w:lineRule="exact"/>
        <w:rPr>
          <w:sz w:val="20"/>
          <w:szCs w:val="20"/>
          <w:color w:val="auto"/>
        </w:rPr>
      </w:pPr>
    </w:p>
    <w:p>
      <w:pPr>
        <w:ind w:left="740" w:right="4119" w:hanging="431"/>
        <w:spacing w:after="0" w:line="275" w:lineRule="auto"/>
        <w:tabs>
          <w:tab w:leader="none" w:pos="740" w:val="left"/>
        </w:tabs>
        <w:numPr>
          <w:ilvl w:val="0"/>
          <w:numId w:val="68"/>
        </w:numPr>
        <w:rPr>
          <w:rFonts w:ascii="Arial" w:cs="Arial" w:eastAsia="Arial" w:hAnsi="Arial"/>
          <w:sz w:val="25"/>
          <w:szCs w:val="25"/>
          <w:color w:val="C3092C"/>
        </w:rPr>
      </w:pPr>
      <w:r>
        <w:rPr>
          <w:rFonts w:ascii="Arial" w:cs="Arial" w:eastAsia="Arial" w:hAnsi="Arial"/>
          <w:sz w:val="25"/>
          <w:szCs w:val="25"/>
          <w:b w:val="1"/>
          <w:bCs w:val="1"/>
          <w:color w:val="545454"/>
        </w:rPr>
        <w:t>Significant blackouts have demonstrated the importance of secure power supply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545454"/>
        </w:rPr>
        <w:t>2007</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22"/>
          <w:szCs w:val="22"/>
          <w:color w:val="545454"/>
        </w:rPr>
        <w:t>–  June 27: 136,000 people … New York City</w:t>
      </w:r>
    </w:p>
    <w:p>
      <w:pPr>
        <w:spacing w:after="0" w:line="134" w:lineRule="exact"/>
        <w:rPr>
          <w:sz w:val="20"/>
          <w:szCs w:val="20"/>
          <w:color w:val="auto"/>
        </w:rPr>
      </w:pPr>
    </w:p>
    <w:p>
      <w:pPr>
        <w:ind w:left="1440"/>
        <w:spacing w:after="0"/>
        <w:rPr>
          <w:sz w:val="20"/>
          <w:szCs w:val="20"/>
          <w:color w:val="auto"/>
        </w:rPr>
      </w:pPr>
      <w:r>
        <w:rPr>
          <w:rFonts w:ascii="Arial" w:cs="Arial" w:eastAsia="Arial" w:hAnsi="Arial"/>
          <w:sz w:val="22"/>
          <w:szCs w:val="22"/>
          <w:color w:val="545454"/>
        </w:rPr>
        <w:t>–  April 26: national blackout in Colombia</w:t>
      </w:r>
    </w:p>
    <w:p>
      <w:pPr>
        <w:spacing w:after="0" w:line="146" w:lineRule="exact"/>
        <w:rPr>
          <w:sz w:val="20"/>
          <w:szCs w:val="20"/>
          <w:color w:val="auto"/>
        </w:rPr>
      </w:pPr>
    </w:p>
    <w:p>
      <w:pPr>
        <w:ind w:left="1440"/>
        <w:spacing w:after="0"/>
        <w:rPr>
          <w:sz w:val="20"/>
          <w:szCs w:val="20"/>
          <w:color w:val="auto"/>
        </w:rPr>
      </w:pPr>
      <w:r>
        <w:rPr>
          <w:rFonts w:ascii="Arial" w:cs="Arial" w:eastAsia="Arial" w:hAnsi="Arial"/>
          <w:sz w:val="22"/>
          <w:szCs w:val="22"/>
          <w:color w:val="545454"/>
        </w:rPr>
        <w:t>–  January 16: 200,000 people in Australia</w:t>
      </w:r>
    </w:p>
    <w:p>
      <w:pPr>
        <w:spacing w:after="0" w:line="134" w:lineRule="exact"/>
        <w:rPr>
          <w:sz w:val="20"/>
          <w:szCs w:val="20"/>
          <w:color w:val="auto"/>
        </w:rPr>
      </w:pPr>
    </w:p>
    <w:p>
      <w:pPr>
        <w:ind w:left="1720" w:right="4359" w:hanging="282"/>
        <w:spacing w:after="0" w:line="322" w:lineRule="auto"/>
        <w:rPr>
          <w:sz w:val="20"/>
          <w:szCs w:val="20"/>
          <w:color w:val="auto"/>
        </w:rPr>
      </w:pPr>
      <w:r>
        <w:rPr>
          <w:rFonts w:ascii="Arial" w:cs="Arial" w:eastAsia="Arial" w:hAnsi="Arial"/>
          <w:sz w:val="22"/>
          <w:szCs w:val="22"/>
          <w:color w:val="545454"/>
        </w:rPr>
        <w:t>– January 12 - January 26: ~1 million customers from US to Canada due to ice</w:t>
      </w:r>
    </w:p>
    <w:p>
      <w:pPr>
        <w:ind w:left="1220"/>
        <w:spacing w:after="0"/>
        <w:rPr>
          <w:sz w:val="20"/>
          <w:szCs w:val="20"/>
          <w:color w:val="auto"/>
        </w:rPr>
      </w:pPr>
      <w:r>
        <w:rPr>
          <w:rFonts w:ascii="Arial" w:cs="Arial" w:eastAsia="Arial" w:hAnsi="Arial"/>
          <w:sz w:val="22"/>
          <w:szCs w:val="22"/>
          <w:b w:val="1"/>
          <w:bCs w:val="1"/>
          <w:color w:val="545454"/>
        </w:rPr>
        <w:t>Other recent blackouts</w:t>
      </w:r>
    </w:p>
    <w:p>
      <w:pPr>
        <w:spacing w:after="0" w:line="137" w:lineRule="exact"/>
        <w:rPr>
          <w:sz w:val="20"/>
          <w:szCs w:val="20"/>
          <w:color w:val="auto"/>
        </w:rPr>
      </w:pPr>
    </w:p>
    <w:p>
      <w:pPr>
        <w:ind w:left="1720" w:right="4459" w:hanging="282"/>
        <w:spacing w:after="0" w:line="323" w:lineRule="auto"/>
        <w:rPr>
          <w:sz w:val="20"/>
          <w:szCs w:val="20"/>
          <w:color w:val="auto"/>
        </w:rPr>
      </w:pPr>
      <w:r>
        <w:rPr>
          <w:rFonts w:ascii="Arial" w:cs="Arial" w:eastAsia="Arial" w:hAnsi="Arial"/>
          <w:sz w:val="22"/>
          <w:szCs w:val="22"/>
          <w:color w:val="545454"/>
        </w:rPr>
        <w:t>– November 2006: 5 million customers in Europe</w:t>
      </w:r>
    </w:p>
    <w:p>
      <w:pPr>
        <w:ind w:left="1720" w:right="5099" w:hanging="282"/>
        <w:spacing w:after="0" w:line="325" w:lineRule="auto"/>
        <w:rPr>
          <w:sz w:val="20"/>
          <w:szCs w:val="20"/>
          <w:color w:val="auto"/>
        </w:rPr>
      </w:pPr>
      <w:r>
        <w:rPr>
          <w:rFonts w:ascii="Arial" w:cs="Arial" w:eastAsia="Arial" w:hAnsi="Arial"/>
          <w:sz w:val="22"/>
          <w:szCs w:val="22"/>
          <w:color w:val="545454"/>
        </w:rPr>
        <w:t>– July 2006: 365,000 customers in Philadelphia</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22"/>
          <w:szCs w:val="22"/>
          <w:color w:val="545454"/>
        </w:rPr>
        <w:t>–  September 2003: 57 million people in Italy</w:t>
      </w:r>
    </w:p>
    <w:p>
      <w:pPr>
        <w:spacing w:after="0" w:line="134" w:lineRule="exact"/>
        <w:rPr>
          <w:sz w:val="20"/>
          <w:szCs w:val="20"/>
          <w:color w:val="auto"/>
        </w:rPr>
      </w:pPr>
    </w:p>
    <w:p>
      <w:pPr>
        <w:ind w:left="1720" w:right="4759" w:hanging="282"/>
        <w:spacing w:after="0" w:line="323" w:lineRule="auto"/>
        <w:rPr>
          <w:sz w:val="20"/>
          <w:szCs w:val="20"/>
          <w:color w:val="auto"/>
        </w:rPr>
      </w:pPr>
      <w:r>
        <w:rPr>
          <w:rFonts w:ascii="Arial" w:cs="Arial" w:eastAsia="Arial" w:hAnsi="Arial"/>
          <w:sz w:val="22"/>
          <w:szCs w:val="22"/>
          <w:color w:val="545454"/>
        </w:rPr>
        <w:t>– September 2003: 4 million people in Copenhagen</w:t>
      </w:r>
    </w:p>
    <w:p>
      <w:pPr>
        <w:ind w:left="1720" w:right="4019" w:hanging="282"/>
        <w:spacing w:after="0" w:line="313" w:lineRule="auto"/>
        <w:rPr>
          <w:sz w:val="20"/>
          <w:szCs w:val="20"/>
          <w:color w:val="auto"/>
        </w:rPr>
      </w:pPr>
      <w:r>
        <w:rPr>
          <w:rFonts w:ascii="Arial" w:cs="Arial" w:eastAsia="Arial" w:hAnsi="Arial"/>
          <w:sz w:val="22"/>
          <w:szCs w:val="22"/>
          <w:color w:val="545454"/>
        </w:rPr>
        <w:t>– August 2003: 50 million people in New York and an economic loss of $1Billion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jc w:val="right"/>
              <w:ind w:right="110"/>
              <w:spacing w:after="0"/>
              <w:rPr>
                <w:sz w:val="20"/>
                <w:szCs w:val="20"/>
                <w:color w:val="auto"/>
              </w:rPr>
            </w:pPr>
            <w:r>
              <w:rPr>
                <w:rFonts w:ascii="Arial" w:cs="Arial" w:eastAsia="Arial" w:hAnsi="Arial"/>
                <w:sz w:val="14"/>
                <w:szCs w:val="14"/>
                <w:color w:val="E71B21"/>
                <w:w w:val="76"/>
              </w:rPr>
              <w:t>11</w:t>
            </w:r>
          </w:p>
        </w:tc>
        <w:tc>
          <w:tcPr>
            <w:tcW w:w="1700" w:type="dxa"/>
            <w:vAlign w:val="bottom"/>
            <w:vMerge w:val="restart"/>
          </w:tcPr>
          <w:p>
            <w:pPr>
              <w:ind w:left="200"/>
              <w:spacing w:after="0"/>
              <w:rPr>
                <w:sz w:val="20"/>
                <w:szCs w:val="20"/>
                <w:color w:val="auto"/>
              </w:rPr>
            </w:pPr>
            <w:r>
              <w:rPr>
                <w:rFonts w:ascii="Arial" w:cs="Arial" w:eastAsia="Arial" w:hAnsi="Arial"/>
                <w:sz w:val="13"/>
                <w:szCs w:val="13"/>
                <w:i w:val="1"/>
                <w:iCs w:val="1"/>
                <w:color w:val="5F5F5F"/>
                <w:w w:val="99"/>
              </w:rPr>
              <w:t>(1) Source: ELCON, 2004</w:t>
            </w: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jc w:val="right"/>
        <w:ind w:right="361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94" w:name="page95"/>
    <w:bookmarkEnd w:id="94"/>
    <w:p>
      <w:pPr>
        <w:ind w:left="500"/>
        <w:spacing w:after="0"/>
        <w:rPr>
          <w:sz w:val="20"/>
          <w:szCs w:val="20"/>
          <w:color w:val="auto"/>
        </w:rPr>
      </w:pPr>
      <w:r>
        <w:rPr>
          <w:rFonts w:ascii="Arial" w:cs="Arial" w:eastAsia="Arial" w:hAnsi="Arial"/>
          <w:sz w:val="37"/>
          <w:szCs w:val="37"/>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Other Macroeconomic Trends Drive Demand</w:t>
      </w:r>
    </w:p>
    <w:p>
      <w:pPr>
        <w:spacing w:after="0" w:line="200" w:lineRule="exact"/>
        <w:rPr>
          <w:sz w:val="20"/>
          <w:szCs w:val="20"/>
          <w:color w:val="auto"/>
        </w:rPr>
      </w:pPr>
    </w:p>
    <w:p>
      <w:pPr>
        <w:spacing w:after="0" w:line="247" w:lineRule="exact"/>
        <w:rPr>
          <w:sz w:val="20"/>
          <w:szCs w:val="20"/>
          <w:color w:val="auto"/>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Data center market growth</w:t>
      </w:r>
    </w:p>
    <w:p>
      <w:pPr>
        <w:spacing w:after="0" w:line="200" w:lineRule="exact"/>
        <w:rPr>
          <w:rFonts w:ascii="Arial" w:cs="Arial" w:eastAsia="Arial" w:hAnsi="Arial"/>
          <w:sz w:val="28"/>
          <w:szCs w:val="28"/>
          <w:color w:val="C3092C"/>
        </w:rPr>
      </w:pPr>
    </w:p>
    <w:p>
      <w:pPr>
        <w:spacing w:after="0" w:line="217"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Rising cost of energy</w:t>
      </w:r>
    </w:p>
    <w:p>
      <w:pPr>
        <w:spacing w:after="0" w:line="200" w:lineRule="exact"/>
        <w:rPr>
          <w:rFonts w:ascii="Arial" w:cs="Arial" w:eastAsia="Arial" w:hAnsi="Arial"/>
          <w:sz w:val="28"/>
          <w:szCs w:val="28"/>
          <w:color w:val="C3092C"/>
        </w:rPr>
      </w:pPr>
    </w:p>
    <w:p>
      <w:pPr>
        <w:spacing w:after="0" w:line="229"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Pure demand for energy</w:t>
      </w:r>
    </w:p>
    <w:p>
      <w:pPr>
        <w:spacing w:after="0" w:line="200" w:lineRule="exact"/>
        <w:rPr>
          <w:rFonts w:ascii="Arial" w:cs="Arial" w:eastAsia="Arial" w:hAnsi="Arial"/>
          <w:sz w:val="28"/>
          <w:szCs w:val="28"/>
          <w:color w:val="C3092C"/>
        </w:rPr>
      </w:pPr>
    </w:p>
    <w:p>
      <w:pPr>
        <w:spacing w:after="0" w:line="217"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High efficiency</w:t>
      </w:r>
    </w:p>
    <w:p>
      <w:pPr>
        <w:spacing w:after="0" w:line="200" w:lineRule="exact"/>
        <w:rPr>
          <w:rFonts w:ascii="Arial" w:cs="Arial" w:eastAsia="Arial" w:hAnsi="Arial"/>
          <w:sz w:val="28"/>
          <w:szCs w:val="28"/>
          <w:color w:val="C3092C"/>
        </w:rPr>
      </w:pPr>
    </w:p>
    <w:p>
      <w:pPr>
        <w:spacing w:after="0" w:line="229"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Unreliable power grid</w:t>
      </w:r>
    </w:p>
    <w:p>
      <w:pPr>
        <w:spacing w:after="0" w:line="200" w:lineRule="exact"/>
        <w:rPr>
          <w:rFonts w:ascii="Arial" w:cs="Arial" w:eastAsia="Arial" w:hAnsi="Arial"/>
          <w:sz w:val="28"/>
          <w:szCs w:val="28"/>
          <w:color w:val="C3092C"/>
        </w:rPr>
      </w:pPr>
    </w:p>
    <w:p>
      <w:pPr>
        <w:spacing w:after="0" w:line="217"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Regulatory requirements</w:t>
      </w:r>
    </w:p>
    <w:p>
      <w:pPr>
        <w:spacing w:after="0" w:line="200" w:lineRule="exact"/>
        <w:rPr>
          <w:rFonts w:ascii="Arial" w:cs="Arial" w:eastAsia="Arial" w:hAnsi="Arial"/>
          <w:sz w:val="28"/>
          <w:szCs w:val="28"/>
          <w:color w:val="C3092C"/>
        </w:rPr>
      </w:pPr>
    </w:p>
    <w:p>
      <w:pPr>
        <w:spacing w:after="0" w:line="217" w:lineRule="exact"/>
        <w:rPr>
          <w:rFonts w:ascii="Arial" w:cs="Arial" w:eastAsia="Arial" w:hAnsi="Arial"/>
          <w:sz w:val="28"/>
          <w:szCs w:val="28"/>
          <w:color w:val="C3092C"/>
        </w:rPr>
      </w:pPr>
    </w:p>
    <w:p>
      <w:pPr>
        <w:ind w:left="760" w:right="5279" w:hanging="428"/>
        <w:spacing w:after="0" w:line="320" w:lineRule="auto"/>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Lack of investment into public infrastructure</w:t>
      </w:r>
    </w:p>
    <w:p>
      <w:pPr>
        <w:spacing w:after="0" w:line="233" w:lineRule="exact"/>
        <w:rPr>
          <w:rFonts w:ascii="Arial" w:cs="Arial" w:eastAsia="Arial" w:hAnsi="Arial"/>
          <w:sz w:val="28"/>
          <w:szCs w:val="28"/>
          <w:color w:val="C3092C"/>
        </w:rPr>
      </w:pPr>
    </w:p>
    <w:p>
      <w:pPr>
        <w:ind w:left="760" w:hanging="428"/>
        <w:spacing w:after="0"/>
        <w:tabs>
          <w:tab w:leader="none" w:pos="760" w:val="left"/>
        </w:tabs>
        <w:numPr>
          <w:ilvl w:val="0"/>
          <w:numId w:val="71"/>
        </w:numPr>
        <w:rPr>
          <w:rFonts w:ascii="Arial" w:cs="Arial" w:eastAsia="Arial" w:hAnsi="Arial"/>
          <w:sz w:val="28"/>
          <w:szCs w:val="28"/>
          <w:color w:val="C3092C"/>
        </w:rPr>
      </w:pPr>
      <w:r>
        <w:rPr>
          <w:rFonts w:ascii="Arial" w:cs="Arial" w:eastAsia="Arial" w:hAnsi="Arial"/>
          <w:sz w:val="28"/>
          <w:szCs w:val="28"/>
          <w:b w:val="1"/>
          <w:bCs w:val="1"/>
          <w:color w:val="545454"/>
        </w:rPr>
        <w:t>Cost of downtime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E71B21"/>
        </w:rPr>
        <w:t>12</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95" w:name="page96"/>
    <w:bookmarkEnd w:id="95"/>
    <w:p>
      <w:pPr>
        <w:ind w:left="509"/>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The Market Opportunity is $6.5 Billion</w:t>
      </w:r>
    </w:p>
    <w:p>
      <w:pPr>
        <w:spacing w:after="0" w:line="200" w:lineRule="exact"/>
        <w:rPr>
          <w:sz w:val="20"/>
          <w:szCs w:val="20"/>
          <w:color w:val="auto"/>
        </w:rPr>
      </w:pPr>
    </w:p>
    <w:p>
      <w:pPr>
        <w:spacing w:after="0" w:line="224" w:lineRule="exact"/>
        <w:rPr>
          <w:sz w:val="20"/>
          <w:szCs w:val="20"/>
          <w:color w:val="auto"/>
        </w:rPr>
      </w:pPr>
    </w:p>
    <w:p>
      <w:pPr>
        <w:ind w:left="749" w:hanging="431"/>
        <w:spacing w:after="0"/>
        <w:tabs>
          <w:tab w:leader="none" w:pos="749" w:val="left"/>
        </w:tabs>
        <w:numPr>
          <w:ilvl w:val="0"/>
          <w:numId w:val="72"/>
        </w:numPr>
        <w:rPr>
          <w:rFonts w:ascii="Arial" w:cs="Arial" w:eastAsia="Arial" w:hAnsi="Arial"/>
          <w:sz w:val="28"/>
          <w:szCs w:val="28"/>
          <w:color w:val="C3092C"/>
        </w:rPr>
      </w:pPr>
      <w:r>
        <w:rPr>
          <w:rFonts w:ascii="Arial" w:cs="Arial" w:eastAsia="Arial" w:hAnsi="Arial"/>
          <w:sz w:val="28"/>
          <w:szCs w:val="28"/>
          <w:b w:val="1"/>
          <w:bCs w:val="1"/>
          <w:color w:val="5F5F5F"/>
        </w:rPr>
        <w:t>Current global UPS market is $6.5 billion with 6% CAGR projected</w:t>
      </w:r>
    </w:p>
    <w:p>
      <w:pPr>
        <w:spacing w:after="0" w:line="89" w:lineRule="exact"/>
        <w:rPr>
          <w:rFonts w:ascii="Arial" w:cs="Arial" w:eastAsia="Arial" w:hAnsi="Arial"/>
          <w:sz w:val="28"/>
          <w:szCs w:val="28"/>
          <w:color w:val="C3092C"/>
        </w:rPr>
      </w:pPr>
    </w:p>
    <w:p>
      <w:pPr>
        <w:ind w:left="749" w:hanging="431"/>
        <w:spacing w:after="0"/>
        <w:tabs>
          <w:tab w:leader="none" w:pos="749" w:val="left"/>
        </w:tabs>
        <w:numPr>
          <w:ilvl w:val="0"/>
          <w:numId w:val="72"/>
        </w:numPr>
        <w:rPr>
          <w:rFonts w:ascii="Arial" w:cs="Arial" w:eastAsia="Arial" w:hAnsi="Arial"/>
          <w:sz w:val="28"/>
          <w:szCs w:val="28"/>
          <w:color w:val="C3092C"/>
        </w:rPr>
      </w:pPr>
      <w:r>
        <w:rPr>
          <w:rFonts w:ascii="Arial" w:cs="Arial" w:eastAsia="Arial" w:hAnsi="Arial"/>
          <w:sz w:val="28"/>
          <w:szCs w:val="28"/>
          <w:b w:val="1"/>
          <w:bCs w:val="1"/>
          <w:color w:val="5F5F5F"/>
        </w:rPr>
        <w:t>Addressable share is $1.5 billion</w:t>
      </w:r>
    </w:p>
    <w:p>
      <w:pPr>
        <w:sectPr>
          <w:pgSz w:w="11900" w:h="16838" w:orient="portrait"/>
          <w:cols w:equalWidth="0" w:num="1">
            <w:col w:w="10409"/>
          </w:cols>
          <w:pgMar w:left="351" w:top="68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9" w:type="dxa"/>
        <w:tblCellMar>
          <w:top w:w="0" w:type="dxa"/>
          <w:left w:w="0" w:type="dxa"/>
          <w:bottom w:w="0" w:type="dxa"/>
          <w:right w:w="0" w:type="dxa"/>
        </w:tblCellMar>
      </w:tblPr>
      <w:tr>
        <w:trPr>
          <w:trHeight w:val="188"/>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7"/>
          </w:tcPr>
          <w:p>
            <w:pPr>
              <w:jc w:val="right"/>
              <w:ind w:right="81"/>
              <w:spacing w:after="0"/>
              <w:rPr>
                <w:sz w:val="20"/>
                <w:szCs w:val="20"/>
                <w:color w:val="auto"/>
              </w:rPr>
            </w:pPr>
            <w:r>
              <w:rPr>
                <w:rFonts w:ascii="Arial" w:cs="Arial" w:eastAsia="Arial" w:hAnsi="Arial"/>
                <w:sz w:val="15"/>
                <w:szCs w:val="15"/>
                <w:b w:val="1"/>
                <w:bCs w:val="1"/>
                <w:color w:val="FFFFFF"/>
              </w:rPr>
              <w:t>Total UPS Market: Unit Shipment and</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4"/>
        </w:trPr>
        <w:tc>
          <w:tcPr>
            <w:tcW w:w="780" w:type="dxa"/>
            <w:vAlign w:val="bottom"/>
          </w:tcPr>
          <w:p>
            <w:pPr>
              <w:spacing w:after="0"/>
              <w:rPr>
                <w:sz w:val="18"/>
                <w:szCs w:val="18"/>
                <w:color w:val="auto"/>
              </w:rPr>
            </w:pPr>
          </w:p>
        </w:tc>
        <w:tc>
          <w:tcPr>
            <w:tcW w:w="3180" w:type="dxa"/>
            <w:vAlign w:val="bottom"/>
            <w:gridSpan w:val="8"/>
          </w:tcPr>
          <w:p>
            <w:pPr>
              <w:jc w:val="right"/>
              <w:spacing w:after="0"/>
              <w:rPr>
                <w:sz w:val="20"/>
                <w:szCs w:val="20"/>
                <w:color w:val="auto"/>
              </w:rPr>
            </w:pPr>
            <w:r>
              <w:rPr>
                <w:rFonts w:ascii="Arial" w:cs="Arial" w:eastAsia="Arial" w:hAnsi="Arial"/>
                <w:sz w:val="15"/>
                <w:szCs w:val="15"/>
                <w:b w:val="1"/>
                <w:bCs w:val="1"/>
                <w:color w:val="FFFFFF"/>
              </w:rPr>
              <w:t>Revenue Forecasts (World), 2002- 2012</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11"/>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9,000</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45,000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8,000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40,000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7,000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35,000</w:t>
            </w:r>
          </w:p>
        </w:tc>
      </w:tr>
      <w:tr>
        <w:trPr>
          <w:trHeight w:val="235"/>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6,000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30,000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5,000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25,000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4,000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20,000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3,000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15,000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2,000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w w:val="94"/>
              </w:rPr>
              <w:t>10,000</w:t>
            </w:r>
          </w:p>
        </w:tc>
      </w:tr>
      <w:tr>
        <w:trPr>
          <w:trHeight w:val="235"/>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w w:val="93"/>
              </w:rPr>
              <w:t>1,000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rPr>
              <w:t>5,000</w:t>
            </w:r>
          </w:p>
        </w:tc>
      </w:tr>
      <w:tr>
        <w:trPr>
          <w:trHeight w:val="247"/>
        </w:trPr>
        <w:tc>
          <w:tcPr>
            <w:tcW w:w="780" w:type="dxa"/>
            <w:vAlign w:val="bottom"/>
          </w:tcPr>
          <w:p>
            <w:pPr>
              <w:jc w:val="right"/>
              <w:ind w:right="421"/>
              <w:spacing w:after="0"/>
              <w:rPr>
                <w:sz w:val="20"/>
                <w:szCs w:val="20"/>
                <w:color w:val="auto"/>
              </w:rPr>
            </w:pPr>
            <w:r>
              <w:rPr>
                <w:rFonts w:ascii="Arial" w:cs="Arial" w:eastAsia="Arial" w:hAnsi="Arial"/>
                <w:sz w:val="12"/>
                <w:szCs w:val="12"/>
                <w:b w:val="1"/>
                <w:bCs w:val="1"/>
                <w:color w:val="auto"/>
              </w:rPr>
              <w:t>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9"/>
                <w:szCs w:val="9"/>
                <w:b w:val="1"/>
                <w:bCs w:val="1"/>
                <w:color w:val="auto"/>
              </w:rPr>
              <w:t>0</w:t>
            </w:r>
          </w:p>
        </w:tc>
      </w:tr>
      <w:tr>
        <w:trPr>
          <w:trHeight w:val="176"/>
        </w:trPr>
        <w:tc>
          <w:tcPr>
            <w:tcW w:w="780" w:type="dxa"/>
            <w:vAlign w:val="bottom"/>
          </w:tcPr>
          <w:p>
            <w:pPr>
              <w:jc w:val="right"/>
              <w:ind w:right="1"/>
              <w:spacing w:after="0"/>
              <w:rPr>
                <w:sz w:val="20"/>
                <w:szCs w:val="20"/>
                <w:color w:val="auto"/>
              </w:rPr>
            </w:pPr>
            <w:r>
              <w:rPr>
                <w:rFonts w:ascii="Arial" w:cs="Arial" w:eastAsia="Arial" w:hAnsi="Arial"/>
                <w:sz w:val="12"/>
                <w:szCs w:val="12"/>
                <w:b w:val="1"/>
                <w:bCs w:val="1"/>
                <w:color w:val="auto"/>
              </w:rPr>
              <w:t>2002</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2003</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2004</w:t>
            </w:r>
          </w:p>
        </w:tc>
        <w:tc>
          <w:tcPr>
            <w:tcW w:w="380" w:type="dxa"/>
            <w:vAlign w:val="bottom"/>
          </w:tcPr>
          <w:p>
            <w:pPr>
              <w:jc w:val="right"/>
              <w:ind w:right="1"/>
              <w:spacing w:after="0"/>
              <w:rPr>
                <w:sz w:val="20"/>
                <w:szCs w:val="20"/>
                <w:color w:val="auto"/>
              </w:rPr>
            </w:pPr>
            <w:r>
              <w:rPr>
                <w:rFonts w:ascii="Arial" w:cs="Arial" w:eastAsia="Arial" w:hAnsi="Arial"/>
                <w:sz w:val="12"/>
                <w:szCs w:val="12"/>
                <w:b w:val="1"/>
                <w:bCs w:val="1"/>
                <w:color w:val="auto"/>
              </w:rPr>
              <w:t>2005</w:t>
            </w:r>
          </w:p>
        </w:tc>
        <w:tc>
          <w:tcPr>
            <w:tcW w:w="400" w:type="dxa"/>
            <w:vAlign w:val="bottom"/>
          </w:tcPr>
          <w:p>
            <w:pPr>
              <w:jc w:val="right"/>
              <w:ind w:right="1"/>
              <w:spacing w:after="0"/>
              <w:rPr>
                <w:sz w:val="20"/>
                <w:szCs w:val="20"/>
                <w:color w:val="auto"/>
              </w:rPr>
            </w:pPr>
            <w:r>
              <w:rPr>
                <w:rFonts w:ascii="Arial" w:cs="Arial" w:eastAsia="Arial" w:hAnsi="Arial"/>
                <w:sz w:val="12"/>
                <w:szCs w:val="12"/>
                <w:b w:val="1"/>
                <w:bCs w:val="1"/>
                <w:color w:val="auto"/>
              </w:rPr>
              <w:t>2006</w:t>
            </w:r>
          </w:p>
        </w:tc>
        <w:tc>
          <w:tcPr>
            <w:tcW w:w="400" w:type="dxa"/>
            <w:vAlign w:val="bottom"/>
          </w:tcPr>
          <w:p>
            <w:pPr>
              <w:jc w:val="right"/>
              <w:ind w:right="1"/>
              <w:spacing w:after="0"/>
              <w:rPr>
                <w:sz w:val="20"/>
                <w:szCs w:val="20"/>
                <w:color w:val="auto"/>
              </w:rPr>
            </w:pPr>
            <w:r>
              <w:rPr>
                <w:rFonts w:ascii="Arial" w:cs="Arial" w:eastAsia="Arial" w:hAnsi="Arial"/>
                <w:sz w:val="12"/>
                <w:szCs w:val="12"/>
                <w:b w:val="1"/>
                <w:bCs w:val="1"/>
                <w:color w:val="auto"/>
              </w:rPr>
              <w:t>2007</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2008</w:t>
            </w:r>
          </w:p>
        </w:tc>
        <w:tc>
          <w:tcPr>
            <w:tcW w:w="440" w:type="dxa"/>
            <w:vAlign w:val="bottom"/>
          </w:tcPr>
          <w:p>
            <w:pPr>
              <w:jc w:val="right"/>
              <w:ind w:right="1"/>
              <w:spacing w:after="0"/>
              <w:rPr>
                <w:sz w:val="20"/>
                <w:szCs w:val="20"/>
                <w:color w:val="auto"/>
              </w:rPr>
            </w:pPr>
            <w:r>
              <w:rPr>
                <w:rFonts w:ascii="Arial" w:cs="Arial" w:eastAsia="Arial" w:hAnsi="Arial"/>
                <w:sz w:val="12"/>
                <w:szCs w:val="12"/>
                <w:b w:val="1"/>
                <w:bCs w:val="1"/>
                <w:color w:val="auto"/>
              </w:rPr>
              <w:t>2009</w:t>
            </w:r>
          </w:p>
        </w:tc>
        <w:tc>
          <w:tcPr>
            <w:tcW w:w="440" w:type="dxa"/>
            <w:vAlign w:val="bottom"/>
          </w:tcPr>
          <w:p>
            <w:pPr>
              <w:jc w:val="right"/>
              <w:ind w:right="61"/>
              <w:spacing w:after="0"/>
              <w:rPr>
                <w:sz w:val="20"/>
                <w:szCs w:val="20"/>
                <w:color w:val="auto"/>
              </w:rPr>
            </w:pPr>
            <w:r>
              <w:rPr>
                <w:rFonts w:ascii="Arial" w:cs="Arial" w:eastAsia="Arial" w:hAnsi="Arial"/>
                <w:sz w:val="12"/>
                <w:szCs w:val="12"/>
                <w:b w:val="1"/>
                <w:bCs w:val="1"/>
                <w:color w:val="auto"/>
              </w:rPr>
              <w:t>2010</w:t>
            </w:r>
          </w:p>
        </w:tc>
        <w:tc>
          <w:tcPr>
            <w:tcW w:w="340" w:type="dxa"/>
            <w:vAlign w:val="bottom"/>
          </w:tcPr>
          <w:p>
            <w:pPr>
              <w:jc w:val="right"/>
              <w:ind w:right="1"/>
              <w:spacing w:after="0"/>
              <w:rPr>
                <w:sz w:val="20"/>
                <w:szCs w:val="20"/>
                <w:color w:val="auto"/>
              </w:rPr>
            </w:pPr>
            <w:r>
              <w:rPr>
                <w:rFonts w:ascii="Arial" w:cs="Arial" w:eastAsia="Arial" w:hAnsi="Arial"/>
                <w:sz w:val="12"/>
                <w:szCs w:val="12"/>
                <w:b w:val="1"/>
                <w:bCs w:val="1"/>
                <w:color w:val="auto"/>
                <w:w w:val="97"/>
              </w:rPr>
              <w:t>2011</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2012</w:t>
            </w:r>
          </w:p>
        </w:tc>
      </w:tr>
      <w:tr>
        <w:trPr>
          <w:trHeight w:val="223"/>
        </w:trPr>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2"/>
                <w:szCs w:val="12"/>
                <w:b w:val="1"/>
                <w:bCs w:val="1"/>
                <w:color w:val="auto"/>
              </w:rPr>
              <w:t>Revenues</w:t>
            </w:r>
          </w:p>
        </w:tc>
        <w:tc>
          <w:tcPr>
            <w:tcW w:w="340" w:type="dxa"/>
            <w:vAlign w:val="bottom"/>
          </w:tcPr>
          <w:p>
            <w:pPr>
              <w:spacing w:after="0"/>
              <w:rPr>
                <w:sz w:val="19"/>
                <w:szCs w:val="19"/>
                <w:color w:val="auto"/>
              </w:rPr>
            </w:pPr>
          </w:p>
        </w:tc>
        <w:tc>
          <w:tcPr>
            <w:tcW w:w="440" w:type="dxa"/>
            <w:vAlign w:val="bottom"/>
          </w:tcPr>
          <w:p>
            <w:pPr>
              <w:jc w:val="right"/>
              <w:ind w:right="61"/>
              <w:spacing w:after="0"/>
              <w:rPr>
                <w:sz w:val="20"/>
                <w:szCs w:val="20"/>
                <w:color w:val="auto"/>
              </w:rPr>
            </w:pPr>
            <w:r>
              <w:rPr>
                <w:rFonts w:ascii="Arial" w:cs="Arial" w:eastAsia="Arial" w:hAnsi="Arial"/>
                <w:sz w:val="12"/>
                <w:szCs w:val="12"/>
                <w:b w:val="1"/>
                <w:bCs w:val="1"/>
                <w:color w:val="auto"/>
                <w:w w:val="99"/>
              </w:rPr>
              <w:t>Units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Total UPS Market: Report Segmentation by Power Range (World)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FFFFFF"/>
        </w:rPr>
        <w:t>World</w:t>
      </w:r>
    </w:p>
    <w:p>
      <w:pPr>
        <w:spacing w:after="0" w:line="35"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FFFFFF"/>
        </w:rPr>
        <w:t>UPS Market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680" w:type="dxa"/>
            <w:vAlign w:val="bottom"/>
          </w:tcPr>
          <w:p>
            <w:pPr>
              <w:spacing w:after="0"/>
              <w:rPr>
                <w:sz w:val="20"/>
                <w:szCs w:val="20"/>
                <w:color w:val="auto"/>
              </w:rPr>
            </w:pPr>
            <w:r>
              <w:rPr>
                <w:rFonts w:ascii="Arial" w:cs="Arial" w:eastAsia="Arial" w:hAnsi="Arial"/>
                <w:sz w:val="14"/>
                <w:szCs w:val="14"/>
                <w:b w:val="1"/>
                <w:bCs w:val="1"/>
                <w:color w:val="FFFFFF"/>
              </w:rPr>
              <w:t>Below</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FFFFF"/>
              </w:rPr>
              <w:t>1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FFFFFF"/>
              </w:rPr>
              <w:t>20 to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50 to</w:t>
            </w:r>
          </w:p>
        </w:tc>
        <w:tc>
          <w:tcPr>
            <w:tcW w:w="860" w:type="dxa"/>
            <w:vAlign w:val="bottom"/>
            <w:vMerge w:val="restart"/>
          </w:tcPr>
          <w:p>
            <w:pPr>
              <w:jc w:val="center"/>
              <w:ind w:left="127"/>
              <w:spacing w:after="0"/>
              <w:rPr>
                <w:sz w:val="20"/>
                <w:szCs w:val="20"/>
                <w:color w:val="auto"/>
              </w:rPr>
            </w:pPr>
            <w:r>
              <w:rPr>
                <w:rFonts w:ascii="Arial" w:cs="Arial" w:eastAsia="Arial" w:hAnsi="Arial"/>
                <w:sz w:val="14"/>
                <w:szCs w:val="14"/>
                <w:b w:val="1"/>
                <w:bCs w:val="1"/>
                <w:color w:val="FFFFFF"/>
                <w:w w:val="99"/>
              </w:rPr>
              <w:t>200 kVA +</w:t>
            </w:r>
          </w:p>
        </w:tc>
        <w:tc>
          <w:tcPr>
            <w:tcW w:w="0" w:type="dxa"/>
            <w:vAlign w:val="bottom"/>
          </w:tcPr>
          <w:p>
            <w:pPr>
              <w:spacing w:after="0"/>
              <w:rPr>
                <w:sz w:val="1"/>
                <w:szCs w:val="1"/>
                <w:color w:val="auto"/>
              </w:rPr>
            </w:pPr>
          </w:p>
        </w:tc>
      </w:tr>
      <w:tr>
        <w:trPr>
          <w:trHeight w:val="117"/>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FFFFFF"/>
              </w:rPr>
              <w:t>1 kVA</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20 kVA</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50 kVA</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9"/>
              </w:rPr>
              <w:t>200 kVA</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FFFFFF"/>
              </w:rPr>
              <w:t>$661M</w:t>
            </w:r>
          </w:p>
        </w:tc>
        <w:tc>
          <w:tcPr>
            <w:tcW w:w="860" w:type="dxa"/>
            <w:vAlign w:val="bottom"/>
          </w:tcPr>
          <w:p>
            <w:pPr>
              <w:jc w:val="center"/>
              <w:ind w:left="127"/>
              <w:spacing w:after="0"/>
              <w:rPr>
                <w:sz w:val="20"/>
                <w:szCs w:val="20"/>
                <w:color w:val="auto"/>
              </w:rPr>
            </w:pPr>
            <w:r>
              <w:rPr>
                <w:rFonts w:ascii="Arial" w:cs="Arial" w:eastAsia="Arial" w:hAnsi="Arial"/>
                <w:sz w:val="15"/>
                <w:szCs w:val="15"/>
                <w:b w:val="1"/>
                <w:bCs w:val="1"/>
                <w:color w:val="FFFFFF"/>
              </w:rPr>
              <w:t>$867M</w:t>
            </w:r>
          </w:p>
        </w:tc>
        <w:tc>
          <w:tcPr>
            <w:tcW w:w="0" w:type="dxa"/>
            <w:vAlign w:val="bottom"/>
          </w:tcPr>
          <w:p>
            <w:pPr>
              <w:spacing w:after="0"/>
              <w:rPr>
                <w:sz w:val="1"/>
                <w:szCs w:val="1"/>
                <w:color w:val="auto"/>
              </w:rPr>
            </w:pPr>
          </w:p>
        </w:tc>
      </w:tr>
    </w:tbl>
    <w:p>
      <w:pPr>
        <w:spacing w:after="0" w:line="810" w:lineRule="exact"/>
        <w:rPr>
          <w:sz w:val="20"/>
          <w:szCs w:val="20"/>
          <w:color w:val="auto"/>
        </w:rPr>
      </w:pPr>
    </w:p>
    <w:p>
      <w:pPr>
        <w:sectPr>
          <w:pgSz w:w="11900" w:h="16838" w:orient="portrait"/>
          <w:cols w:equalWidth="0" w:num="2">
            <w:col w:w="5269" w:space="400"/>
            <w:col w:w="4740"/>
          </w:cols>
          <w:pgMar w:left="351" w:top="687"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9" w:hanging="529"/>
        <w:spacing w:after="0"/>
        <w:tabs>
          <w:tab w:leader="none" w:pos="529" w:val="left"/>
        </w:tabs>
        <w:numPr>
          <w:ilvl w:val="0"/>
          <w:numId w:val="73"/>
        </w:numPr>
        <w:rPr>
          <w:rFonts w:ascii="Arial" w:cs="Arial" w:eastAsia="Arial" w:hAnsi="Arial"/>
          <w:sz w:val="28"/>
          <w:szCs w:val="28"/>
          <w:color w:val="E71B21"/>
          <w:vertAlign w:val="superscript"/>
        </w:rPr>
      </w:pPr>
      <w:r>
        <w:rPr>
          <w:rFonts w:ascii="Arial" w:cs="Arial" w:eastAsia="Arial" w:hAnsi="Arial"/>
          <w:sz w:val="13"/>
          <w:szCs w:val="13"/>
          <w:i w:val="1"/>
          <w:iCs w:val="1"/>
          <w:color w:val="5F5F5F"/>
        </w:rPr>
        <w:t>Source: Frost &amp; Sullivan</w:t>
      </w:r>
    </w:p>
    <w:p>
      <w:pPr>
        <w:jc w:val="right"/>
        <w:ind w:right="392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409"/>
          </w:cols>
          <w:pgMar w:left="351" w:top="687" w:right="1139" w:bottom="1440" w:gutter="0" w:footer="0" w:header="0"/>
          <w:type w:val="continuous"/>
        </w:sectPr>
      </w:pPr>
    </w:p>
    <w:bookmarkStart w:id="96" w:name="page97"/>
    <w:bookmarkEnd w:id="96"/>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What is the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79"/>
        <w:spacing w:after="0"/>
        <w:rPr>
          <w:sz w:val="20"/>
          <w:szCs w:val="20"/>
          <w:color w:val="auto"/>
        </w:rPr>
      </w:pPr>
      <w:r>
        <w:rPr>
          <w:rFonts w:ascii="Arial" w:cs="Arial" w:eastAsia="Arial" w:hAnsi="Arial"/>
          <w:sz w:val="43"/>
          <w:szCs w:val="43"/>
          <w:b w:val="1"/>
          <w:bCs w:val="1"/>
          <w:color w:val="5F5F5F"/>
        </w:rPr>
        <w:t>Build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80"/>
        <w:spacing w:after="0"/>
        <w:rPr>
          <w:sz w:val="20"/>
          <w:szCs w:val="20"/>
          <w:color w:val="auto"/>
        </w:rPr>
      </w:pPr>
      <w:r>
        <w:rPr>
          <w:rFonts w:ascii="Arial" w:cs="Arial" w:eastAsia="Arial" w:hAnsi="Arial"/>
          <w:sz w:val="43"/>
          <w:szCs w:val="43"/>
          <w:b w:val="1"/>
          <w:bCs w:val="1"/>
          <w:color w:val="5F5F5F"/>
        </w:rPr>
        <w:t>Build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699"/>
        <w:spacing w:after="0"/>
        <w:rPr>
          <w:sz w:val="20"/>
          <w:szCs w:val="20"/>
          <w:color w:val="auto"/>
        </w:rPr>
      </w:pPr>
      <w:r>
        <w:rPr>
          <w:rFonts w:ascii="Arial" w:cs="Arial" w:eastAsia="Arial" w:hAnsi="Arial"/>
          <w:sz w:val="43"/>
          <w:szCs w:val="43"/>
          <w:b w:val="1"/>
          <w:bCs w:val="1"/>
          <w:color w:val="5F5F5F"/>
        </w:rPr>
        <w:t>Build for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E71B21"/>
        </w:rPr>
        <w:t>14</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97" w:name="page98"/>
    <w:bookmarkEnd w:id="97"/>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Strategy in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60"/>
        <w:spacing w:after="0"/>
        <w:rPr>
          <w:sz w:val="20"/>
          <w:szCs w:val="20"/>
          <w:color w:val="auto"/>
        </w:rPr>
      </w:pPr>
      <w:r>
        <w:rPr>
          <w:rFonts w:ascii="Arial" w:cs="Arial" w:eastAsia="Arial" w:hAnsi="Arial"/>
          <w:sz w:val="32"/>
          <w:szCs w:val="32"/>
          <w:b w:val="1"/>
          <w:bCs w:val="1"/>
          <w:color w:val="FFFFFF"/>
        </w:rPr>
        <w:t>Before 2006</w:t>
      </w:r>
    </w:p>
    <w:p>
      <w:pPr>
        <w:spacing w:after="0" w:line="200" w:lineRule="exact"/>
        <w:rPr>
          <w:sz w:val="20"/>
          <w:szCs w:val="20"/>
          <w:color w:val="auto"/>
        </w:rPr>
      </w:pPr>
    </w:p>
    <w:p>
      <w:pPr>
        <w:spacing w:after="0" w:line="219"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Commoditized Component</w:t>
      </w:r>
    </w:p>
    <w:p>
      <w:pPr>
        <w:spacing w:after="0" w:line="384"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Valued Supplier</w:t>
      </w:r>
    </w:p>
    <w:p>
      <w:pPr>
        <w:spacing w:after="0" w:line="384"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Driven by OEM Sales</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Limited Geographical</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Coverage</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5F5F5F"/>
        </w:rPr>
        <w:t>Focus on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E71B21"/>
        </w:rPr>
        <w:t>15</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3"/>
          <w:szCs w:val="13"/>
          <w:color w:val="808080"/>
        </w:rPr>
        <w:t>Copyright © 2007 Active Power,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FFFFFF"/>
        </w:rPr>
        <w:t>After 2006</w:t>
      </w:r>
    </w:p>
    <w:p>
      <w:pPr>
        <w:spacing w:after="0" w:line="200" w:lineRule="exact"/>
        <w:rPr>
          <w:sz w:val="20"/>
          <w:szCs w:val="20"/>
          <w:color w:val="auto"/>
        </w:rPr>
      </w:pPr>
    </w:p>
    <w:p>
      <w:pPr>
        <w:spacing w:after="0" w:line="231" w:lineRule="exact"/>
        <w:rPr>
          <w:sz w:val="20"/>
          <w:szCs w:val="20"/>
          <w:color w:val="auto"/>
        </w:rPr>
      </w:pPr>
    </w:p>
    <w:p>
      <w:pPr>
        <w:ind w:right="420"/>
        <w:spacing w:after="0" w:line="514" w:lineRule="auto"/>
        <w:rPr>
          <w:sz w:val="20"/>
          <w:szCs w:val="20"/>
          <w:color w:val="auto"/>
        </w:rPr>
      </w:pPr>
      <w:r>
        <w:rPr>
          <w:rFonts w:ascii="Arial" w:cs="Arial" w:eastAsia="Arial" w:hAnsi="Arial"/>
          <w:sz w:val="31"/>
          <w:szCs w:val="31"/>
          <w:b w:val="1"/>
          <w:bCs w:val="1"/>
          <w:color w:val="auto"/>
        </w:rPr>
        <w:t>Differentiated Solution Consultative Partner Driven by Direct Sales</w:t>
      </w:r>
    </w:p>
    <w:p>
      <w:pPr>
        <w:spacing w:after="0"/>
        <w:rPr>
          <w:sz w:val="20"/>
          <w:szCs w:val="20"/>
          <w:color w:val="auto"/>
        </w:rPr>
      </w:pPr>
      <w:r>
        <w:rPr>
          <w:rFonts w:ascii="Arial" w:cs="Arial" w:eastAsia="Arial" w:hAnsi="Arial"/>
          <w:sz w:val="31"/>
          <w:szCs w:val="31"/>
          <w:b w:val="1"/>
          <w:bCs w:val="1"/>
          <w:color w:val="auto"/>
        </w:rPr>
        <w:t>Multinational Distribution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Focus on Market Needs</w:t>
      </w:r>
    </w:p>
    <w:p>
      <w:pPr>
        <w:sectPr>
          <w:pgSz w:w="11900" w:h="16838" w:orient="portrait"/>
          <w:cols w:equalWidth="0" w:num="2">
            <w:col w:w="6480" w:space="100"/>
            <w:col w:w="3820"/>
          </w:cols>
          <w:pgMar w:left="360" w:top="687" w:right="1139" w:bottom="1440" w:gutter="0" w:footer="0" w:header="0"/>
        </w:sectPr>
      </w:pPr>
    </w:p>
    <w:bookmarkStart w:id="98" w:name="page99"/>
    <w:bookmarkEnd w:id="98"/>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Competitive Landscape</w:t>
      </w:r>
    </w:p>
    <w:p>
      <w:pPr>
        <w:spacing w:after="0" w:line="200" w:lineRule="exact"/>
        <w:rPr>
          <w:sz w:val="20"/>
          <w:szCs w:val="20"/>
          <w:color w:val="auto"/>
        </w:rPr>
      </w:pPr>
    </w:p>
    <w:p>
      <w:pPr>
        <w:spacing w:after="0" w:line="224" w:lineRule="exact"/>
        <w:rPr>
          <w:sz w:val="20"/>
          <w:szCs w:val="20"/>
          <w:color w:val="auto"/>
        </w:rPr>
      </w:pPr>
    </w:p>
    <w:p>
      <w:pPr>
        <w:ind w:left="740" w:hanging="431"/>
        <w:spacing w:after="0"/>
        <w:tabs>
          <w:tab w:leader="none" w:pos="740" w:val="left"/>
        </w:tabs>
        <w:numPr>
          <w:ilvl w:val="0"/>
          <w:numId w:val="74"/>
        </w:numPr>
        <w:rPr>
          <w:rFonts w:ascii="Arial" w:cs="Arial" w:eastAsia="Arial" w:hAnsi="Arial"/>
          <w:sz w:val="28"/>
          <w:szCs w:val="28"/>
          <w:color w:val="C3092C"/>
        </w:rPr>
      </w:pPr>
      <w:r>
        <w:rPr>
          <w:rFonts w:ascii="Arial" w:cs="Arial" w:eastAsia="Arial" w:hAnsi="Arial"/>
          <w:sz w:val="28"/>
          <w:szCs w:val="28"/>
          <w:b w:val="1"/>
          <w:bCs w:val="1"/>
          <w:color w:val="545454"/>
        </w:rPr>
        <w:t>Our UPS solutions outperform conventional UPS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860" w:type="dxa"/>
        <w:tblCellMar>
          <w:top w:w="0" w:type="dxa"/>
          <w:left w:w="0" w:type="dxa"/>
          <w:bottom w:w="0" w:type="dxa"/>
          <w:right w:w="0" w:type="dxa"/>
        </w:tblCellMar>
      </w:tblPr>
      <w:tr>
        <w:trPr>
          <w:trHeight w:val="266"/>
        </w:trPr>
        <w:tc>
          <w:tcPr>
            <w:tcW w:w="1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4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8"/>
              </w:rPr>
              <w:t>Operating</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Green</w:t>
            </w:r>
          </w:p>
        </w:tc>
        <w:tc>
          <w:tcPr>
            <w:tcW w:w="1240" w:type="dxa"/>
            <w:vAlign w:val="bottom"/>
          </w:tcPr>
          <w:p>
            <w:pPr>
              <w:jc w:val="center"/>
              <w:ind w:left="266"/>
              <w:spacing w:after="0"/>
              <w:rPr>
                <w:sz w:val="20"/>
                <w:szCs w:val="20"/>
                <w:color w:val="auto"/>
              </w:rPr>
            </w:pPr>
            <w:r>
              <w:rPr>
                <w:rFonts w:ascii="Arial" w:cs="Arial" w:eastAsia="Arial" w:hAnsi="Arial"/>
                <w:sz w:val="19"/>
                <w:szCs w:val="19"/>
                <w:b w:val="1"/>
                <w:bCs w:val="1"/>
                <w:color w:val="FFFFFF"/>
                <w:w w:val="99"/>
              </w:rPr>
              <w:t>Measured</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line="274" w:lineRule="exact"/>
              <w:rPr>
                <w:sz w:val="20"/>
                <w:szCs w:val="20"/>
                <w:color w:val="auto"/>
              </w:rPr>
            </w:pPr>
            <w:r>
              <w:rPr>
                <w:rFonts w:ascii="Arial" w:cs="Arial" w:eastAsia="Arial" w:hAnsi="Arial"/>
                <w:sz w:val="19"/>
                <w:szCs w:val="19"/>
                <w:b w:val="1"/>
                <w:bCs w:val="1"/>
                <w:color w:val="FFFFFF"/>
              </w:rPr>
              <w:t xml:space="preserve">Efficiency </w:t>
            </w:r>
            <w:r>
              <w:rPr>
                <w:rFonts w:ascii="Arial" w:cs="Arial" w:eastAsia="Arial" w:hAnsi="Arial"/>
                <w:sz w:val="25"/>
                <w:szCs w:val="25"/>
                <w:b w:val="1"/>
                <w:bCs w:val="1"/>
                <w:color w:val="FFFFFF"/>
                <w:vertAlign w:val="superscript"/>
              </w:rPr>
              <w:t>(1)</w:t>
            </w:r>
          </w:p>
        </w:tc>
        <w:tc>
          <w:tcPr>
            <w:tcW w:w="1580" w:type="dxa"/>
            <w:vAlign w:val="bottom"/>
            <w:vMerge w:val="restart"/>
          </w:tcPr>
          <w:p>
            <w:pPr>
              <w:ind w:left="280"/>
              <w:spacing w:after="0" w:line="274" w:lineRule="exact"/>
              <w:rPr>
                <w:sz w:val="20"/>
                <w:szCs w:val="20"/>
                <w:color w:val="auto"/>
              </w:rPr>
            </w:pPr>
            <w:r>
              <w:rPr>
                <w:rFonts w:ascii="Arial" w:cs="Arial" w:eastAsia="Arial" w:hAnsi="Arial"/>
                <w:sz w:val="19"/>
                <w:szCs w:val="19"/>
                <w:b w:val="1"/>
                <w:bCs w:val="1"/>
                <w:color w:val="FFFFFF"/>
              </w:rPr>
              <w:t xml:space="preserve">Footprint </w:t>
            </w:r>
            <w:r>
              <w:rPr>
                <w:rFonts w:ascii="Arial" w:cs="Arial" w:eastAsia="Arial" w:hAnsi="Arial"/>
                <w:sz w:val="25"/>
                <w:szCs w:val="25"/>
                <w:b w:val="1"/>
                <w:bCs w:val="1"/>
                <w:color w:val="FFFFFF"/>
                <w:vertAlign w:val="superscript"/>
              </w:rPr>
              <w:t>(2)</w:t>
            </w:r>
          </w:p>
        </w:tc>
        <w:tc>
          <w:tcPr>
            <w:tcW w:w="164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7"/>
              </w:rPr>
              <w:t>Product</w:t>
            </w:r>
          </w:p>
        </w:tc>
        <w:tc>
          <w:tcPr>
            <w:tcW w:w="1240" w:type="dxa"/>
            <w:vAlign w:val="bottom"/>
            <w:vMerge w:val="restart"/>
          </w:tcPr>
          <w:p>
            <w:pPr>
              <w:jc w:val="center"/>
              <w:ind w:left="246"/>
              <w:spacing w:after="0"/>
              <w:rPr>
                <w:sz w:val="20"/>
                <w:szCs w:val="20"/>
                <w:color w:val="auto"/>
              </w:rPr>
            </w:pPr>
            <w:r>
              <w:rPr>
                <w:rFonts w:ascii="Arial" w:cs="Arial" w:eastAsia="Arial" w:hAnsi="Arial"/>
                <w:sz w:val="19"/>
                <w:szCs w:val="19"/>
                <w:b w:val="1"/>
                <w:bCs w:val="1"/>
                <w:color w:val="FFFFFF"/>
                <w:w w:val="97"/>
              </w:rPr>
              <w:t>System</w:t>
            </w:r>
          </w:p>
        </w:tc>
        <w:tc>
          <w:tcPr>
            <w:tcW w:w="0" w:type="dxa"/>
            <w:vAlign w:val="bottom"/>
          </w:tcPr>
          <w:p>
            <w:pPr>
              <w:spacing w:after="0"/>
              <w:rPr>
                <w:sz w:val="1"/>
                <w:szCs w:val="1"/>
                <w:color w:val="auto"/>
              </w:rPr>
            </w:pPr>
          </w:p>
        </w:tc>
      </w:tr>
      <w:tr>
        <w:trPr>
          <w:trHeight w:val="153"/>
        </w:trPr>
        <w:tc>
          <w:tcPr>
            <w:tcW w:w="136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4"/>
              </w:rPr>
              <w:t xml:space="preserve">Expenses </w:t>
            </w:r>
            <w:r>
              <w:rPr>
                <w:rFonts w:ascii="Arial" w:cs="Arial" w:eastAsia="Arial" w:hAnsi="Arial"/>
                <w:sz w:val="25"/>
                <w:szCs w:val="25"/>
                <w:b w:val="1"/>
                <w:bCs w:val="1"/>
                <w:color w:val="FFFFFF"/>
                <w:w w:val="94"/>
                <w:vertAlign w:val="superscript"/>
              </w:rPr>
              <w:t>(3)</w:t>
            </w:r>
          </w:p>
        </w:tc>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9"/>
                <w:szCs w:val="19"/>
                <w:b w:val="1"/>
                <w:bCs w:val="1"/>
                <w:color w:val="FFFFFF"/>
                <w:w w:val="97"/>
              </w:rPr>
              <w:t>Offering</w:t>
            </w:r>
          </w:p>
        </w:tc>
        <w:tc>
          <w:tcPr>
            <w:tcW w:w="1240" w:type="dxa"/>
            <w:vAlign w:val="bottom"/>
            <w:vMerge w:val="restart"/>
          </w:tcPr>
          <w:p>
            <w:pPr>
              <w:jc w:val="center"/>
              <w:ind w:left="266"/>
              <w:spacing w:after="0"/>
              <w:rPr>
                <w:sz w:val="20"/>
                <w:szCs w:val="20"/>
                <w:color w:val="auto"/>
              </w:rPr>
            </w:pPr>
            <w:r>
              <w:rPr>
                <w:rFonts w:ascii="Arial" w:cs="Arial" w:eastAsia="Arial" w:hAnsi="Arial"/>
                <w:sz w:val="19"/>
                <w:szCs w:val="19"/>
                <w:b w:val="1"/>
                <w:bCs w:val="1"/>
                <w:color w:val="FFFFFF"/>
                <w:w w:val="97"/>
              </w:rPr>
              <w:t>Reliability</w:t>
            </w:r>
          </w:p>
        </w:tc>
        <w:tc>
          <w:tcPr>
            <w:tcW w:w="0" w:type="dxa"/>
            <w:vAlign w:val="bottom"/>
          </w:tcPr>
          <w:p>
            <w:pPr>
              <w:spacing w:after="0"/>
              <w:rPr>
                <w:sz w:val="1"/>
                <w:szCs w:val="1"/>
                <w:color w:val="auto"/>
              </w:rPr>
            </w:pPr>
          </w:p>
        </w:tc>
      </w:tr>
      <w:tr>
        <w:trPr>
          <w:trHeight w:val="70"/>
        </w:trPr>
        <w:tc>
          <w:tcPr>
            <w:tcW w:w="1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00" w:type="dxa"/>
        <w:tblCellMar>
          <w:top w:w="0" w:type="dxa"/>
          <w:left w:w="0" w:type="dxa"/>
          <w:bottom w:w="0" w:type="dxa"/>
          <w:right w:w="0" w:type="dxa"/>
        </w:tblCellMar>
      </w:tblPr>
      <w:tr>
        <w:trPr>
          <w:trHeight w:val="305"/>
        </w:trPr>
        <w:tc>
          <w:tcPr>
            <w:tcW w:w="1860" w:type="dxa"/>
            <w:vAlign w:val="bottom"/>
          </w:tcPr>
          <w:p>
            <w:pPr>
              <w:spacing w:after="0"/>
              <w:rPr>
                <w:sz w:val="20"/>
                <w:szCs w:val="20"/>
                <w:color w:val="auto"/>
              </w:rPr>
            </w:pPr>
            <w:r>
              <w:rPr>
                <w:rFonts w:ascii="Arial" w:cs="Arial" w:eastAsia="Arial" w:hAnsi="Arial"/>
                <w:sz w:val="25"/>
                <w:szCs w:val="25"/>
                <w:b w:val="1"/>
                <w:bCs w:val="1"/>
                <w:color w:val="CC0000"/>
              </w:rPr>
              <w:t>Active Power</w:t>
            </w:r>
          </w:p>
        </w:tc>
        <w:tc>
          <w:tcPr>
            <w:tcW w:w="1700" w:type="dxa"/>
            <w:vAlign w:val="bottom"/>
            <w:vMerge w:val="restart"/>
          </w:tcPr>
          <w:p>
            <w:pPr>
              <w:ind w:left="260"/>
              <w:spacing w:after="0"/>
              <w:rPr>
                <w:sz w:val="20"/>
                <w:szCs w:val="20"/>
                <w:color w:val="auto"/>
              </w:rPr>
            </w:pPr>
            <w:r>
              <w:rPr>
                <w:rFonts w:ascii="Arial" w:cs="Arial" w:eastAsia="Arial" w:hAnsi="Arial"/>
                <w:sz w:val="25"/>
                <w:szCs w:val="25"/>
                <w:b w:val="1"/>
                <w:bCs w:val="1"/>
                <w:color w:val="CC0000"/>
              </w:rPr>
              <w:t>Up to 98%</w:t>
            </w:r>
          </w:p>
        </w:tc>
        <w:tc>
          <w:tcPr>
            <w:tcW w:w="3300" w:type="dxa"/>
            <w:vAlign w:val="bottom"/>
            <w:vMerge w:val="restart"/>
          </w:tcPr>
          <w:p>
            <w:pPr>
              <w:ind w:left="240"/>
              <w:spacing w:after="0"/>
              <w:rPr>
                <w:sz w:val="20"/>
                <w:szCs w:val="20"/>
                <w:color w:val="auto"/>
              </w:rPr>
            </w:pPr>
            <w:r>
              <w:rPr>
                <w:rFonts w:ascii="Arial" w:cs="Arial" w:eastAsia="Arial" w:hAnsi="Arial"/>
                <w:sz w:val="25"/>
                <w:szCs w:val="25"/>
                <w:b w:val="1"/>
                <w:bCs w:val="1"/>
                <w:color w:val="CC0000"/>
              </w:rPr>
              <w:t>89 sq. ft.   $15 million</w:t>
            </w:r>
          </w:p>
        </w:tc>
        <w:tc>
          <w:tcPr>
            <w:tcW w:w="1280" w:type="dxa"/>
            <w:vAlign w:val="bottom"/>
            <w:vMerge w:val="restart"/>
          </w:tcPr>
          <w:p>
            <w:pPr>
              <w:ind w:left="320"/>
              <w:spacing w:after="0"/>
              <w:rPr>
                <w:sz w:val="20"/>
                <w:szCs w:val="20"/>
                <w:color w:val="auto"/>
              </w:rPr>
            </w:pPr>
            <w:r>
              <w:rPr>
                <w:rFonts w:ascii="Arial" w:cs="Arial" w:eastAsia="Arial" w:hAnsi="Arial"/>
                <w:sz w:val="25"/>
                <w:szCs w:val="25"/>
                <w:b w:val="1"/>
                <w:bCs w:val="1"/>
                <w:color w:val="CC0000"/>
              </w:rPr>
              <w:t>Yes</w:t>
            </w:r>
          </w:p>
        </w:tc>
        <w:tc>
          <w:tcPr>
            <w:tcW w:w="960" w:type="dxa"/>
            <w:vAlign w:val="bottom"/>
            <w:vMerge w:val="restart"/>
          </w:tcPr>
          <w:p>
            <w:pPr>
              <w:ind w:left="540"/>
              <w:spacing w:after="0"/>
              <w:rPr>
                <w:sz w:val="20"/>
                <w:szCs w:val="20"/>
                <w:color w:val="auto"/>
              </w:rPr>
            </w:pPr>
            <w:r>
              <w:rPr>
                <w:rFonts w:ascii="Arial" w:cs="Arial" w:eastAsia="Arial" w:hAnsi="Arial"/>
                <w:sz w:val="25"/>
                <w:szCs w:val="25"/>
                <w:b w:val="1"/>
                <w:bCs w:val="1"/>
                <w:color w:val="CC0000"/>
                <w:w w:val="89"/>
              </w:rPr>
              <w:t>Yes</w:t>
            </w:r>
          </w:p>
        </w:tc>
        <w:tc>
          <w:tcPr>
            <w:tcW w:w="0" w:type="dxa"/>
            <w:vAlign w:val="bottom"/>
          </w:tcPr>
          <w:p>
            <w:pPr>
              <w:spacing w:after="0"/>
              <w:rPr>
                <w:sz w:val="1"/>
                <w:szCs w:val="1"/>
                <w:color w:val="auto"/>
              </w:rPr>
            </w:pPr>
          </w:p>
        </w:tc>
      </w:tr>
      <w:tr>
        <w:trPr>
          <w:trHeight w:val="197"/>
        </w:trPr>
        <w:tc>
          <w:tcPr>
            <w:tcW w:w="1860" w:type="dxa"/>
            <w:vAlign w:val="bottom"/>
            <w:vMerge w:val="restart"/>
          </w:tcPr>
          <w:p>
            <w:pPr>
              <w:spacing w:after="0"/>
              <w:rPr>
                <w:sz w:val="20"/>
                <w:szCs w:val="20"/>
                <w:color w:val="auto"/>
              </w:rPr>
            </w:pPr>
            <w:r>
              <w:rPr>
                <w:rFonts w:ascii="Arial" w:cs="Arial" w:eastAsia="Arial" w:hAnsi="Arial"/>
                <w:sz w:val="25"/>
                <w:szCs w:val="25"/>
                <w:b w:val="1"/>
                <w:bCs w:val="1"/>
                <w:color w:val="CC0000"/>
              </w:rPr>
              <w:t>Flywheel UPS</w:t>
            </w:r>
          </w:p>
        </w:tc>
        <w:tc>
          <w:tcPr>
            <w:tcW w:w="1700" w:type="dxa"/>
            <w:vAlign w:val="bottom"/>
            <w:vMerge w:val="continue"/>
          </w:tcPr>
          <w:p>
            <w:pPr>
              <w:spacing w:after="0"/>
              <w:rPr>
                <w:sz w:val="17"/>
                <w:szCs w:val="17"/>
                <w:color w:val="auto"/>
              </w:rPr>
            </w:pPr>
          </w:p>
        </w:tc>
        <w:tc>
          <w:tcPr>
            <w:tcW w:w="3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305"/>
        </w:trPr>
        <w:tc>
          <w:tcPr>
            <w:tcW w:w="1880" w:type="dxa"/>
            <w:vAlign w:val="bottom"/>
          </w:tcPr>
          <w:p>
            <w:pPr>
              <w:spacing w:after="0"/>
              <w:rPr>
                <w:sz w:val="20"/>
                <w:szCs w:val="20"/>
                <w:color w:val="auto"/>
              </w:rPr>
            </w:pPr>
            <w:r>
              <w:rPr>
                <w:rFonts w:ascii="Arial" w:cs="Arial" w:eastAsia="Arial" w:hAnsi="Arial"/>
                <w:sz w:val="25"/>
                <w:szCs w:val="25"/>
                <w:b w:val="1"/>
                <w:bCs w:val="1"/>
                <w:color w:val="545454"/>
              </w:rPr>
              <w:t>Conventional</w:t>
            </w:r>
          </w:p>
        </w:tc>
        <w:tc>
          <w:tcPr>
            <w:tcW w:w="5000" w:type="dxa"/>
            <w:vAlign w:val="bottom"/>
            <w:vMerge w:val="restart"/>
          </w:tcPr>
          <w:p>
            <w:pPr>
              <w:ind w:left="240"/>
              <w:spacing w:after="0"/>
              <w:rPr>
                <w:sz w:val="20"/>
                <w:szCs w:val="20"/>
                <w:color w:val="auto"/>
              </w:rPr>
            </w:pPr>
            <w:r>
              <w:rPr>
                <w:rFonts w:ascii="Arial" w:cs="Arial" w:eastAsia="Arial" w:hAnsi="Arial"/>
                <w:sz w:val="25"/>
                <w:szCs w:val="25"/>
                <w:b w:val="1"/>
                <w:bCs w:val="1"/>
                <w:color w:val="545454"/>
              </w:rPr>
              <w:t>Up to 92%   190 sq. ft.   $32 million</w:t>
            </w:r>
          </w:p>
        </w:tc>
        <w:tc>
          <w:tcPr>
            <w:tcW w:w="1260" w:type="dxa"/>
            <w:vAlign w:val="bottom"/>
            <w:vMerge w:val="restart"/>
          </w:tcPr>
          <w:p>
            <w:pPr>
              <w:ind w:left="360"/>
              <w:spacing w:after="0"/>
              <w:rPr>
                <w:sz w:val="20"/>
                <w:szCs w:val="20"/>
                <w:color w:val="auto"/>
              </w:rPr>
            </w:pPr>
            <w:r>
              <w:rPr>
                <w:rFonts w:ascii="Arial" w:cs="Arial" w:eastAsia="Arial" w:hAnsi="Arial"/>
                <w:sz w:val="25"/>
                <w:szCs w:val="25"/>
                <w:b w:val="1"/>
                <w:bCs w:val="1"/>
                <w:color w:val="545454"/>
              </w:rPr>
              <w:t>No</w:t>
            </w:r>
          </w:p>
        </w:tc>
        <w:tc>
          <w:tcPr>
            <w:tcW w:w="920" w:type="dxa"/>
            <w:vAlign w:val="bottom"/>
            <w:vMerge w:val="restart"/>
          </w:tcPr>
          <w:p>
            <w:pPr>
              <w:ind w:left="600"/>
              <w:spacing w:after="0"/>
              <w:rPr>
                <w:sz w:val="20"/>
                <w:szCs w:val="20"/>
                <w:color w:val="auto"/>
              </w:rPr>
            </w:pPr>
            <w:r>
              <w:rPr>
                <w:rFonts w:ascii="Arial" w:cs="Arial" w:eastAsia="Arial" w:hAnsi="Arial"/>
                <w:sz w:val="25"/>
                <w:szCs w:val="25"/>
                <w:b w:val="1"/>
                <w:bCs w:val="1"/>
                <w:color w:val="545454"/>
                <w:w w:val="89"/>
              </w:rPr>
              <w:t>No</w:t>
            </w:r>
          </w:p>
        </w:tc>
        <w:tc>
          <w:tcPr>
            <w:tcW w:w="0" w:type="dxa"/>
            <w:vAlign w:val="bottom"/>
          </w:tcPr>
          <w:p>
            <w:pPr>
              <w:spacing w:after="0"/>
              <w:rPr>
                <w:sz w:val="1"/>
                <w:szCs w:val="1"/>
                <w:color w:val="auto"/>
              </w:rPr>
            </w:pPr>
          </w:p>
        </w:tc>
      </w:tr>
      <w:tr>
        <w:trPr>
          <w:trHeight w:val="197"/>
        </w:trPr>
        <w:tc>
          <w:tcPr>
            <w:tcW w:w="1880" w:type="dxa"/>
            <w:vAlign w:val="bottom"/>
            <w:vMerge w:val="restart"/>
          </w:tcPr>
          <w:p>
            <w:pPr>
              <w:spacing w:after="0"/>
              <w:rPr>
                <w:sz w:val="20"/>
                <w:szCs w:val="20"/>
                <w:color w:val="auto"/>
              </w:rPr>
            </w:pPr>
            <w:r>
              <w:rPr>
                <w:rFonts w:ascii="Arial" w:cs="Arial" w:eastAsia="Arial" w:hAnsi="Arial"/>
                <w:sz w:val="25"/>
                <w:szCs w:val="25"/>
                <w:b w:val="1"/>
                <w:bCs w:val="1"/>
                <w:color w:val="545454"/>
              </w:rPr>
              <w:t>UPS &amp; Battery</w:t>
            </w:r>
          </w:p>
        </w:tc>
        <w:tc>
          <w:tcPr>
            <w:tcW w:w="50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880" w:type="dxa"/>
            <w:vAlign w:val="bottom"/>
            <w:vMerge w:val="continue"/>
          </w:tcPr>
          <w:p>
            <w:pPr>
              <w:spacing w:after="0"/>
              <w:rPr>
                <w:sz w:val="13"/>
                <w:szCs w:val="13"/>
                <w:color w:val="auto"/>
              </w:rPr>
            </w:pPr>
          </w:p>
        </w:tc>
        <w:tc>
          <w:tcPr>
            <w:tcW w:w="5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0" w:type="dxa"/>
            <w:vAlign w:val="bottom"/>
            <w:vMerge w:val="restart"/>
          </w:tcPr>
          <w:p>
            <w:pPr>
              <w:jc w:val="right"/>
              <w:ind w:right="130"/>
              <w:spacing w:after="0"/>
              <w:rPr>
                <w:sz w:val="20"/>
                <w:szCs w:val="20"/>
                <w:color w:val="auto"/>
              </w:rPr>
            </w:pPr>
            <w:r>
              <w:rPr>
                <w:rFonts w:ascii="Arial" w:cs="Arial" w:eastAsia="Arial" w:hAnsi="Arial"/>
                <w:sz w:val="14"/>
                <w:szCs w:val="14"/>
                <w:color w:val="E71B21"/>
                <w:w w:val="76"/>
              </w:rPr>
              <w:t>16</w:t>
            </w:r>
          </w:p>
        </w:tc>
        <w:tc>
          <w:tcPr>
            <w:tcW w:w="360" w:type="dxa"/>
            <w:vAlign w:val="bottom"/>
          </w:tcPr>
          <w:p>
            <w:pPr>
              <w:jc w:val="right"/>
              <w:spacing w:after="0"/>
              <w:rPr>
                <w:sz w:val="20"/>
                <w:szCs w:val="20"/>
                <w:color w:val="auto"/>
              </w:rPr>
            </w:pPr>
            <w:r>
              <w:rPr>
                <w:rFonts w:ascii="Arial" w:cs="Arial" w:eastAsia="Arial" w:hAnsi="Arial"/>
                <w:sz w:val="13"/>
                <w:szCs w:val="13"/>
                <w:i w:val="1"/>
                <w:iCs w:val="1"/>
                <w:color w:val="5F5F5F"/>
              </w:rPr>
              <w:t>(1)</w:t>
            </w:r>
          </w:p>
        </w:tc>
        <w:tc>
          <w:tcPr>
            <w:tcW w:w="3260" w:type="dxa"/>
            <w:vAlign w:val="bottom"/>
          </w:tcPr>
          <w:p>
            <w:pPr>
              <w:ind w:left="40"/>
              <w:spacing w:after="0"/>
              <w:rPr>
                <w:sz w:val="20"/>
                <w:szCs w:val="20"/>
                <w:color w:val="auto"/>
              </w:rPr>
            </w:pPr>
            <w:r>
              <w:rPr>
                <w:rFonts w:ascii="Arial" w:cs="Arial" w:eastAsia="Arial" w:hAnsi="Arial"/>
                <w:sz w:val="13"/>
                <w:szCs w:val="13"/>
                <w:i w:val="1"/>
                <w:iCs w:val="1"/>
                <w:color w:val="5F5F5F"/>
              </w:rPr>
              <w:t>At 75% load or greater</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i w:val="1"/>
                <w:iCs w:val="1"/>
                <w:color w:val="5F5F5F"/>
              </w:rPr>
              <w:t>(2)</w:t>
            </w:r>
          </w:p>
        </w:tc>
        <w:tc>
          <w:tcPr>
            <w:tcW w:w="3260" w:type="dxa"/>
            <w:vAlign w:val="bottom"/>
          </w:tcPr>
          <w:p>
            <w:pPr>
              <w:ind w:left="40"/>
              <w:spacing w:after="0"/>
              <w:rPr>
                <w:sz w:val="20"/>
                <w:szCs w:val="20"/>
                <w:color w:val="auto"/>
              </w:rPr>
            </w:pPr>
            <w:r>
              <w:rPr>
                <w:rFonts w:ascii="Arial" w:cs="Arial" w:eastAsia="Arial" w:hAnsi="Arial"/>
                <w:sz w:val="13"/>
                <w:szCs w:val="13"/>
                <w:i w:val="1"/>
                <w:iCs w:val="1"/>
                <w:color w:val="5F5F5F"/>
              </w:rPr>
              <w:t>Based on 600 kVA UPS</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i w:val="1"/>
                <w:iCs w:val="1"/>
                <w:color w:val="5F5F5F"/>
              </w:rPr>
              <w:t>(3)</w:t>
            </w:r>
          </w:p>
        </w:tc>
        <w:tc>
          <w:tcPr>
            <w:tcW w:w="3260" w:type="dxa"/>
            <w:vAlign w:val="bottom"/>
          </w:tcPr>
          <w:p>
            <w:pPr>
              <w:ind w:left="40"/>
              <w:spacing w:after="0"/>
              <w:rPr>
                <w:sz w:val="20"/>
                <w:szCs w:val="20"/>
                <w:color w:val="auto"/>
              </w:rPr>
            </w:pPr>
            <w:r>
              <w:rPr>
                <w:rFonts w:ascii="Arial" w:cs="Arial" w:eastAsia="Arial" w:hAnsi="Arial"/>
                <w:sz w:val="13"/>
                <w:szCs w:val="13"/>
                <w:i w:val="1"/>
                <w:iCs w:val="1"/>
                <w:color w:val="5F5F5F"/>
              </w:rPr>
              <w:t>Based on 10 MW deployment over 20-Year Life</w:t>
            </w:r>
          </w:p>
        </w:tc>
        <w:tc>
          <w:tcPr>
            <w:tcW w:w="2520" w:type="dxa"/>
            <w:vAlign w:val="bottom"/>
            <w:vMerge w:val="restart"/>
          </w:tcPr>
          <w:p>
            <w:pPr>
              <w:ind w:left="500"/>
              <w:spacing w:after="0"/>
              <w:rPr>
                <w:sz w:val="20"/>
                <w:szCs w:val="20"/>
                <w:color w:val="auto"/>
              </w:rPr>
            </w:pPr>
            <w:r>
              <w:rPr>
                <w:rFonts w:ascii="Arial" w:cs="Arial" w:eastAsia="Arial" w:hAnsi="Arial"/>
                <w:sz w:val="13"/>
                <w:szCs w:val="13"/>
                <w:color w:val="808080"/>
                <w:w w:val="97"/>
              </w:rPr>
              <w:t>Copyright © 2007 Active Power, Inc</w:t>
            </w:r>
          </w:p>
        </w:tc>
        <w:tc>
          <w:tcPr>
            <w:tcW w:w="0" w:type="dxa"/>
            <w:vAlign w:val="bottom"/>
          </w:tcPr>
          <w:p>
            <w:pPr>
              <w:spacing w:after="0"/>
              <w:rPr>
                <w:sz w:val="1"/>
                <w:szCs w:val="1"/>
                <w:color w:val="auto"/>
              </w:rPr>
            </w:pPr>
          </w:p>
        </w:tc>
      </w:tr>
      <w:tr>
        <w:trPr>
          <w:trHeight w:val="59"/>
        </w:trPr>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6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687" w:right="1440" w:bottom="1440" w:gutter="0" w:footer="0" w:header="0"/>
        </w:sectPr>
      </w:pPr>
    </w:p>
    <w:bookmarkStart w:id="99" w:name="page100"/>
    <w:bookmarkEnd w:id="99"/>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Distribution Overview</w:t>
      </w:r>
    </w:p>
    <w:p>
      <w:pPr>
        <w:spacing w:after="0" w:line="379" w:lineRule="exact"/>
        <w:rPr>
          <w:sz w:val="20"/>
          <w:szCs w:val="20"/>
          <w:color w:val="auto"/>
        </w:rPr>
      </w:pPr>
    </w:p>
    <w:p>
      <w:pPr>
        <w:jc w:val="right"/>
        <w:ind w:right="620"/>
        <w:spacing w:after="0"/>
        <w:tabs>
          <w:tab w:leader="none" w:pos="3740" w:val="left"/>
        </w:tabs>
        <w:rPr>
          <w:sz w:val="20"/>
          <w:szCs w:val="20"/>
          <w:color w:val="auto"/>
        </w:rPr>
      </w:pPr>
      <w:r>
        <w:rPr>
          <w:rFonts w:ascii="Arial" w:cs="Arial" w:eastAsia="Arial" w:hAnsi="Arial"/>
          <w:sz w:val="25"/>
          <w:szCs w:val="25"/>
          <w:b w:val="1"/>
          <w:bCs w:val="1"/>
          <w:color w:val="FFFFFF"/>
        </w:rPr>
        <w:t>Direct v. OEM Sales</w:t>
      </w:r>
      <w:r>
        <w:rPr>
          <w:sz w:val="20"/>
          <w:szCs w:val="20"/>
          <w:color w:val="auto"/>
        </w:rPr>
        <w:tab/>
      </w:r>
      <w:r>
        <w:rPr>
          <w:rFonts w:ascii="Arial" w:cs="Arial" w:eastAsia="Arial" w:hAnsi="Arial"/>
          <w:sz w:val="24"/>
          <w:szCs w:val="24"/>
          <w:b w:val="1"/>
          <w:bCs w:val="1"/>
          <w:color w:val="FFFFFF"/>
        </w:rPr>
        <w:t>Sales and Marketing Investment</w:t>
      </w:r>
    </w:p>
    <w:p>
      <w:pPr>
        <w:sectPr>
          <w:pgSz w:w="11900" w:h="16838" w:orient="portrait"/>
          <w:cols w:equalWidth="0" w:num="1">
            <w:col w:w="10540"/>
          </w:cols>
          <w:pgMar w:left="360" w:top="687" w:right="999" w:bottom="1440" w:gutter="0" w:footer="0" w:header="0"/>
        </w:sectPr>
      </w:pPr>
    </w:p>
    <w:p>
      <w:pPr>
        <w:spacing w:after="0" w:line="326" w:lineRule="exact"/>
        <w:rPr>
          <w:sz w:val="20"/>
          <w:szCs w:val="20"/>
          <w:color w:val="auto"/>
        </w:rPr>
      </w:pPr>
    </w:p>
    <w:p>
      <w:pPr>
        <w:ind w:left="1500"/>
        <w:spacing w:after="0"/>
        <w:tabs>
          <w:tab w:leader="none" w:pos="3920" w:val="left"/>
        </w:tabs>
        <w:rPr>
          <w:sz w:val="20"/>
          <w:szCs w:val="20"/>
          <w:color w:val="auto"/>
        </w:rPr>
      </w:pPr>
      <w:r>
        <w:rPr>
          <w:rFonts w:ascii="Arial" w:cs="Arial" w:eastAsia="Arial" w:hAnsi="Arial"/>
          <w:sz w:val="18"/>
          <w:szCs w:val="18"/>
          <w:b w:val="1"/>
          <w:bCs w:val="1"/>
          <w:color w:val="5F5F5F"/>
        </w:rPr>
        <w:t>2002</w:t>
      </w:r>
      <w:r>
        <w:rPr>
          <w:sz w:val="20"/>
          <w:szCs w:val="20"/>
          <w:color w:val="auto"/>
        </w:rPr>
        <w:tab/>
      </w:r>
      <w:r>
        <w:rPr>
          <w:rFonts w:ascii="Arial" w:cs="Arial" w:eastAsia="Arial" w:hAnsi="Arial"/>
          <w:sz w:val="18"/>
          <w:szCs w:val="18"/>
          <w:b w:val="1"/>
          <w:bCs w:val="1"/>
          <w:color w:val="5F5F5F"/>
        </w:rPr>
        <w:t>LTM</w:t>
      </w:r>
    </w:p>
    <w:p>
      <w:pPr>
        <w:spacing w:after="0" w:line="115" w:lineRule="exact"/>
        <w:rPr>
          <w:sz w:val="20"/>
          <w:szCs w:val="20"/>
          <w:color w:val="auto"/>
        </w:rPr>
      </w:pPr>
    </w:p>
    <w:p>
      <w:pPr>
        <w:ind w:left="1880"/>
        <w:spacing w:after="0"/>
        <w:rPr>
          <w:sz w:val="20"/>
          <w:szCs w:val="20"/>
          <w:color w:val="auto"/>
        </w:rPr>
      </w:pPr>
      <w:r>
        <w:rPr>
          <w:rFonts w:ascii="Arial" w:cs="Arial" w:eastAsia="Arial" w:hAnsi="Arial"/>
          <w:sz w:val="7"/>
          <w:szCs w:val="7"/>
          <w:b w:val="1"/>
          <w:bCs w:val="1"/>
          <w:color w:val="auto"/>
        </w:rPr>
        <w:t>5%</w:t>
      </w:r>
    </w:p>
    <w:p>
      <w:pPr>
        <w:spacing w:after="0" w:line="308" w:lineRule="exact"/>
        <w:rPr>
          <w:sz w:val="20"/>
          <w:szCs w:val="20"/>
          <w:color w:val="auto"/>
        </w:rPr>
      </w:pPr>
    </w:p>
    <w:p>
      <w:pPr>
        <w:ind w:left="3220"/>
        <w:spacing w:after="0"/>
        <w:rPr>
          <w:sz w:val="20"/>
          <w:szCs w:val="20"/>
          <w:color w:val="auto"/>
        </w:rPr>
      </w:pPr>
      <w:r>
        <w:rPr>
          <w:rFonts w:ascii="Arial" w:cs="Arial" w:eastAsia="Arial" w:hAnsi="Arial"/>
          <w:sz w:val="8"/>
          <w:szCs w:val="8"/>
          <w:b w:val="1"/>
          <w:bCs w:val="1"/>
          <w:color w:val="auto"/>
        </w:rPr>
        <w:t>32%</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70%</w:t>
      </w:r>
    </w:p>
    <w:p>
      <w:pPr>
        <w:spacing w:after="0" w:line="108" w:lineRule="exact"/>
        <w:rPr>
          <w:sz w:val="20"/>
          <w:szCs w:val="20"/>
          <w:color w:val="auto"/>
        </w:rPr>
      </w:pPr>
    </w:p>
    <w:p>
      <w:pPr>
        <w:ind w:left="800"/>
        <w:spacing w:after="0"/>
        <w:tabs>
          <w:tab w:leader="none" w:pos="1760" w:val="left"/>
        </w:tabs>
        <w:rPr>
          <w:sz w:val="20"/>
          <w:szCs w:val="20"/>
          <w:color w:val="auto"/>
        </w:rPr>
      </w:pPr>
      <w:r>
        <w:rPr>
          <w:rFonts w:ascii="Arial" w:cs="Arial" w:eastAsia="Arial" w:hAnsi="Arial"/>
          <w:sz w:val="8"/>
          <w:szCs w:val="8"/>
          <w:b w:val="1"/>
          <w:bCs w:val="1"/>
          <w:color w:val="auto"/>
        </w:rPr>
        <w:t>63%</w:t>
      </w:r>
      <w:r>
        <w:rPr>
          <w:sz w:val="20"/>
          <w:szCs w:val="20"/>
          <w:color w:val="auto"/>
        </w:rPr>
        <w:tab/>
      </w:r>
      <w:r>
        <w:rPr>
          <w:rFonts w:ascii="Arial" w:cs="Arial" w:eastAsia="Arial" w:hAnsi="Arial"/>
          <w:sz w:val="16"/>
          <w:szCs w:val="16"/>
          <w:b w:val="1"/>
          <w:bCs w:val="1"/>
          <w:color w:val="auto"/>
          <w:vertAlign w:val="superscript"/>
        </w:rPr>
        <w:t>64%</w:t>
      </w:r>
    </w:p>
    <w:p>
      <w:pPr>
        <w:spacing w:after="0" w:line="8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60%</w:t>
      </w:r>
    </w:p>
    <w:p>
      <w:pPr>
        <w:spacing w:after="0" w:line="36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50%</w:t>
      </w:r>
    </w:p>
    <w:p>
      <w:pPr>
        <w:spacing w:after="0" w:line="114" w:lineRule="exact"/>
        <w:rPr>
          <w:sz w:val="20"/>
          <w:szCs w:val="20"/>
          <w:color w:val="auto"/>
        </w:rPr>
      </w:pPr>
    </w:p>
    <w:p>
      <w:pPr>
        <w:ind w:left="1460"/>
        <w:spacing w:after="0"/>
        <w:tabs>
          <w:tab w:leader="none" w:pos="2400" w:val="left"/>
        </w:tabs>
        <w:rPr>
          <w:sz w:val="20"/>
          <w:szCs w:val="20"/>
          <w:color w:val="auto"/>
        </w:rPr>
      </w:pPr>
      <w:r>
        <w:rPr>
          <w:rFonts w:ascii="Arial" w:cs="Arial" w:eastAsia="Arial" w:hAnsi="Arial"/>
          <w:sz w:val="16"/>
          <w:szCs w:val="16"/>
          <w:b w:val="1"/>
          <w:bCs w:val="1"/>
          <w:color w:val="auto"/>
          <w:vertAlign w:val="subscript"/>
        </w:rPr>
        <w:t>40%</w:t>
      </w:r>
      <w:r>
        <w:rPr>
          <w:sz w:val="20"/>
          <w:szCs w:val="20"/>
          <w:color w:val="auto"/>
        </w:rPr>
        <w:tab/>
      </w:r>
      <w:r>
        <w:rPr>
          <w:rFonts w:ascii="Arial" w:cs="Arial" w:eastAsia="Arial" w:hAnsi="Arial"/>
          <w:sz w:val="8"/>
          <w:szCs w:val="8"/>
          <w:b w:val="1"/>
          <w:bCs w:val="1"/>
          <w:color w:val="auto"/>
        </w:rPr>
        <w:t>41%</w:t>
      </w:r>
    </w:p>
    <w:p>
      <w:pPr>
        <w:spacing w:after="0" w:line="56"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40%</w:t>
      </w:r>
    </w:p>
    <w:p>
      <w:pPr>
        <w:ind w:left="480"/>
        <w:spacing w:after="0"/>
        <w:rPr>
          <w:sz w:val="20"/>
          <w:szCs w:val="20"/>
          <w:color w:val="auto"/>
        </w:rPr>
      </w:pPr>
      <w:r>
        <w:rPr>
          <w:rFonts w:ascii="Arial" w:cs="Arial" w:eastAsia="Arial" w:hAnsi="Arial"/>
          <w:sz w:val="8"/>
          <w:szCs w:val="8"/>
          <w:b w:val="1"/>
          <w:bCs w:val="1"/>
          <w:color w:val="auto"/>
        </w:rPr>
        <w:t>37%</w:t>
      </w:r>
    </w:p>
    <w:p>
      <w:pPr>
        <w:spacing w:after="0" w:line="2" w:lineRule="exact"/>
        <w:rPr>
          <w:sz w:val="20"/>
          <w:szCs w:val="20"/>
          <w:color w:val="auto"/>
        </w:rPr>
      </w:pPr>
    </w:p>
    <w:p>
      <w:pPr>
        <w:jc w:val="right"/>
        <w:ind w:right="1040"/>
        <w:spacing w:after="0"/>
        <w:rPr>
          <w:sz w:val="20"/>
          <w:szCs w:val="20"/>
          <w:color w:val="auto"/>
        </w:rPr>
      </w:pPr>
      <w:r>
        <w:rPr>
          <w:rFonts w:ascii="Arial" w:cs="Arial" w:eastAsia="Arial" w:hAnsi="Arial"/>
          <w:sz w:val="8"/>
          <w:szCs w:val="8"/>
          <w:b w:val="1"/>
          <w:bCs w:val="1"/>
          <w:color w:val="auto"/>
        </w:rPr>
        <w:t>35%</w:t>
      </w:r>
    </w:p>
    <w:p>
      <w:pPr>
        <w:spacing w:after="0" w:line="62" w:lineRule="exact"/>
        <w:rPr>
          <w:sz w:val="20"/>
          <w:szCs w:val="20"/>
          <w:color w:val="auto"/>
        </w:rPr>
      </w:pPr>
    </w:p>
    <w:p>
      <w:pPr>
        <w:sectPr>
          <w:pgSz w:w="11900" w:h="16838" w:orient="portrait"/>
          <w:cols w:equalWidth="0" w:num="2">
            <w:col w:w="5220" w:space="720"/>
            <w:col w:w="4600"/>
          </w:cols>
          <w:pgMar w:left="360" w:top="687" w:right="9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60" w:type="dxa"/>
            <w:vAlign w:val="bottom"/>
          </w:tcPr>
          <w:p>
            <w:pPr>
              <w:jc w:val="right"/>
              <w:ind w:right="1813"/>
              <w:spacing w:after="0"/>
              <w:rPr>
                <w:sz w:val="20"/>
                <w:szCs w:val="20"/>
                <w:color w:val="auto"/>
              </w:rPr>
            </w:pPr>
            <w:r>
              <w:rPr>
                <w:rFonts w:ascii="Arial" w:cs="Arial" w:eastAsia="Arial" w:hAnsi="Arial"/>
                <w:sz w:val="8"/>
                <w:szCs w:val="8"/>
                <w:b w:val="1"/>
                <w:bCs w:val="1"/>
                <w:color w:val="auto"/>
              </w:rPr>
              <w:t>68%</w:t>
            </w:r>
          </w:p>
        </w:tc>
        <w:tc>
          <w:tcPr>
            <w:tcW w:w="1360" w:type="dxa"/>
            <w:vAlign w:val="bottom"/>
          </w:tcPr>
          <w:p>
            <w:pPr>
              <w:spacing w:after="0"/>
              <w:rPr>
                <w:sz w:val="11"/>
                <w:szCs w:val="11"/>
                <w:color w:val="auto"/>
              </w:rPr>
            </w:pPr>
          </w:p>
        </w:tc>
        <w:tc>
          <w:tcPr>
            <w:tcW w:w="960" w:type="dxa"/>
            <w:vAlign w:val="bottom"/>
          </w:tcPr>
          <w:p>
            <w:pPr>
              <w:jc w:val="right"/>
              <w:ind w:right="295"/>
              <w:spacing w:after="0"/>
              <w:rPr>
                <w:sz w:val="20"/>
                <w:szCs w:val="20"/>
                <w:color w:val="auto"/>
              </w:rPr>
            </w:pPr>
            <w:r>
              <w:rPr>
                <w:rFonts w:ascii="Arial" w:cs="Arial" w:eastAsia="Arial" w:hAnsi="Arial"/>
                <w:sz w:val="8"/>
                <w:szCs w:val="8"/>
                <w:b w:val="1"/>
                <w:bCs w:val="1"/>
                <w:color w:val="auto"/>
              </w:rPr>
              <w:t>31%</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60" w:type="dxa"/>
            <w:vAlign w:val="bottom"/>
          </w:tcPr>
          <w:p>
            <w:pPr>
              <w:jc w:val="right"/>
              <w:ind w:right="713"/>
              <w:spacing w:after="0"/>
              <w:rPr>
                <w:sz w:val="20"/>
                <w:szCs w:val="20"/>
                <w:color w:val="auto"/>
              </w:rPr>
            </w:pPr>
            <w:r>
              <w:rPr>
                <w:rFonts w:ascii="Arial" w:cs="Arial" w:eastAsia="Arial" w:hAnsi="Arial"/>
                <w:sz w:val="8"/>
                <w:szCs w:val="8"/>
                <w:b w:val="1"/>
                <w:bCs w:val="1"/>
                <w:color w:val="auto"/>
              </w:rPr>
              <w:t>30%</w:t>
            </w: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340" w:type="dxa"/>
            <w:vAlign w:val="bottom"/>
          </w:tcPr>
          <w:p>
            <w:pPr>
              <w:spacing w:after="0"/>
              <w:rPr>
                <w:sz w:val="24"/>
                <w:szCs w:val="24"/>
                <w:color w:val="auto"/>
              </w:rPr>
            </w:pPr>
          </w:p>
        </w:tc>
        <w:tc>
          <w:tcPr>
            <w:tcW w:w="1600" w:type="dxa"/>
            <w:vAlign w:val="bottom"/>
          </w:tcPr>
          <w:p>
            <w:pPr>
              <w:jc w:val="right"/>
              <w:ind w:right="252"/>
              <w:spacing w:after="0"/>
              <w:rPr>
                <w:sz w:val="20"/>
                <w:szCs w:val="20"/>
                <w:color w:val="auto"/>
              </w:rPr>
            </w:pPr>
            <w:r>
              <w:rPr>
                <w:rFonts w:ascii="Arial" w:cs="Arial" w:eastAsia="Arial" w:hAnsi="Arial"/>
                <w:sz w:val="7"/>
                <w:szCs w:val="7"/>
                <w:b w:val="1"/>
                <w:bCs w:val="1"/>
                <w:color w:val="auto"/>
              </w:rPr>
              <w:t>95%</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jc w:val="right"/>
              <w:ind w:right="666"/>
              <w:spacing w:after="0"/>
              <w:rPr>
                <w:sz w:val="20"/>
                <w:szCs w:val="20"/>
                <w:color w:val="auto"/>
              </w:rPr>
            </w:pPr>
            <w:r>
              <w:rPr>
                <w:rFonts w:ascii="Arial" w:cs="Arial" w:eastAsia="Arial" w:hAnsi="Arial"/>
                <w:sz w:val="8"/>
                <w:szCs w:val="8"/>
                <w:b w:val="1"/>
                <w:bCs w:val="1"/>
                <w:color w:val="auto"/>
              </w:rPr>
              <w:t>22%</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60" w:type="dxa"/>
            <w:vAlign w:val="bottom"/>
          </w:tcPr>
          <w:p>
            <w:pPr>
              <w:jc w:val="right"/>
              <w:ind w:right="713"/>
              <w:spacing w:after="0"/>
              <w:rPr>
                <w:sz w:val="20"/>
                <w:szCs w:val="20"/>
                <w:color w:val="auto"/>
              </w:rPr>
            </w:pPr>
            <w:r>
              <w:rPr>
                <w:rFonts w:ascii="Arial" w:cs="Arial" w:eastAsia="Arial" w:hAnsi="Arial"/>
                <w:sz w:val="8"/>
                <w:szCs w:val="8"/>
                <w:b w:val="1"/>
                <w:bCs w:val="1"/>
                <w:color w:val="auto"/>
              </w:rPr>
              <w:t>20%</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1"/>
                <w:szCs w:val="11"/>
                <w:b w:val="1"/>
                <w:bCs w:val="1"/>
                <w:color w:val="auto"/>
              </w:rPr>
              <w:t>OEM</w:t>
            </w:r>
          </w:p>
        </w:tc>
        <w:tc>
          <w:tcPr>
            <w:tcW w:w="1060" w:type="dxa"/>
            <w:vAlign w:val="bottom"/>
            <w:vMerge w:val="restart"/>
          </w:tcPr>
          <w:p>
            <w:pPr>
              <w:jc w:val="right"/>
              <w:ind w:right="255"/>
              <w:spacing w:after="0"/>
              <w:rPr>
                <w:sz w:val="20"/>
                <w:szCs w:val="20"/>
                <w:color w:val="auto"/>
              </w:rPr>
            </w:pPr>
            <w:r>
              <w:rPr>
                <w:rFonts w:ascii="Arial" w:cs="Arial" w:eastAsia="Arial" w:hAnsi="Arial"/>
                <w:sz w:val="11"/>
                <w:szCs w:val="11"/>
                <w:b w:val="1"/>
                <w:bCs w:val="1"/>
                <w:color w:val="auto"/>
              </w:rPr>
              <w:t>Direct</w:t>
            </w:r>
          </w:p>
        </w:tc>
        <w:tc>
          <w:tcPr>
            <w:tcW w:w="2860" w:type="dxa"/>
            <w:vAlign w:val="bottom"/>
          </w:tcPr>
          <w:p>
            <w:pPr>
              <w:jc w:val="right"/>
              <w:ind w:right="73"/>
              <w:spacing w:after="0"/>
              <w:rPr>
                <w:sz w:val="20"/>
                <w:szCs w:val="20"/>
                <w:color w:val="auto"/>
              </w:rPr>
            </w:pPr>
            <w:r>
              <w:rPr>
                <w:rFonts w:ascii="Arial" w:cs="Arial" w:eastAsia="Arial" w:hAnsi="Arial"/>
                <w:sz w:val="8"/>
                <w:szCs w:val="8"/>
                <w:b w:val="1"/>
                <w:bCs w:val="1"/>
                <w:color w:val="auto"/>
              </w:rPr>
              <w:t>2004</w:t>
            </w:r>
          </w:p>
        </w:tc>
        <w:tc>
          <w:tcPr>
            <w:tcW w:w="1360" w:type="dxa"/>
            <w:vAlign w:val="bottom"/>
          </w:tcPr>
          <w:p>
            <w:pPr>
              <w:jc w:val="right"/>
              <w:ind w:right="458"/>
              <w:spacing w:after="0"/>
              <w:rPr>
                <w:sz w:val="20"/>
                <w:szCs w:val="20"/>
                <w:color w:val="auto"/>
              </w:rPr>
            </w:pPr>
            <w:r>
              <w:rPr>
                <w:rFonts w:ascii="Arial" w:cs="Arial" w:eastAsia="Arial" w:hAnsi="Arial"/>
                <w:sz w:val="8"/>
                <w:szCs w:val="8"/>
                <w:b w:val="1"/>
                <w:bCs w:val="1"/>
                <w:color w:val="auto"/>
              </w:rPr>
              <w:t>2005</w:t>
            </w:r>
          </w:p>
        </w:tc>
        <w:tc>
          <w:tcPr>
            <w:tcW w:w="960" w:type="dxa"/>
            <w:vAlign w:val="bottom"/>
          </w:tcPr>
          <w:p>
            <w:pPr>
              <w:jc w:val="right"/>
              <w:ind w:right="455"/>
              <w:spacing w:after="0"/>
              <w:rPr>
                <w:sz w:val="20"/>
                <w:szCs w:val="20"/>
                <w:color w:val="auto"/>
              </w:rPr>
            </w:pPr>
            <w:r>
              <w:rPr>
                <w:rFonts w:ascii="Arial" w:cs="Arial" w:eastAsia="Arial" w:hAnsi="Arial"/>
                <w:sz w:val="8"/>
                <w:szCs w:val="8"/>
                <w:b w:val="1"/>
                <w:bCs w:val="1"/>
                <w:color w:val="auto"/>
              </w:rPr>
              <w:t>2006</w:t>
            </w:r>
          </w:p>
        </w:tc>
        <w:tc>
          <w:tcPr>
            <w:tcW w:w="1340" w:type="dxa"/>
            <w:vAlign w:val="bottom"/>
          </w:tcPr>
          <w:p>
            <w:pPr>
              <w:jc w:val="right"/>
              <w:ind w:right="826"/>
              <w:spacing w:after="0"/>
              <w:rPr>
                <w:sz w:val="20"/>
                <w:szCs w:val="20"/>
                <w:color w:val="auto"/>
              </w:rPr>
            </w:pPr>
            <w:r>
              <w:rPr>
                <w:rFonts w:ascii="Arial" w:cs="Arial" w:eastAsia="Arial" w:hAnsi="Arial"/>
                <w:sz w:val="8"/>
                <w:szCs w:val="8"/>
                <w:b w:val="1"/>
                <w:bCs w:val="1"/>
                <w:color w:val="auto"/>
              </w:rPr>
              <w:t>LTM</w:t>
            </w: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20" w:type="dxa"/>
            <w:vAlign w:val="bottom"/>
            <w:gridSpan w:val="2"/>
          </w:tcPr>
          <w:p>
            <w:pPr>
              <w:jc w:val="right"/>
              <w:ind w:right="158"/>
              <w:spacing w:after="0"/>
              <w:rPr>
                <w:sz w:val="20"/>
                <w:szCs w:val="20"/>
                <w:color w:val="auto"/>
              </w:rPr>
            </w:pPr>
            <w:r>
              <w:rPr>
                <w:rFonts w:ascii="Arial" w:cs="Arial" w:eastAsia="Arial" w:hAnsi="Arial"/>
                <w:sz w:val="8"/>
                <w:szCs w:val="8"/>
                <w:b w:val="1"/>
                <w:bCs w:val="1"/>
                <w:color w:val="auto"/>
              </w:rPr>
              <w:t>Sales&amp;Marketing (% of Revenue)</w:t>
            </w:r>
          </w:p>
        </w:tc>
        <w:tc>
          <w:tcPr>
            <w:tcW w:w="2300" w:type="dxa"/>
            <w:vAlign w:val="bottom"/>
            <w:gridSpan w:val="2"/>
          </w:tcPr>
          <w:p>
            <w:pPr>
              <w:ind w:left="540"/>
              <w:spacing w:after="0"/>
              <w:rPr>
                <w:sz w:val="20"/>
                <w:szCs w:val="20"/>
                <w:color w:val="auto"/>
              </w:rPr>
            </w:pPr>
            <w:r>
              <w:rPr>
                <w:rFonts w:ascii="Arial" w:cs="Arial" w:eastAsia="Arial" w:hAnsi="Arial"/>
                <w:sz w:val="8"/>
                <w:szCs w:val="8"/>
                <w:b w:val="1"/>
                <w:bCs w:val="1"/>
                <w:color w:val="auto"/>
              </w:rPr>
              <w:t>R&amp;D (% of Revenue)</w:t>
            </w:r>
          </w:p>
        </w:tc>
        <w:tc>
          <w:tcPr>
            <w:tcW w:w="0" w:type="dxa"/>
            <w:vAlign w:val="bottom"/>
          </w:tcPr>
          <w:p>
            <w:pPr>
              <w:spacing w:after="0"/>
              <w:rPr>
                <w:sz w:val="1"/>
                <w:szCs w:val="1"/>
                <w:color w:val="auto"/>
              </w:rPr>
            </w:pPr>
          </w:p>
        </w:tc>
      </w:tr>
      <w:tr>
        <w:trPr>
          <w:trHeight w:val="579"/>
        </w:trPr>
        <w:tc>
          <w:tcPr>
            <w:tcW w:w="340" w:type="dxa"/>
            <w:vAlign w:val="bottom"/>
          </w:tcPr>
          <w:p>
            <w:pPr>
              <w:spacing w:after="0"/>
              <w:rPr>
                <w:sz w:val="24"/>
                <w:szCs w:val="24"/>
                <w:color w:val="auto"/>
              </w:rPr>
            </w:pPr>
          </w:p>
        </w:tc>
        <w:tc>
          <w:tcPr>
            <w:tcW w:w="6540" w:type="dxa"/>
            <w:vAlign w:val="bottom"/>
            <w:gridSpan w:val="4"/>
          </w:tcPr>
          <w:p>
            <w:pPr>
              <w:jc w:val="right"/>
              <w:ind w:right="2313"/>
              <w:spacing w:after="0"/>
              <w:rPr>
                <w:sz w:val="20"/>
                <w:szCs w:val="20"/>
                <w:color w:val="auto"/>
              </w:rPr>
            </w:pPr>
            <w:r>
              <w:rPr>
                <w:rFonts w:ascii="Arial" w:cs="Arial" w:eastAsia="Arial" w:hAnsi="Arial"/>
                <w:sz w:val="25"/>
                <w:szCs w:val="25"/>
                <w:b w:val="1"/>
                <w:bCs w:val="1"/>
                <w:color w:val="FFFFFF"/>
              </w:rPr>
              <w:t>Direct Sales as % of AP Sales</w:t>
            </w:r>
          </w:p>
        </w:tc>
        <w:tc>
          <w:tcPr>
            <w:tcW w:w="2320" w:type="dxa"/>
            <w:vAlign w:val="bottom"/>
            <w:gridSpan w:val="2"/>
          </w:tcPr>
          <w:p>
            <w:pPr>
              <w:ind w:left="140"/>
              <w:spacing w:after="0"/>
              <w:rPr>
                <w:sz w:val="20"/>
                <w:szCs w:val="20"/>
                <w:color w:val="auto"/>
              </w:rPr>
            </w:pPr>
            <w:r>
              <w:rPr>
                <w:rFonts w:ascii="Arial" w:cs="Arial" w:eastAsia="Arial" w:hAnsi="Arial"/>
                <w:sz w:val="25"/>
                <w:szCs w:val="25"/>
                <w:b w:val="1"/>
                <w:bCs w:val="1"/>
                <w:color w:val="FFFFFF"/>
              </w:rPr>
              <w:t>Geographic Sales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80%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gridSpan w:val="2"/>
            <w:vMerge w:val="restart"/>
          </w:tcPr>
          <w:p>
            <w:pPr>
              <w:jc w:val="right"/>
              <w:ind w:right="1138"/>
              <w:spacing w:after="0"/>
              <w:rPr>
                <w:sz w:val="20"/>
                <w:szCs w:val="20"/>
                <w:color w:val="auto"/>
              </w:rPr>
            </w:pPr>
            <w:r>
              <w:rPr>
                <w:rFonts w:ascii="Arial" w:cs="Arial" w:eastAsia="Arial" w:hAnsi="Arial"/>
                <w:sz w:val="19"/>
                <w:szCs w:val="19"/>
                <w:b w:val="1"/>
                <w:bCs w:val="1"/>
                <w:color w:val="5F5F5F"/>
              </w:rPr>
              <w:t>2002</w:t>
            </w:r>
          </w:p>
        </w:tc>
        <w:tc>
          <w:tcPr>
            <w:tcW w:w="960" w:type="dxa"/>
            <w:vAlign w:val="bottom"/>
          </w:tcPr>
          <w:p>
            <w:pPr>
              <w:spacing w:after="0"/>
              <w:rPr>
                <w:sz w:val="24"/>
                <w:szCs w:val="24"/>
                <w:color w:val="auto"/>
              </w:rPr>
            </w:pPr>
          </w:p>
        </w:tc>
        <w:tc>
          <w:tcPr>
            <w:tcW w:w="1340" w:type="dxa"/>
            <w:vAlign w:val="bottom"/>
            <w:vMerge w:val="restart"/>
          </w:tcPr>
          <w:p>
            <w:pPr>
              <w:jc w:val="right"/>
              <w:ind w:right="806"/>
              <w:spacing w:after="0"/>
              <w:rPr>
                <w:sz w:val="20"/>
                <w:szCs w:val="20"/>
                <w:color w:val="auto"/>
              </w:rPr>
            </w:pPr>
            <w:r>
              <w:rPr>
                <w:rFonts w:ascii="Arial" w:cs="Arial" w:eastAsia="Arial" w:hAnsi="Arial"/>
                <w:sz w:val="19"/>
                <w:szCs w:val="19"/>
                <w:b w:val="1"/>
                <w:bCs w:val="1"/>
                <w:color w:val="5F5F5F"/>
              </w:rPr>
              <w:t>LTM</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70%</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60" w:type="dxa"/>
            <w:vAlign w:val="bottom"/>
          </w:tcPr>
          <w:p>
            <w:pPr>
              <w:jc w:val="right"/>
              <w:ind w:right="2333"/>
              <w:spacing w:after="0"/>
              <w:rPr>
                <w:sz w:val="20"/>
                <w:szCs w:val="20"/>
                <w:color w:val="auto"/>
              </w:rPr>
            </w:pPr>
            <w:r>
              <w:rPr>
                <w:rFonts w:ascii="Arial" w:cs="Arial" w:eastAsia="Arial" w:hAnsi="Arial"/>
                <w:sz w:val="8"/>
                <w:szCs w:val="8"/>
                <w:b w:val="1"/>
                <w:bCs w:val="1"/>
                <w:color w:val="auto"/>
              </w:rPr>
              <w:t>68%</w:t>
            </w: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8"/>
                <w:szCs w:val="8"/>
                <w:b w:val="1"/>
                <w:bCs w:val="1"/>
                <w:color w:val="auto"/>
              </w:rPr>
              <w:t>58%</w:t>
            </w:r>
          </w:p>
        </w:tc>
        <w:tc>
          <w:tcPr>
            <w:tcW w:w="2860" w:type="dxa"/>
            <w:vAlign w:val="bottom"/>
          </w:tcPr>
          <w:p>
            <w:pPr>
              <w:jc w:val="right"/>
              <w:ind w:right="513"/>
              <w:spacing w:after="0"/>
              <w:rPr>
                <w:sz w:val="20"/>
                <w:szCs w:val="20"/>
                <w:color w:val="auto"/>
              </w:rPr>
            </w:pPr>
            <w:r>
              <w:rPr>
                <w:rFonts w:ascii="Arial" w:cs="Arial" w:eastAsia="Arial" w:hAnsi="Arial"/>
                <w:sz w:val="8"/>
                <w:szCs w:val="8"/>
                <w:b w:val="1"/>
                <w:bCs w:val="1"/>
                <w:color w:val="auto"/>
              </w:rPr>
              <w:t>19%</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340" w:type="dxa"/>
            <w:vAlign w:val="bottom"/>
          </w:tcPr>
          <w:p>
            <w:pPr>
              <w:spacing w:after="0"/>
              <w:rPr>
                <w:sz w:val="5"/>
                <w:szCs w:val="5"/>
                <w:color w:val="auto"/>
              </w:rPr>
            </w:pPr>
          </w:p>
        </w:tc>
        <w:tc>
          <w:tcPr>
            <w:tcW w:w="1600" w:type="dxa"/>
            <w:vAlign w:val="bottom"/>
            <w:vMerge w:val="restart"/>
          </w:tcPr>
          <w:p>
            <w:pPr>
              <w:jc w:val="right"/>
              <w:ind w:right="932"/>
              <w:spacing w:after="0"/>
              <w:rPr>
                <w:sz w:val="20"/>
                <w:szCs w:val="20"/>
                <w:color w:val="auto"/>
              </w:rPr>
            </w:pPr>
            <w:r>
              <w:rPr>
                <w:rFonts w:ascii="Arial" w:cs="Arial" w:eastAsia="Arial" w:hAnsi="Arial"/>
                <w:sz w:val="8"/>
                <w:szCs w:val="8"/>
                <w:b w:val="1"/>
                <w:bCs w:val="1"/>
                <w:color w:val="auto"/>
              </w:rPr>
              <w:t>60%</w:t>
            </w:r>
          </w:p>
        </w:tc>
        <w:tc>
          <w:tcPr>
            <w:tcW w:w="10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600" w:type="dxa"/>
            <w:vAlign w:val="bottom"/>
            <w:vMerge w:val="restart"/>
          </w:tcPr>
          <w:p>
            <w:pPr>
              <w:jc w:val="right"/>
              <w:ind w:right="932"/>
              <w:spacing w:after="0"/>
              <w:rPr>
                <w:sz w:val="20"/>
                <w:szCs w:val="20"/>
                <w:color w:val="auto"/>
              </w:rPr>
            </w:pPr>
            <w:r>
              <w:rPr>
                <w:rFonts w:ascii="Arial" w:cs="Arial" w:eastAsia="Arial" w:hAnsi="Arial"/>
                <w:sz w:val="8"/>
                <w:szCs w:val="8"/>
                <w:b w:val="1"/>
                <w:bCs w:val="1"/>
                <w:color w:val="auto"/>
              </w:rPr>
              <w:t>50%</w:t>
            </w:r>
          </w:p>
        </w:tc>
        <w:tc>
          <w:tcPr>
            <w:tcW w:w="1020" w:type="dxa"/>
            <w:vAlign w:val="bottom"/>
          </w:tcPr>
          <w:p>
            <w:pPr>
              <w:jc w:val="right"/>
              <w:ind w:right="355"/>
              <w:spacing w:after="0"/>
              <w:rPr>
                <w:sz w:val="20"/>
                <w:szCs w:val="20"/>
                <w:color w:val="auto"/>
              </w:rPr>
            </w:pPr>
            <w:r>
              <w:rPr>
                <w:rFonts w:ascii="Arial" w:cs="Arial" w:eastAsia="Arial" w:hAnsi="Arial"/>
                <w:sz w:val="8"/>
                <w:szCs w:val="8"/>
                <w:b w:val="1"/>
                <w:bCs w:val="1"/>
                <w:color w:val="auto"/>
              </w:rPr>
              <w:t>48%</w:t>
            </w:r>
          </w:p>
        </w:tc>
        <w:tc>
          <w:tcPr>
            <w:tcW w:w="10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1600" w:type="dxa"/>
            <w:vAlign w:val="bottom"/>
          </w:tcPr>
          <w:p>
            <w:pPr>
              <w:jc w:val="right"/>
              <w:ind w:right="292"/>
              <w:spacing w:after="0"/>
              <w:rPr>
                <w:sz w:val="20"/>
                <w:szCs w:val="20"/>
                <w:color w:val="auto"/>
              </w:rPr>
            </w:pPr>
            <w:r>
              <w:rPr>
                <w:rFonts w:ascii="Arial" w:cs="Arial" w:eastAsia="Arial" w:hAnsi="Arial"/>
                <w:sz w:val="8"/>
                <w:szCs w:val="8"/>
                <w:b w:val="1"/>
                <w:bCs w:val="1"/>
                <w:color w:val="auto"/>
              </w:rPr>
              <w:t>44%</w:t>
            </w: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0" w:type="dxa"/>
            <w:vAlign w:val="bottom"/>
          </w:tcPr>
          <w:p>
            <w:pPr>
              <w:jc w:val="right"/>
              <w:ind w:right="535"/>
              <w:spacing w:after="0"/>
              <w:rPr>
                <w:sz w:val="20"/>
                <w:szCs w:val="20"/>
                <w:color w:val="auto"/>
              </w:rPr>
            </w:pPr>
            <w:r>
              <w:rPr>
                <w:rFonts w:ascii="Arial" w:cs="Arial" w:eastAsia="Arial" w:hAnsi="Arial"/>
                <w:sz w:val="8"/>
                <w:szCs w:val="8"/>
                <w:b w:val="1"/>
                <w:bCs w:val="1"/>
                <w:color w:val="auto"/>
              </w:rPr>
              <w:t>41%</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40%</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40" w:type="dxa"/>
            <w:vAlign w:val="bottom"/>
          </w:tcPr>
          <w:p>
            <w:pPr>
              <w:spacing w:after="0"/>
              <w:rPr>
                <w:sz w:val="24"/>
                <w:szCs w:val="24"/>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30%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8"/>
                <w:szCs w:val="8"/>
                <w:b w:val="1"/>
                <w:bCs w:val="1"/>
                <w:color w:val="auto"/>
              </w:rPr>
              <w:t>59%</w:t>
            </w:r>
          </w:p>
        </w:tc>
        <w:tc>
          <w:tcPr>
            <w:tcW w:w="0" w:type="dxa"/>
            <w:vAlign w:val="bottom"/>
          </w:tcPr>
          <w:p>
            <w:pPr>
              <w:spacing w:after="0"/>
              <w:rPr>
                <w:sz w:val="1"/>
                <w:szCs w:val="1"/>
                <w:color w:val="auto"/>
              </w:rPr>
            </w:pPr>
          </w:p>
        </w:tc>
      </w:tr>
      <w:tr>
        <w:trPr>
          <w:trHeight w:val="294"/>
        </w:trPr>
        <w:tc>
          <w:tcPr>
            <w:tcW w:w="340" w:type="dxa"/>
            <w:vAlign w:val="bottom"/>
          </w:tcPr>
          <w:p>
            <w:pPr>
              <w:spacing w:after="0"/>
              <w:rPr>
                <w:sz w:val="24"/>
                <w:szCs w:val="24"/>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20%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1600" w:type="dxa"/>
            <w:vAlign w:val="bottom"/>
            <w:vMerge w:val="restart"/>
          </w:tcPr>
          <w:p>
            <w:pPr>
              <w:jc w:val="right"/>
              <w:ind w:right="932"/>
              <w:spacing w:after="0"/>
              <w:rPr>
                <w:sz w:val="20"/>
                <w:szCs w:val="20"/>
                <w:color w:val="auto"/>
              </w:rPr>
            </w:pPr>
            <w:r>
              <w:rPr>
                <w:rFonts w:ascii="Arial" w:cs="Arial" w:eastAsia="Arial" w:hAnsi="Arial"/>
                <w:sz w:val="8"/>
                <w:szCs w:val="8"/>
                <w:b w:val="1"/>
                <w:bCs w:val="1"/>
                <w:color w:val="auto"/>
              </w:rPr>
              <w:t>10%</w:t>
            </w: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360" w:type="dxa"/>
            <w:vAlign w:val="bottom"/>
          </w:tcPr>
          <w:p>
            <w:pPr>
              <w:jc w:val="right"/>
              <w:ind w:right="678"/>
              <w:spacing w:after="0"/>
              <w:rPr>
                <w:sz w:val="20"/>
                <w:szCs w:val="20"/>
                <w:color w:val="auto"/>
              </w:rPr>
            </w:pPr>
            <w:r>
              <w:rPr>
                <w:rFonts w:ascii="Arial" w:cs="Arial" w:eastAsia="Arial" w:hAnsi="Arial"/>
                <w:sz w:val="8"/>
                <w:szCs w:val="8"/>
                <w:b w:val="1"/>
                <w:bCs w:val="1"/>
                <w:color w:val="auto"/>
              </w:rPr>
              <w:t>81%</w:t>
            </w: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34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340" w:type="dxa"/>
            <w:vAlign w:val="bottom"/>
          </w:tcPr>
          <w:p>
            <w:pPr>
              <w:spacing w:after="0"/>
              <w:rPr>
                <w:sz w:val="24"/>
                <w:szCs w:val="24"/>
                <w:color w:val="auto"/>
              </w:rPr>
            </w:pPr>
          </w:p>
        </w:tc>
        <w:tc>
          <w:tcPr>
            <w:tcW w:w="1600" w:type="dxa"/>
            <w:vAlign w:val="bottom"/>
          </w:tcPr>
          <w:p>
            <w:pPr>
              <w:jc w:val="right"/>
              <w:ind w:right="932"/>
              <w:spacing w:after="0"/>
              <w:rPr>
                <w:sz w:val="20"/>
                <w:szCs w:val="20"/>
                <w:color w:val="auto"/>
              </w:rPr>
            </w:pPr>
            <w:r>
              <w:rPr>
                <w:rFonts w:ascii="Arial" w:cs="Arial" w:eastAsia="Arial" w:hAnsi="Arial"/>
                <w:sz w:val="8"/>
                <w:szCs w:val="8"/>
                <w:b w:val="1"/>
                <w:bCs w:val="1"/>
                <w:color w:val="auto"/>
              </w:rPr>
              <w:t>0%</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36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North</w:t>
            </w:r>
          </w:p>
        </w:tc>
        <w:tc>
          <w:tcPr>
            <w:tcW w:w="96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Rest of</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vMerge w:val="restart"/>
          </w:tcPr>
          <w:p>
            <w:pPr>
              <w:jc w:val="right"/>
              <w:ind w:right="130"/>
              <w:spacing w:after="0"/>
              <w:rPr>
                <w:sz w:val="20"/>
                <w:szCs w:val="20"/>
                <w:color w:val="auto"/>
              </w:rPr>
            </w:pPr>
            <w:r>
              <w:rPr>
                <w:rFonts w:ascii="Arial" w:cs="Arial" w:eastAsia="Arial" w:hAnsi="Arial"/>
                <w:sz w:val="14"/>
                <w:szCs w:val="14"/>
                <w:color w:val="E71B21"/>
                <w:w w:val="76"/>
              </w:rPr>
              <w:t>17</w:t>
            </w:r>
          </w:p>
        </w:tc>
        <w:tc>
          <w:tcPr>
            <w:tcW w:w="1600" w:type="dxa"/>
            <w:vAlign w:val="bottom"/>
          </w:tcPr>
          <w:p>
            <w:pPr>
              <w:jc w:val="right"/>
              <w:ind w:right="292"/>
              <w:spacing w:after="0"/>
              <w:rPr>
                <w:sz w:val="20"/>
                <w:szCs w:val="20"/>
                <w:color w:val="auto"/>
              </w:rPr>
            </w:pPr>
            <w:r>
              <w:rPr>
                <w:rFonts w:ascii="Arial" w:cs="Arial" w:eastAsia="Arial" w:hAnsi="Arial"/>
                <w:sz w:val="8"/>
                <w:szCs w:val="8"/>
                <w:b w:val="1"/>
                <w:bCs w:val="1"/>
                <w:color w:val="auto"/>
              </w:rPr>
              <w:t>2004</w:t>
            </w:r>
          </w:p>
        </w:tc>
        <w:tc>
          <w:tcPr>
            <w:tcW w:w="1020" w:type="dxa"/>
            <w:vAlign w:val="bottom"/>
          </w:tcPr>
          <w:p>
            <w:pPr>
              <w:jc w:val="right"/>
              <w:ind w:right="335"/>
              <w:spacing w:after="0"/>
              <w:rPr>
                <w:sz w:val="20"/>
                <w:szCs w:val="20"/>
                <w:color w:val="auto"/>
              </w:rPr>
            </w:pPr>
            <w:r>
              <w:rPr>
                <w:rFonts w:ascii="Arial" w:cs="Arial" w:eastAsia="Arial" w:hAnsi="Arial"/>
                <w:sz w:val="8"/>
                <w:szCs w:val="8"/>
                <w:b w:val="1"/>
                <w:bCs w:val="1"/>
                <w:color w:val="auto"/>
              </w:rPr>
              <w:t>2005</w:t>
            </w:r>
          </w:p>
        </w:tc>
        <w:tc>
          <w:tcPr>
            <w:tcW w:w="1060" w:type="dxa"/>
            <w:vAlign w:val="bottom"/>
          </w:tcPr>
          <w:p>
            <w:pPr>
              <w:jc w:val="right"/>
              <w:ind w:right="435"/>
              <w:spacing w:after="0"/>
              <w:rPr>
                <w:sz w:val="20"/>
                <w:szCs w:val="20"/>
                <w:color w:val="auto"/>
              </w:rPr>
            </w:pPr>
            <w:r>
              <w:rPr>
                <w:rFonts w:ascii="Arial" w:cs="Arial" w:eastAsia="Arial" w:hAnsi="Arial"/>
                <w:sz w:val="8"/>
                <w:szCs w:val="8"/>
                <w:b w:val="1"/>
                <w:bCs w:val="1"/>
                <w:color w:val="auto"/>
              </w:rPr>
              <w:t>2006</w:t>
            </w:r>
          </w:p>
        </w:tc>
        <w:tc>
          <w:tcPr>
            <w:tcW w:w="2860" w:type="dxa"/>
            <w:vAlign w:val="bottom"/>
          </w:tcPr>
          <w:p>
            <w:pPr>
              <w:jc w:val="right"/>
              <w:ind w:right="2333"/>
              <w:spacing w:after="0"/>
              <w:rPr>
                <w:sz w:val="20"/>
                <w:szCs w:val="20"/>
                <w:color w:val="auto"/>
              </w:rPr>
            </w:pPr>
            <w:r>
              <w:rPr>
                <w:rFonts w:ascii="Arial" w:cs="Arial" w:eastAsia="Arial" w:hAnsi="Arial"/>
                <w:sz w:val="8"/>
                <w:szCs w:val="8"/>
                <w:b w:val="1"/>
                <w:bCs w:val="1"/>
                <w:color w:val="auto"/>
              </w:rPr>
              <w:t>LTM</w:t>
            </w:r>
          </w:p>
        </w:tc>
        <w:tc>
          <w:tcPr>
            <w:tcW w:w="13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0" w:type="dxa"/>
            <w:vAlign w:val="bottom"/>
            <w:vMerge w:val="continue"/>
          </w:tcPr>
          <w:p>
            <w:pPr>
              <w:spacing w:after="0"/>
              <w:rPr>
                <w:sz w:val="9"/>
                <w:szCs w:val="9"/>
                <w:color w:val="auto"/>
              </w:rPr>
            </w:pPr>
          </w:p>
        </w:tc>
        <w:tc>
          <w:tcPr>
            <w:tcW w:w="2620" w:type="dxa"/>
            <w:vAlign w:val="bottom"/>
            <w:gridSpan w:val="2"/>
            <w:vMerge w:val="restart"/>
          </w:tcPr>
          <w:p>
            <w:pPr>
              <w:jc w:val="right"/>
              <w:ind w:right="335"/>
              <w:spacing w:after="0" w:line="146" w:lineRule="exact"/>
              <w:rPr>
                <w:sz w:val="20"/>
                <w:szCs w:val="20"/>
                <w:color w:val="auto"/>
              </w:rPr>
            </w:pPr>
            <w:r>
              <w:rPr>
                <w:rFonts w:ascii="Arial" w:cs="Arial" w:eastAsia="Arial" w:hAnsi="Arial"/>
                <w:sz w:val="13"/>
                <w:szCs w:val="13"/>
                <w:i w:val="1"/>
                <w:iCs w:val="1"/>
                <w:color w:val="5F5F5F"/>
              </w:rPr>
              <w:t>Note: LTM data as of June 30, 2007</w:t>
            </w:r>
          </w:p>
        </w:tc>
        <w:tc>
          <w:tcPr>
            <w:tcW w:w="10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6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America</w:t>
            </w:r>
          </w:p>
        </w:tc>
        <w:tc>
          <w:tcPr>
            <w:tcW w:w="96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World</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jc w:val="center"/>
        <w:ind w:right="-37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540"/>
          </w:cols>
          <w:pgMar w:left="360" w:top="687" w:right="999" w:bottom="1440" w:gutter="0" w:footer="0" w:header="0"/>
          <w:type w:val="continuous"/>
        </w:sectPr>
      </w:pPr>
    </w:p>
    <w:bookmarkStart w:id="100" w:name="page101"/>
    <w:bookmarkEnd w:id="100"/>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Bookings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40"/>
        <w:spacing w:after="0"/>
        <w:tabs>
          <w:tab w:leader="none" w:pos="6640" w:val="left"/>
        </w:tabs>
        <w:rPr>
          <w:sz w:val="20"/>
          <w:szCs w:val="20"/>
          <w:color w:val="auto"/>
        </w:rPr>
      </w:pPr>
      <w:r>
        <w:rPr>
          <w:rFonts w:ascii="Arial" w:cs="Arial" w:eastAsia="Arial" w:hAnsi="Arial"/>
          <w:sz w:val="25"/>
          <w:szCs w:val="25"/>
          <w:b w:val="1"/>
          <w:bCs w:val="1"/>
          <w:color w:val="FFFFFF"/>
        </w:rPr>
        <w:t>2005 Top Ten Bookings</w:t>
      </w:r>
      <w:r>
        <w:rPr>
          <w:sz w:val="20"/>
          <w:szCs w:val="20"/>
          <w:color w:val="auto"/>
        </w:rPr>
        <w:tab/>
      </w:r>
      <w:r>
        <w:rPr>
          <w:rFonts w:ascii="Arial" w:cs="Arial" w:eastAsia="Arial" w:hAnsi="Arial"/>
          <w:sz w:val="24"/>
          <w:szCs w:val="24"/>
          <w:b w:val="1"/>
          <w:bCs w:val="1"/>
          <w:color w:val="FFFFFF"/>
        </w:rPr>
        <w:t>2006 Top Ten Bookings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220" w:type="dxa"/>
            <w:vAlign w:val="bottom"/>
          </w:tcPr>
          <w:p>
            <w:pPr>
              <w:spacing w:after="0"/>
              <w:rPr>
                <w:sz w:val="18"/>
                <w:szCs w:val="18"/>
                <w:color w:val="auto"/>
              </w:rPr>
            </w:pPr>
          </w:p>
        </w:tc>
        <w:tc>
          <w:tcPr>
            <w:tcW w:w="1080" w:type="dxa"/>
            <w:vAlign w:val="bottom"/>
          </w:tcPr>
          <w:p>
            <w:pPr>
              <w:jc w:val="right"/>
              <w:ind w:right="344"/>
              <w:spacing w:after="0"/>
              <w:rPr>
                <w:sz w:val="20"/>
                <w:szCs w:val="20"/>
                <w:color w:val="auto"/>
              </w:rPr>
            </w:pPr>
            <w:r>
              <w:rPr>
                <w:rFonts w:ascii="Arial" w:cs="Arial" w:eastAsia="Arial" w:hAnsi="Arial"/>
                <w:sz w:val="15"/>
                <w:szCs w:val="15"/>
                <w:color w:val="auto"/>
              </w:rPr>
              <w:t>Amount</w:t>
            </w:r>
          </w:p>
        </w:tc>
        <w:tc>
          <w:tcPr>
            <w:tcW w:w="1360" w:type="dxa"/>
            <w:vAlign w:val="bottom"/>
          </w:tcPr>
          <w:p>
            <w:pPr>
              <w:ind w:left="60"/>
              <w:spacing w:after="0"/>
              <w:rPr>
                <w:sz w:val="20"/>
                <w:szCs w:val="20"/>
                <w:color w:val="auto"/>
              </w:rPr>
            </w:pPr>
            <w:r>
              <w:rPr>
                <w:rFonts w:ascii="Arial" w:cs="Arial" w:eastAsia="Arial" w:hAnsi="Arial"/>
                <w:sz w:val="15"/>
                <w:szCs w:val="15"/>
                <w:color w:val="auto"/>
              </w:rPr>
              <w:t>Application</w:t>
            </w:r>
          </w:p>
        </w:tc>
        <w:tc>
          <w:tcPr>
            <w:tcW w:w="1300" w:type="dxa"/>
            <w:vAlign w:val="bottom"/>
          </w:tcPr>
          <w:p>
            <w:pPr>
              <w:ind w:left="160"/>
              <w:spacing w:after="0"/>
              <w:rPr>
                <w:sz w:val="20"/>
                <w:szCs w:val="20"/>
                <w:color w:val="auto"/>
              </w:rPr>
            </w:pPr>
            <w:r>
              <w:rPr>
                <w:rFonts w:ascii="Arial" w:cs="Arial" w:eastAsia="Arial" w:hAnsi="Arial"/>
                <w:sz w:val="15"/>
                <w:szCs w:val="15"/>
                <w:color w:val="auto"/>
              </w:rPr>
              <w:t>Territory</w:t>
            </w:r>
          </w:p>
        </w:tc>
        <w:tc>
          <w:tcPr>
            <w:tcW w:w="980" w:type="dxa"/>
            <w:vAlign w:val="bottom"/>
          </w:tcPr>
          <w:p>
            <w:pPr>
              <w:ind w:left="140"/>
              <w:spacing w:after="0"/>
              <w:rPr>
                <w:sz w:val="20"/>
                <w:szCs w:val="20"/>
                <w:color w:val="auto"/>
              </w:rPr>
            </w:pPr>
            <w:r>
              <w:rPr>
                <w:rFonts w:ascii="Arial" w:cs="Arial" w:eastAsia="Arial" w:hAnsi="Arial"/>
                <w:sz w:val="15"/>
                <w:szCs w:val="15"/>
                <w:color w:val="auto"/>
              </w:rPr>
              <w:t>Channel</w:t>
            </w:r>
          </w:p>
        </w:tc>
        <w:tc>
          <w:tcPr>
            <w:tcW w:w="1600" w:type="dxa"/>
            <w:vAlign w:val="bottom"/>
            <w:gridSpan w:val="2"/>
          </w:tcPr>
          <w:p>
            <w:pPr>
              <w:jc w:val="right"/>
              <w:ind w:right="384"/>
              <w:spacing w:after="0"/>
              <w:rPr>
                <w:sz w:val="20"/>
                <w:szCs w:val="20"/>
                <w:color w:val="auto"/>
              </w:rPr>
            </w:pPr>
            <w:r>
              <w:rPr>
                <w:rFonts w:ascii="Arial" w:cs="Arial" w:eastAsia="Arial" w:hAnsi="Arial"/>
                <w:sz w:val="15"/>
                <w:szCs w:val="15"/>
                <w:color w:val="auto"/>
              </w:rPr>
              <w:t>Sale Amount</w:t>
            </w:r>
          </w:p>
        </w:tc>
        <w:tc>
          <w:tcPr>
            <w:tcW w:w="1360" w:type="dxa"/>
            <w:vAlign w:val="bottom"/>
          </w:tcPr>
          <w:p>
            <w:pPr>
              <w:ind w:left="60"/>
              <w:spacing w:after="0"/>
              <w:rPr>
                <w:sz w:val="20"/>
                <w:szCs w:val="20"/>
                <w:color w:val="auto"/>
              </w:rPr>
            </w:pPr>
            <w:r>
              <w:rPr>
                <w:rFonts w:ascii="Arial" w:cs="Arial" w:eastAsia="Arial" w:hAnsi="Arial"/>
                <w:sz w:val="15"/>
                <w:szCs w:val="15"/>
                <w:color w:val="auto"/>
              </w:rPr>
              <w:t>Application</w:t>
            </w:r>
          </w:p>
        </w:tc>
        <w:tc>
          <w:tcPr>
            <w:tcW w:w="1300" w:type="dxa"/>
            <w:vAlign w:val="bottom"/>
          </w:tcPr>
          <w:p>
            <w:pPr>
              <w:ind w:left="160"/>
              <w:spacing w:after="0"/>
              <w:rPr>
                <w:sz w:val="20"/>
                <w:szCs w:val="20"/>
                <w:color w:val="auto"/>
              </w:rPr>
            </w:pPr>
            <w:r>
              <w:rPr>
                <w:rFonts w:ascii="Arial" w:cs="Arial" w:eastAsia="Arial" w:hAnsi="Arial"/>
                <w:sz w:val="15"/>
                <w:szCs w:val="15"/>
                <w:color w:val="auto"/>
              </w:rPr>
              <w:t>Territory</w:t>
            </w:r>
          </w:p>
        </w:tc>
        <w:tc>
          <w:tcPr>
            <w:tcW w:w="740" w:type="dxa"/>
            <w:vAlign w:val="bottom"/>
          </w:tcPr>
          <w:p>
            <w:pPr>
              <w:ind w:left="180"/>
              <w:spacing w:after="0"/>
              <w:rPr>
                <w:sz w:val="20"/>
                <w:szCs w:val="20"/>
                <w:color w:val="auto"/>
              </w:rPr>
            </w:pPr>
            <w:r>
              <w:rPr>
                <w:rFonts w:ascii="Arial" w:cs="Arial" w:eastAsia="Arial" w:hAnsi="Arial"/>
                <w:sz w:val="15"/>
                <w:szCs w:val="15"/>
                <w:color w:val="auto"/>
                <w:w w:val="96"/>
              </w:rPr>
              <w:t>Channel</w:t>
            </w:r>
          </w:p>
        </w:tc>
      </w:tr>
      <w:tr>
        <w:trPr>
          <w:trHeight w:val="205"/>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1,035,174</w:t>
            </w:r>
          </w:p>
        </w:tc>
        <w:tc>
          <w:tcPr>
            <w:tcW w:w="1360" w:type="dxa"/>
            <w:vAlign w:val="bottom"/>
          </w:tcPr>
          <w:p>
            <w:pPr>
              <w:ind w:left="60"/>
              <w:spacing w:after="0"/>
              <w:rPr>
                <w:sz w:val="20"/>
                <w:szCs w:val="20"/>
                <w:color w:val="auto"/>
              </w:rPr>
            </w:pPr>
            <w:r>
              <w:rPr>
                <w:rFonts w:ascii="Arial" w:cs="Arial" w:eastAsia="Arial" w:hAnsi="Arial"/>
                <w:sz w:val="15"/>
                <w:szCs w:val="15"/>
                <w:color w:val="auto"/>
              </w:rPr>
              <w:t>Printing</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2,060,154</w:t>
            </w:r>
          </w:p>
        </w:tc>
        <w:tc>
          <w:tcPr>
            <w:tcW w:w="1360" w:type="dxa"/>
            <w:vAlign w:val="bottom"/>
          </w:tcPr>
          <w:p>
            <w:pPr>
              <w:ind w:left="60"/>
              <w:spacing w:after="0"/>
              <w:rPr>
                <w:sz w:val="20"/>
                <w:szCs w:val="20"/>
                <w:color w:val="auto"/>
              </w:rPr>
            </w:pPr>
            <w:r>
              <w:rPr>
                <w:rFonts w:ascii="Arial" w:cs="Arial" w:eastAsia="Arial" w:hAnsi="Arial"/>
                <w:sz w:val="15"/>
                <w:szCs w:val="15"/>
                <w:color w:val="auto"/>
              </w:rPr>
              <w:t>Data Center</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740" w:type="dxa"/>
            <w:vAlign w:val="bottom"/>
          </w:tcPr>
          <w:p>
            <w:pPr>
              <w:ind w:left="180"/>
              <w:spacing w:after="0"/>
              <w:rPr>
                <w:sz w:val="20"/>
                <w:szCs w:val="20"/>
                <w:color w:val="auto"/>
              </w:rPr>
            </w:pPr>
            <w:r>
              <w:rPr>
                <w:rFonts w:ascii="Arial" w:cs="Arial" w:eastAsia="Arial" w:hAnsi="Arial"/>
                <w:sz w:val="15"/>
                <w:szCs w:val="15"/>
                <w:color w:val="auto"/>
              </w:rPr>
              <w:t>OEM</w:t>
            </w:r>
          </w:p>
        </w:tc>
      </w:tr>
      <w:tr>
        <w:trPr>
          <w:trHeight w:val="200"/>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903,478</w:t>
            </w:r>
          </w:p>
        </w:tc>
        <w:tc>
          <w:tcPr>
            <w:tcW w:w="1360" w:type="dxa"/>
            <w:vAlign w:val="bottom"/>
          </w:tcPr>
          <w:p>
            <w:pPr>
              <w:ind w:left="60"/>
              <w:spacing w:after="0"/>
              <w:rPr>
                <w:sz w:val="20"/>
                <w:szCs w:val="20"/>
                <w:color w:val="auto"/>
              </w:rPr>
            </w:pPr>
            <w:r>
              <w:rPr>
                <w:rFonts w:ascii="Arial" w:cs="Arial" w:eastAsia="Arial" w:hAnsi="Arial"/>
                <w:sz w:val="15"/>
                <w:szCs w:val="15"/>
                <w:color w:val="auto"/>
              </w:rPr>
              <w:t>Airport</w:t>
            </w:r>
          </w:p>
        </w:tc>
        <w:tc>
          <w:tcPr>
            <w:tcW w:w="1300" w:type="dxa"/>
            <w:vAlign w:val="bottom"/>
          </w:tcPr>
          <w:p>
            <w:pPr>
              <w:ind w:left="160"/>
              <w:spacing w:after="0"/>
              <w:rPr>
                <w:sz w:val="20"/>
                <w:szCs w:val="20"/>
                <w:color w:val="auto"/>
              </w:rPr>
            </w:pPr>
            <w:r>
              <w:rPr>
                <w:rFonts w:ascii="Arial" w:cs="Arial" w:eastAsia="Arial" w:hAnsi="Arial"/>
                <w:sz w:val="15"/>
                <w:szCs w:val="15"/>
                <w:color w:val="auto"/>
              </w:rPr>
              <w:t>Latin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Direct</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2,045,219</w:t>
            </w:r>
          </w:p>
        </w:tc>
        <w:tc>
          <w:tcPr>
            <w:tcW w:w="1360" w:type="dxa"/>
            <w:vAlign w:val="bottom"/>
          </w:tcPr>
          <w:p>
            <w:pPr>
              <w:ind w:left="60"/>
              <w:spacing w:after="0"/>
              <w:rPr>
                <w:sz w:val="20"/>
                <w:szCs w:val="20"/>
                <w:color w:val="auto"/>
              </w:rPr>
            </w:pPr>
            <w:r>
              <w:rPr>
                <w:rFonts w:ascii="Arial" w:cs="Arial" w:eastAsia="Arial" w:hAnsi="Arial"/>
                <w:sz w:val="15"/>
                <w:szCs w:val="15"/>
                <w:color w:val="auto"/>
              </w:rPr>
              <w:t>Food Processing</w:t>
            </w:r>
          </w:p>
        </w:tc>
        <w:tc>
          <w:tcPr>
            <w:tcW w:w="1300" w:type="dxa"/>
            <w:vAlign w:val="bottom"/>
          </w:tcPr>
          <w:p>
            <w:pPr>
              <w:ind w:left="160"/>
              <w:spacing w:after="0"/>
              <w:rPr>
                <w:sz w:val="20"/>
                <w:szCs w:val="20"/>
                <w:color w:val="auto"/>
              </w:rPr>
            </w:pPr>
            <w:r>
              <w:rPr>
                <w:rFonts w:ascii="Arial" w:cs="Arial" w:eastAsia="Arial" w:hAnsi="Arial"/>
                <w:sz w:val="15"/>
                <w:szCs w:val="15"/>
                <w:color w:val="auto"/>
              </w:rPr>
              <w:t>Algeria</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188"/>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900,000</w:t>
            </w:r>
          </w:p>
        </w:tc>
        <w:tc>
          <w:tcPr>
            <w:tcW w:w="1360" w:type="dxa"/>
            <w:vAlign w:val="bottom"/>
          </w:tcPr>
          <w:p>
            <w:pPr>
              <w:ind w:left="60"/>
              <w:spacing w:after="0"/>
              <w:rPr>
                <w:sz w:val="20"/>
                <w:szCs w:val="20"/>
                <w:color w:val="auto"/>
              </w:rPr>
            </w:pPr>
            <w:r>
              <w:rPr>
                <w:rFonts w:ascii="Arial" w:cs="Arial" w:eastAsia="Arial" w:hAnsi="Arial"/>
                <w:sz w:val="15"/>
                <w:szCs w:val="15"/>
                <w:color w:val="auto"/>
              </w:rPr>
              <w:t>Food Processing</w:t>
            </w:r>
          </w:p>
        </w:tc>
        <w:tc>
          <w:tcPr>
            <w:tcW w:w="1300" w:type="dxa"/>
            <w:vAlign w:val="bottom"/>
          </w:tcPr>
          <w:p>
            <w:pPr>
              <w:ind w:left="160"/>
              <w:spacing w:after="0"/>
              <w:rPr>
                <w:sz w:val="20"/>
                <w:szCs w:val="20"/>
                <w:color w:val="auto"/>
              </w:rPr>
            </w:pPr>
            <w:r>
              <w:rPr>
                <w:rFonts w:ascii="Arial" w:cs="Arial" w:eastAsia="Arial" w:hAnsi="Arial"/>
                <w:sz w:val="15"/>
                <w:szCs w:val="15"/>
                <w:color w:val="auto"/>
              </w:rPr>
              <w:t>Algeria</w:t>
            </w:r>
          </w:p>
        </w:tc>
        <w:tc>
          <w:tcPr>
            <w:tcW w:w="980" w:type="dxa"/>
            <w:vAlign w:val="bottom"/>
          </w:tcPr>
          <w:p>
            <w:pPr>
              <w:ind w:left="140"/>
              <w:spacing w:after="0"/>
              <w:rPr>
                <w:sz w:val="20"/>
                <w:szCs w:val="20"/>
                <w:color w:val="auto"/>
              </w:rPr>
            </w:pPr>
            <w:r>
              <w:rPr>
                <w:rFonts w:ascii="Arial" w:cs="Arial" w:eastAsia="Arial" w:hAnsi="Arial"/>
                <w:sz w:val="15"/>
                <w:szCs w:val="15"/>
                <w:color w:val="auto"/>
              </w:rPr>
              <w:t>Direct</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1,282,000</w:t>
            </w:r>
          </w:p>
        </w:tc>
        <w:tc>
          <w:tcPr>
            <w:tcW w:w="1360" w:type="dxa"/>
            <w:vAlign w:val="bottom"/>
          </w:tcPr>
          <w:p>
            <w:pPr>
              <w:ind w:left="60"/>
              <w:spacing w:after="0"/>
              <w:rPr>
                <w:sz w:val="20"/>
                <w:szCs w:val="20"/>
                <w:color w:val="auto"/>
              </w:rPr>
            </w:pPr>
            <w:r>
              <w:rPr>
                <w:rFonts w:ascii="Arial" w:cs="Arial" w:eastAsia="Arial" w:hAnsi="Arial"/>
                <w:sz w:val="15"/>
                <w:szCs w:val="15"/>
                <w:color w:val="auto"/>
              </w:rPr>
              <w:t>Airport</w:t>
            </w:r>
          </w:p>
        </w:tc>
        <w:tc>
          <w:tcPr>
            <w:tcW w:w="1300" w:type="dxa"/>
            <w:vAlign w:val="bottom"/>
          </w:tcPr>
          <w:p>
            <w:pPr>
              <w:ind w:left="160"/>
              <w:spacing w:after="0"/>
              <w:rPr>
                <w:sz w:val="20"/>
                <w:szCs w:val="20"/>
                <w:color w:val="auto"/>
              </w:rPr>
            </w:pPr>
            <w:r>
              <w:rPr>
                <w:rFonts w:ascii="Arial" w:cs="Arial" w:eastAsia="Arial" w:hAnsi="Arial"/>
                <w:sz w:val="15"/>
                <w:szCs w:val="15"/>
                <w:color w:val="auto"/>
              </w:rPr>
              <w:t>Asia</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200"/>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680,775</w:t>
            </w:r>
          </w:p>
        </w:tc>
        <w:tc>
          <w:tcPr>
            <w:tcW w:w="1360" w:type="dxa"/>
            <w:vAlign w:val="bottom"/>
          </w:tcPr>
          <w:p>
            <w:pPr>
              <w:ind w:left="60"/>
              <w:spacing w:after="0"/>
              <w:rPr>
                <w:sz w:val="20"/>
                <w:szCs w:val="20"/>
                <w:color w:val="auto"/>
              </w:rPr>
            </w:pPr>
            <w:r>
              <w:rPr>
                <w:rFonts w:ascii="Arial" w:cs="Arial" w:eastAsia="Arial" w:hAnsi="Arial"/>
                <w:sz w:val="15"/>
                <w:szCs w:val="15"/>
                <w:color w:val="auto"/>
              </w:rPr>
              <w:t>Data Center</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1,155,760</w:t>
            </w:r>
          </w:p>
        </w:tc>
        <w:tc>
          <w:tcPr>
            <w:tcW w:w="1360" w:type="dxa"/>
            <w:vAlign w:val="bottom"/>
          </w:tcPr>
          <w:p>
            <w:pPr>
              <w:ind w:left="60"/>
              <w:spacing w:after="0"/>
              <w:rPr>
                <w:sz w:val="20"/>
                <w:szCs w:val="20"/>
                <w:color w:val="auto"/>
              </w:rPr>
            </w:pPr>
            <w:r>
              <w:rPr>
                <w:rFonts w:ascii="Arial" w:cs="Arial" w:eastAsia="Arial" w:hAnsi="Arial"/>
                <w:sz w:val="15"/>
                <w:szCs w:val="15"/>
                <w:color w:val="auto"/>
              </w:rPr>
              <w:t>Petrochemical</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188"/>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638,250</w:t>
            </w:r>
          </w:p>
        </w:tc>
        <w:tc>
          <w:tcPr>
            <w:tcW w:w="1360" w:type="dxa"/>
            <w:vAlign w:val="bottom"/>
          </w:tcPr>
          <w:p>
            <w:pPr>
              <w:ind w:left="60"/>
              <w:spacing w:after="0"/>
              <w:rPr>
                <w:sz w:val="20"/>
                <w:szCs w:val="20"/>
                <w:color w:val="auto"/>
              </w:rPr>
            </w:pPr>
            <w:r>
              <w:rPr>
                <w:rFonts w:ascii="Arial" w:cs="Arial" w:eastAsia="Arial" w:hAnsi="Arial"/>
                <w:sz w:val="15"/>
                <w:szCs w:val="15"/>
                <w:color w:val="auto"/>
              </w:rPr>
              <w:t>Semiconductor</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966,144</w:t>
            </w:r>
          </w:p>
        </w:tc>
        <w:tc>
          <w:tcPr>
            <w:tcW w:w="1360" w:type="dxa"/>
            <w:vAlign w:val="bottom"/>
          </w:tcPr>
          <w:p>
            <w:pPr>
              <w:ind w:left="60"/>
              <w:spacing w:after="0"/>
              <w:rPr>
                <w:sz w:val="20"/>
                <w:szCs w:val="20"/>
                <w:color w:val="auto"/>
              </w:rPr>
            </w:pPr>
            <w:r>
              <w:rPr>
                <w:rFonts w:ascii="Arial" w:cs="Arial" w:eastAsia="Arial" w:hAnsi="Arial"/>
                <w:sz w:val="15"/>
                <w:szCs w:val="15"/>
                <w:color w:val="auto"/>
              </w:rPr>
              <w:t>Health</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200"/>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443,702</w:t>
            </w:r>
          </w:p>
        </w:tc>
        <w:tc>
          <w:tcPr>
            <w:tcW w:w="1360" w:type="dxa"/>
            <w:vAlign w:val="bottom"/>
          </w:tcPr>
          <w:p>
            <w:pPr>
              <w:ind w:left="60"/>
              <w:spacing w:after="0"/>
              <w:rPr>
                <w:sz w:val="20"/>
                <w:szCs w:val="20"/>
                <w:color w:val="auto"/>
              </w:rPr>
            </w:pPr>
            <w:r>
              <w:rPr>
                <w:rFonts w:ascii="Arial" w:cs="Arial" w:eastAsia="Arial" w:hAnsi="Arial"/>
                <w:sz w:val="15"/>
                <w:szCs w:val="15"/>
                <w:color w:val="auto"/>
              </w:rPr>
              <w:t>Health</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902,631</w:t>
            </w:r>
          </w:p>
        </w:tc>
        <w:tc>
          <w:tcPr>
            <w:tcW w:w="1360" w:type="dxa"/>
            <w:vAlign w:val="bottom"/>
          </w:tcPr>
          <w:p>
            <w:pPr>
              <w:ind w:left="60"/>
              <w:spacing w:after="0"/>
              <w:rPr>
                <w:sz w:val="20"/>
                <w:szCs w:val="20"/>
                <w:color w:val="auto"/>
              </w:rPr>
            </w:pPr>
            <w:r>
              <w:rPr>
                <w:rFonts w:ascii="Arial" w:cs="Arial" w:eastAsia="Arial" w:hAnsi="Arial"/>
                <w:sz w:val="15"/>
                <w:szCs w:val="15"/>
                <w:color w:val="auto"/>
              </w:rPr>
              <w:t>Data Center</w:t>
            </w:r>
          </w:p>
        </w:tc>
        <w:tc>
          <w:tcPr>
            <w:tcW w:w="1300" w:type="dxa"/>
            <w:vAlign w:val="bottom"/>
          </w:tcPr>
          <w:p>
            <w:pPr>
              <w:ind w:left="160"/>
              <w:spacing w:after="0"/>
              <w:rPr>
                <w:sz w:val="20"/>
                <w:szCs w:val="20"/>
                <w:color w:val="auto"/>
              </w:rPr>
            </w:pPr>
            <w:r>
              <w:rPr>
                <w:rFonts w:ascii="Arial" w:cs="Arial" w:eastAsia="Arial" w:hAnsi="Arial"/>
                <w:sz w:val="15"/>
                <w:szCs w:val="15"/>
                <w:color w:val="auto"/>
              </w:rPr>
              <w:t>Europe</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188"/>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403,962</w:t>
            </w:r>
          </w:p>
        </w:tc>
        <w:tc>
          <w:tcPr>
            <w:tcW w:w="1360" w:type="dxa"/>
            <w:vAlign w:val="bottom"/>
          </w:tcPr>
          <w:p>
            <w:pPr>
              <w:ind w:left="60"/>
              <w:spacing w:after="0"/>
              <w:rPr>
                <w:sz w:val="20"/>
                <w:szCs w:val="20"/>
                <w:color w:val="auto"/>
              </w:rPr>
            </w:pPr>
            <w:r>
              <w:rPr>
                <w:rFonts w:ascii="Arial" w:cs="Arial" w:eastAsia="Arial" w:hAnsi="Arial"/>
                <w:sz w:val="15"/>
                <w:szCs w:val="15"/>
                <w:color w:val="auto"/>
              </w:rPr>
              <w:t>Dealer Stock</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885,281</w:t>
            </w:r>
          </w:p>
        </w:tc>
        <w:tc>
          <w:tcPr>
            <w:tcW w:w="1360" w:type="dxa"/>
            <w:vAlign w:val="bottom"/>
          </w:tcPr>
          <w:p>
            <w:pPr>
              <w:ind w:left="60"/>
              <w:spacing w:after="0"/>
              <w:rPr>
                <w:sz w:val="20"/>
                <w:szCs w:val="20"/>
                <w:color w:val="auto"/>
              </w:rPr>
            </w:pPr>
            <w:r>
              <w:rPr>
                <w:rFonts w:ascii="Arial" w:cs="Arial" w:eastAsia="Arial" w:hAnsi="Arial"/>
                <w:sz w:val="15"/>
                <w:szCs w:val="15"/>
                <w:color w:val="auto"/>
              </w:rPr>
              <w:t>Broadcast</w:t>
            </w:r>
          </w:p>
        </w:tc>
        <w:tc>
          <w:tcPr>
            <w:tcW w:w="1300" w:type="dxa"/>
            <w:vAlign w:val="bottom"/>
          </w:tcPr>
          <w:p>
            <w:pPr>
              <w:ind w:left="160"/>
              <w:spacing w:after="0"/>
              <w:rPr>
                <w:sz w:val="20"/>
                <w:szCs w:val="20"/>
                <w:color w:val="auto"/>
              </w:rPr>
            </w:pPr>
            <w:r>
              <w:rPr>
                <w:rFonts w:ascii="Arial" w:cs="Arial" w:eastAsia="Arial" w:hAnsi="Arial"/>
                <w:sz w:val="15"/>
                <w:szCs w:val="15"/>
                <w:color w:val="auto"/>
              </w:rPr>
              <w:t>Europe</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200"/>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318,610</w:t>
            </w:r>
          </w:p>
        </w:tc>
        <w:tc>
          <w:tcPr>
            <w:tcW w:w="1360" w:type="dxa"/>
            <w:vAlign w:val="bottom"/>
          </w:tcPr>
          <w:p>
            <w:pPr>
              <w:ind w:left="60"/>
              <w:spacing w:after="0"/>
              <w:rPr>
                <w:sz w:val="20"/>
                <w:szCs w:val="20"/>
                <w:color w:val="auto"/>
              </w:rPr>
            </w:pPr>
            <w:r>
              <w:rPr>
                <w:rFonts w:ascii="Arial" w:cs="Arial" w:eastAsia="Arial" w:hAnsi="Arial"/>
                <w:sz w:val="15"/>
                <w:szCs w:val="15"/>
                <w:color w:val="auto"/>
              </w:rPr>
              <w:t>Automotive</w:t>
            </w:r>
          </w:p>
        </w:tc>
        <w:tc>
          <w:tcPr>
            <w:tcW w:w="1300" w:type="dxa"/>
            <w:vAlign w:val="bottom"/>
          </w:tcPr>
          <w:p>
            <w:pPr>
              <w:ind w:left="160"/>
              <w:spacing w:after="0"/>
              <w:rPr>
                <w:sz w:val="20"/>
                <w:szCs w:val="20"/>
                <w:color w:val="auto"/>
              </w:rPr>
            </w:pPr>
            <w:r>
              <w:rPr>
                <w:rFonts w:ascii="Arial" w:cs="Arial" w:eastAsia="Arial" w:hAnsi="Arial"/>
                <w:sz w:val="15"/>
                <w:szCs w:val="15"/>
                <w:color w:val="auto"/>
              </w:rPr>
              <w:t>Europe</w:t>
            </w:r>
          </w:p>
        </w:tc>
        <w:tc>
          <w:tcPr>
            <w:tcW w:w="980" w:type="dxa"/>
            <w:vAlign w:val="bottom"/>
          </w:tcPr>
          <w:p>
            <w:pPr>
              <w:ind w:left="140"/>
              <w:spacing w:after="0"/>
              <w:rPr>
                <w:sz w:val="20"/>
                <w:szCs w:val="20"/>
                <w:color w:val="auto"/>
              </w:rPr>
            </w:pPr>
            <w:r>
              <w:rPr>
                <w:rFonts w:ascii="Arial" w:cs="Arial" w:eastAsia="Arial" w:hAnsi="Arial"/>
                <w:sz w:val="15"/>
                <w:szCs w:val="15"/>
                <w:color w:val="auto"/>
              </w:rPr>
              <w:t>Direct</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879,907</w:t>
            </w:r>
          </w:p>
        </w:tc>
        <w:tc>
          <w:tcPr>
            <w:tcW w:w="1360" w:type="dxa"/>
            <w:vAlign w:val="bottom"/>
          </w:tcPr>
          <w:p>
            <w:pPr>
              <w:ind w:left="60"/>
              <w:spacing w:after="0"/>
              <w:rPr>
                <w:sz w:val="20"/>
                <w:szCs w:val="20"/>
                <w:color w:val="auto"/>
              </w:rPr>
            </w:pPr>
            <w:r>
              <w:rPr>
                <w:rFonts w:ascii="Arial" w:cs="Arial" w:eastAsia="Arial" w:hAnsi="Arial"/>
                <w:sz w:val="15"/>
                <w:szCs w:val="15"/>
                <w:color w:val="auto"/>
              </w:rPr>
              <w:t>Data Center</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740" w:type="dxa"/>
            <w:vAlign w:val="bottom"/>
          </w:tcPr>
          <w:p>
            <w:pPr>
              <w:ind w:left="180"/>
              <w:spacing w:after="0"/>
              <w:rPr>
                <w:sz w:val="20"/>
                <w:szCs w:val="20"/>
                <w:color w:val="auto"/>
              </w:rPr>
            </w:pPr>
            <w:r>
              <w:rPr>
                <w:rFonts w:ascii="Arial" w:cs="Arial" w:eastAsia="Arial" w:hAnsi="Arial"/>
                <w:sz w:val="15"/>
                <w:szCs w:val="15"/>
                <w:color w:val="auto"/>
              </w:rPr>
              <w:t>OEM</w:t>
            </w:r>
          </w:p>
        </w:tc>
      </w:tr>
      <w:tr>
        <w:trPr>
          <w:trHeight w:val="188"/>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313,122</w:t>
            </w:r>
          </w:p>
        </w:tc>
        <w:tc>
          <w:tcPr>
            <w:tcW w:w="1360" w:type="dxa"/>
            <w:vAlign w:val="bottom"/>
          </w:tcPr>
          <w:p>
            <w:pPr>
              <w:ind w:left="60"/>
              <w:spacing w:after="0"/>
              <w:rPr>
                <w:sz w:val="20"/>
                <w:szCs w:val="20"/>
                <w:color w:val="auto"/>
              </w:rPr>
            </w:pPr>
            <w:r>
              <w:rPr>
                <w:rFonts w:ascii="Arial" w:cs="Arial" w:eastAsia="Arial" w:hAnsi="Arial"/>
                <w:sz w:val="15"/>
                <w:szCs w:val="15"/>
                <w:color w:val="auto"/>
              </w:rPr>
              <w:t>Plastics</w:t>
            </w:r>
          </w:p>
        </w:tc>
        <w:tc>
          <w:tcPr>
            <w:tcW w:w="1300" w:type="dxa"/>
            <w:vAlign w:val="bottom"/>
          </w:tcPr>
          <w:p>
            <w:pPr>
              <w:ind w:left="160"/>
              <w:spacing w:after="0"/>
              <w:rPr>
                <w:sz w:val="20"/>
                <w:szCs w:val="20"/>
                <w:color w:val="auto"/>
              </w:rPr>
            </w:pPr>
            <w:r>
              <w:rPr>
                <w:rFonts w:ascii="Arial" w:cs="Arial" w:eastAsia="Arial" w:hAnsi="Arial"/>
                <w:sz w:val="15"/>
                <w:szCs w:val="15"/>
                <w:color w:val="auto"/>
              </w:rPr>
              <w:t>Europe</w:t>
            </w:r>
          </w:p>
        </w:tc>
        <w:tc>
          <w:tcPr>
            <w:tcW w:w="980" w:type="dxa"/>
            <w:vAlign w:val="bottom"/>
          </w:tcPr>
          <w:p>
            <w:pPr>
              <w:ind w:left="140"/>
              <w:spacing w:after="0"/>
              <w:rPr>
                <w:sz w:val="20"/>
                <w:szCs w:val="20"/>
                <w:color w:val="auto"/>
              </w:rPr>
            </w:pPr>
            <w:r>
              <w:rPr>
                <w:rFonts w:ascii="Arial" w:cs="Arial" w:eastAsia="Arial" w:hAnsi="Arial"/>
                <w:sz w:val="15"/>
                <w:szCs w:val="15"/>
                <w:color w:val="auto"/>
              </w:rPr>
              <w:t>Direct</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606,238</w:t>
            </w:r>
          </w:p>
        </w:tc>
        <w:tc>
          <w:tcPr>
            <w:tcW w:w="1360" w:type="dxa"/>
            <w:vAlign w:val="bottom"/>
          </w:tcPr>
          <w:p>
            <w:pPr>
              <w:ind w:left="60"/>
              <w:spacing w:after="0"/>
              <w:rPr>
                <w:sz w:val="20"/>
                <w:szCs w:val="20"/>
                <w:color w:val="auto"/>
              </w:rPr>
            </w:pPr>
            <w:r>
              <w:rPr>
                <w:rFonts w:ascii="Arial" w:cs="Arial" w:eastAsia="Arial" w:hAnsi="Arial"/>
                <w:sz w:val="15"/>
                <w:szCs w:val="15"/>
                <w:color w:val="auto"/>
              </w:rPr>
              <w:t>Health</w:t>
            </w:r>
          </w:p>
        </w:tc>
        <w:tc>
          <w:tcPr>
            <w:tcW w:w="1300" w:type="dxa"/>
            <w:vAlign w:val="bottom"/>
          </w:tcPr>
          <w:p>
            <w:pPr>
              <w:ind w:left="160"/>
              <w:spacing w:after="0"/>
              <w:rPr>
                <w:sz w:val="20"/>
                <w:szCs w:val="20"/>
                <w:color w:val="auto"/>
              </w:rPr>
            </w:pPr>
            <w:r>
              <w:rPr>
                <w:rFonts w:ascii="Arial" w:cs="Arial" w:eastAsia="Arial" w:hAnsi="Arial"/>
                <w:sz w:val="15"/>
                <w:szCs w:val="15"/>
                <w:color w:val="auto"/>
              </w:rPr>
              <w:t>North America</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200"/>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309,390</w:t>
            </w:r>
          </w:p>
        </w:tc>
        <w:tc>
          <w:tcPr>
            <w:tcW w:w="1360" w:type="dxa"/>
            <w:vAlign w:val="bottom"/>
          </w:tcPr>
          <w:p>
            <w:pPr>
              <w:ind w:left="60"/>
              <w:spacing w:after="0"/>
              <w:rPr>
                <w:sz w:val="20"/>
                <w:szCs w:val="20"/>
                <w:color w:val="auto"/>
              </w:rPr>
            </w:pPr>
            <w:r>
              <w:rPr>
                <w:rFonts w:ascii="Arial" w:cs="Arial" w:eastAsia="Arial" w:hAnsi="Arial"/>
                <w:sz w:val="15"/>
                <w:szCs w:val="15"/>
                <w:color w:val="auto"/>
              </w:rPr>
              <w:t>Airport</w:t>
            </w:r>
          </w:p>
        </w:tc>
        <w:tc>
          <w:tcPr>
            <w:tcW w:w="1300" w:type="dxa"/>
            <w:vAlign w:val="bottom"/>
          </w:tcPr>
          <w:p>
            <w:pPr>
              <w:ind w:left="160"/>
              <w:spacing w:after="0"/>
              <w:rPr>
                <w:sz w:val="20"/>
                <w:szCs w:val="20"/>
                <w:color w:val="auto"/>
              </w:rPr>
            </w:pPr>
            <w:r>
              <w:rPr>
                <w:rFonts w:ascii="Arial" w:cs="Arial" w:eastAsia="Arial" w:hAnsi="Arial"/>
                <w:sz w:val="15"/>
                <w:szCs w:val="15"/>
                <w:color w:val="auto"/>
              </w:rPr>
              <w:t>Middle East</w:t>
            </w:r>
          </w:p>
        </w:tc>
        <w:tc>
          <w:tcPr>
            <w:tcW w:w="980" w:type="dxa"/>
            <w:vAlign w:val="bottom"/>
          </w:tcPr>
          <w:p>
            <w:pPr>
              <w:ind w:left="140"/>
              <w:spacing w:after="0"/>
              <w:rPr>
                <w:sz w:val="20"/>
                <w:szCs w:val="20"/>
                <w:color w:val="auto"/>
              </w:rPr>
            </w:pPr>
            <w:r>
              <w:rPr>
                <w:rFonts w:ascii="Arial" w:cs="Arial" w:eastAsia="Arial" w:hAnsi="Arial"/>
                <w:sz w:val="15"/>
                <w:szCs w:val="15"/>
                <w:color w:val="auto"/>
              </w:rPr>
              <w:t>OEM</w:t>
            </w: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590,402</w:t>
            </w:r>
          </w:p>
        </w:tc>
        <w:tc>
          <w:tcPr>
            <w:tcW w:w="1360" w:type="dxa"/>
            <w:vAlign w:val="bottom"/>
          </w:tcPr>
          <w:p>
            <w:pPr>
              <w:ind w:left="60"/>
              <w:spacing w:after="0"/>
              <w:rPr>
                <w:sz w:val="20"/>
                <w:szCs w:val="20"/>
                <w:color w:val="auto"/>
              </w:rPr>
            </w:pPr>
            <w:r>
              <w:rPr>
                <w:rFonts w:ascii="Arial" w:cs="Arial" w:eastAsia="Arial" w:hAnsi="Arial"/>
                <w:sz w:val="15"/>
                <w:szCs w:val="15"/>
                <w:color w:val="auto"/>
              </w:rPr>
              <w:t>Education</w:t>
            </w:r>
          </w:p>
        </w:tc>
        <w:tc>
          <w:tcPr>
            <w:tcW w:w="1300" w:type="dxa"/>
            <w:vAlign w:val="bottom"/>
          </w:tcPr>
          <w:p>
            <w:pPr>
              <w:ind w:left="160"/>
              <w:spacing w:after="0"/>
              <w:rPr>
                <w:sz w:val="20"/>
                <w:szCs w:val="20"/>
                <w:color w:val="auto"/>
              </w:rPr>
            </w:pPr>
            <w:r>
              <w:rPr>
                <w:rFonts w:ascii="Arial" w:cs="Arial" w:eastAsia="Arial" w:hAnsi="Arial"/>
                <w:sz w:val="15"/>
                <w:szCs w:val="15"/>
                <w:color w:val="auto"/>
              </w:rPr>
              <w:t>Europe</w:t>
            </w:r>
          </w:p>
        </w:tc>
        <w:tc>
          <w:tcPr>
            <w:tcW w:w="740" w:type="dxa"/>
            <w:vAlign w:val="bottom"/>
          </w:tcPr>
          <w:p>
            <w:pPr>
              <w:ind w:left="180"/>
              <w:spacing w:after="0"/>
              <w:rPr>
                <w:sz w:val="20"/>
                <w:szCs w:val="20"/>
                <w:color w:val="auto"/>
              </w:rPr>
            </w:pPr>
            <w:r>
              <w:rPr>
                <w:rFonts w:ascii="Arial" w:cs="Arial" w:eastAsia="Arial" w:hAnsi="Arial"/>
                <w:sz w:val="15"/>
                <w:szCs w:val="15"/>
                <w:color w:val="auto"/>
              </w:rPr>
              <w:t>Direct</w:t>
            </w:r>
          </w:p>
        </w:tc>
      </w:tr>
      <w:tr>
        <w:trPr>
          <w:trHeight w:val="206"/>
        </w:trPr>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5,946,463</w:t>
            </w: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11,373,736</w:t>
            </w: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E71B21"/>
        </w:rPr>
        <w:t>18</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360"/>
          </w:cols>
          <w:pgMar w:left="360" w:top="687" w:right="1179" w:bottom="1440" w:gutter="0" w:footer="0" w:header="0"/>
        </w:sectPr>
      </w:pPr>
    </w:p>
    <w:bookmarkStart w:id="101" w:name="page102"/>
    <w:bookmarkEnd w:id="101"/>
    <w:p>
      <w:pPr>
        <w:ind w:left="3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Who Chooses Active Power?</w:t>
      </w:r>
    </w:p>
    <w:p>
      <w:pPr>
        <w:spacing w:after="0" w:line="200" w:lineRule="exact"/>
        <w:rPr>
          <w:sz w:val="20"/>
          <w:szCs w:val="20"/>
          <w:color w:val="auto"/>
        </w:rPr>
      </w:pPr>
    </w:p>
    <w:p>
      <w:pPr>
        <w:spacing w:after="0" w:line="247" w:lineRule="exact"/>
        <w:rPr>
          <w:sz w:val="20"/>
          <w:szCs w:val="20"/>
          <w:color w:val="auto"/>
        </w:rPr>
      </w:pPr>
    </w:p>
    <w:p>
      <w:pPr>
        <w:ind w:left="740" w:hanging="431"/>
        <w:spacing w:after="0"/>
        <w:tabs>
          <w:tab w:leader="none" w:pos="740" w:val="left"/>
        </w:tabs>
        <w:numPr>
          <w:ilvl w:val="0"/>
          <w:numId w:val="75"/>
        </w:numPr>
        <w:rPr>
          <w:rFonts w:ascii="Arial" w:cs="Arial" w:eastAsia="Arial" w:hAnsi="Arial"/>
          <w:sz w:val="28"/>
          <w:szCs w:val="28"/>
          <w:color w:val="C3092C"/>
        </w:rPr>
      </w:pPr>
      <w:r>
        <w:rPr>
          <w:rFonts w:ascii="Arial" w:cs="Arial" w:eastAsia="Arial" w:hAnsi="Arial"/>
          <w:sz w:val="28"/>
          <w:szCs w:val="28"/>
          <w:b w:val="1"/>
          <w:bCs w:val="1"/>
          <w:color w:val="545454"/>
        </w:rPr>
        <w:t>Recent customer wins</w:t>
      </w:r>
    </w:p>
    <w:p>
      <w:pPr>
        <w:spacing w:after="0" w:line="200" w:lineRule="exact"/>
        <w:rPr>
          <w:rFonts w:ascii="Arial" w:cs="Arial" w:eastAsia="Arial" w:hAnsi="Arial"/>
          <w:sz w:val="28"/>
          <w:szCs w:val="28"/>
          <w:color w:val="C3092C"/>
        </w:rPr>
      </w:pPr>
    </w:p>
    <w:p>
      <w:pPr>
        <w:spacing w:after="0" w:line="200" w:lineRule="exact"/>
        <w:rPr>
          <w:rFonts w:ascii="Arial" w:cs="Arial" w:eastAsia="Arial" w:hAnsi="Arial"/>
          <w:sz w:val="28"/>
          <w:szCs w:val="28"/>
          <w:color w:val="C3092C"/>
        </w:rPr>
      </w:pPr>
    </w:p>
    <w:p>
      <w:pPr>
        <w:spacing w:after="0" w:line="200" w:lineRule="exact"/>
        <w:rPr>
          <w:rFonts w:ascii="Arial" w:cs="Arial" w:eastAsia="Arial" w:hAnsi="Arial"/>
          <w:sz w:val="28"/>
          <w:szCs w:val="28"/>
          <w:color w:val="C3092C"/>
        </w:rPr>
      </w:pPr>
    </w:p>
    <w:p>
      <w:pPr>
        <w:spacing w:after="0" w:line="200" w:lineRule="exact"/>
        <w:rPr>
          <w:rFonts w:ascii="Arial" w:cs="Arial" w:eastAsia="Arial" w:hAnsi="Arial"/>
          <w:sz w:val="28"/>
          <w:szCs w:val="28"/>
          <w:color w:val="C3092C"/>
        </w:rPr>
      </w:pPr>
    </w:p>
    <w:p>
      <w:pPr>
        <w:spacing w:after="0" w:line="200" w:lineRule="exact"/>
        <w:rPr>
          <w:rFonts w:ascii="Arial" w:cs="Arial" w:eastAsia="Arial" w:hAnsi="Arial"/>
          <w:sz w:val="28"/>
          <w:szCs w:val="28"/>
          <w:color w:val="C3092C"/>
        </w:rPr>
      </w:pPr>
    </w:p>
    <w:p>
      <w:pPr>
        <w:spacing w:after="0" w:line="322" w:lineRule="exact"/>
        <w:rPr>
          <w:rFonts w:ascii="Arial" w:cs="Arial" w:eastAsia="Arial" w:hAnsi="Arial"/>
          <w:sz w:val="28"/>
          <w:szCs w:val="28"/>
          <w:color w:val="C3092C"/>
        </w:rPr>
      </w:pPr>
    </w:p>
    <w:p>
      <w:pPr>
        <w:ind w:left="740" w:hanging="431"/>
        <w:spacing w:after="0"/>
        <w:tabs>
          <w:tab w:leader="none" w:pos="740" w:val="left"/>
        </w:tabs>
        <w:numPr>
          <w:ilvl w:val="0"/>
          <w:numId w:val="75"/>
        </w:numPr>
        <w:rPr>
          <w:rFonts w:ascii="Arial" w:cs="Arial" w:eastAsia="Arial" w:hAnsi="Arial"/>
          <w:sz w:val="28"/>
          <w:szCs w:val="28"/>
          <w:color w:val="C3092C"/>
        </w:rPr>
      </w:pPr>
      <w:r>
        <w:rPr>
          <w:rFonts w:ascii="Arial" w:cs="Arial" w:eastAsia="Arial" w:hAnsi="Arial"/>
          <w:sz w:val="28"/>
          <w:szCs w:val="28"/>
          <w:b w:val="1"/>
          <w:bCs w:val="1"/>
          <w:color w:val="545454"/>
        </w:rPr>
        <w:t>Organizations we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E71B21"/>
        </w:rPr>
        <w:t>19</w:t>
      </w:r>
    </w:p>
    <w:p>
      <w:pPr>
        <w:spacing w:after="0" w:line="51" w:lineRule="exact"/>
        <w:rPr>
          <w:sz w:val="20"/>
          <w:szCs w:val="20"/>
          <w:color w:val="auto"/>
        </w:rPr>
      </w:pPr>
    </w:p>
    <w:p>
      <w:pPr>
        <w:jc w:val="right"/>
        <w:ind w:right="361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63" w:right="1440" w:bottom="1440" w:gutter="0" w:footer="0" w:header="0"/>
        </w:sectPr>
      </w:pPr>
    </w:p>
    <w:bookmarkStart w:id="102" w:name="page103"/>
    <w:bookmarkEnd w:id="102"/>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Path to EBITDA Profitability</w:t>
      </w:r>
    </w:p>
    <w:p>
      <w:pPr>
        <w:spacing w:after="0" w:line="200" w:lineRule="exact"/>
        <w:rPr>
          <w:sz w:val="20"/>
          <w:szCs w:val="20"/>
          <w:color w:val="auto"/>
        </w:rPr>
      </w:pPr>
    </w:p>
    <w:p>
      <w:pPr>
        <w:spacing w:after="0" w:line="250" w:lineRule="exact"/>
        <w:rPr>
          <w:sz w:val="20"/>
          <w:szCs w:val="20"/>
          <w:color w:val="auto"/>
        </w:rPr>
      </w:pPr>
    </w:p>
    <w:p>
      <w:pPr>
        <w:ind w:left="840" w:hanging="426"/>
        <w:spacing w:after="0" w:line="291" w:lineRule="auto"/>
        <w:tabs>
          <w:tab w:leader="none" w:pos="840" w:val="left"/>
        </w:tabs>
        <w:numPr>
          <w:ilvl w:val="0"/>
          <w:numId w:val="76"/>
        </w:numPr>
        <w:rPr>
          <w:rFonts w:ascii="Arial" w:cs="Arial" w:eastAsia="Arial" w:hAnsi="Arial"/>
          <w:sz w:val="24"/>
          <w:szCs w:val="24"/>
          <w:color w:val="C3092C"/>
        </w:rPr>
      </w:pPr>
      <w:r>
        <w:rPr>
          <w:rFonts w:ascii="Arial" w:cs="Arial" w:eastAsia="Arial" w:hAnsi="Arial"/>
          <w:sz w:val="24"/>
          <w:szCs w:val="24"/>
          <w:b w:val="1"/>
          <w:bCs w:val="1"/>
          <w:color w:val="545454"/>
        </w:rPr>
        <w:t>EBITDA profitability targets: 125 wheels sold per quarter, combined quarterly service and ancillary revenues &gt; $3 million and an $80,000 average selling price</w:t>
      </w:r>
    </w:p>
    <w:p>
      <w:pPr>
        <w:ind w:left="840" w:hanging="426"/>
        <w:spacing w:after="0"/>
        <w:tabs>
          <w:tab w:leader="none" w:pos="840" w:val="left"/>
        </w:tabs>
        <w:numPr>
          <w:ilvl w:val="0"/>
          <w:numId w:val="76"/>
        </w:numPr>
        <w:rPr>
          <w:rFonts w:ascii="Arial" w:cs="Arial" w:eastAsia="Arial" w:hAnsi="Arial"/>
          <w:sz w:val="25"/>
          <w:szCs w:val="25"/>
          <w:color w:val="C3092C"/>
        </w:rPr>
      </w:pPr>
      <w:r>
        <w:rPr>
          <w:rFonts w:ascii="Arial" w:cs="Arial" w:eastAsia="Arial" w:hAnsi="Arial"/>
          <w:sz w:val="25"/>
          <w:szCs w:val="25"/>
          <w:b w:val="1"/>
          <w:bCs w:val="1"/>
          <w:color w:val="545454"/>
        </w:rPr>
        <w:t>2008 timetable for achieving EBITDA profitability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20" w:type="dxa"/>
        <w:tblCellMar>
          <w:top w:w="0" w:type="dxa"/>
          <w:left w:w="0" w:type="dxa"/>
          <w:bottom w:w="0" w:type="dxa"/>
          <w:right w:w="0" w:type="dxa"/>
        </w:tblCellMar>
      </w:tblPr>
      <w:tr>
        <w:trPr>
          <w:trHeight w:val="349"/>
        </w:trPr>
        <w:tc>
          <w:tcPr>
            <w:tcW w:w="468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5"/>
                <w:szCs w:val="25"/>
                <w:b w:val="1"/>
                <w:bCs w:val="1"/>
                <w:color w:val="FFFFFF"/>
                <w:w w:val="97"/>
              </w:rPr>
              <w:t>Q2 2007</w:t>
            </w:r>
          </w:p>
        </w:tc>
        <w:tc>
          <w:tcPr>
            <w:tcW w:w="1860" w:type="dxa"/>
            <w:vAlign w:val="bottom"/>
          </w:tcPr>
          <w:p>
            <w:pPr>
              <w:jc w:val="center"/>
              <w:ind w:left="497"/>
              <w:spacing w:after="0"/>
              <w:rPr>
                <w:sz w:val="20"/>
                <w:szCs w:val="20"/>
                <w:color w:val="auto"/>
              </w:rPr>
            </w:pPr>
            <w:r>
              <w:rPr>
                <w:rFonts w:ascii="Arial" w:cs="Arial" w:eastAsia="Arial" w:hAnsi="Arial"/>
                <w:sz w:val="25"/>
                <w:szCs w:val="25"/>
                <w:b w:val="1"/>
                <w:bCs w:val="1"/>
                <w:color w:val="FFFFFF"/>
                <w:w w:val="98"/>
              </w:rPr>
              <w:t>Breakeven</w:t>
            </w:r>
          </w:p>
        </w:tc>
      </w:tr>
      <w:tr>
        <w:trPr>
          <w:trHeight w:val="597"/>
        </w:trPr>
        <w:tc>
          <w:tcPr>
            <w:tcW w:w="4680" w:type="dxa"/>
            <w:vAlign w:val="bottom"/>
          </w:tcPr>
          <w:p>
            <w:pPr>
              <w:spacing w:after="0"/>
              <w:rPr>
                <w:sz w:val="20"/>
                <w:szCs w:val="20"/>
                <w:color w:val="auto"/>
              </w:rPr>
            </w:pPr>
            <w:r>
              <w:rPr>
                <w:rFonts w:ascii="Arial" w:cs="Arial" w:eastAsia="Arial" w:hAnsi="Arial"/>
                <w:sz w:val="25"/>
                <w:szCs w:val="25"/>
                <w:color w:val="auto"/>
              </w:rPr>
              <w:t>Wheel Sales / Quarter</w:t>
            </w:r>
          </w:p>
        </w:tc>
        <w:tc>
          <w:tcPr>
            <w:tcW w:w="2300" w:type="dxa"/>
            <w:vAlign w:val="bottom"/>
          </w:tcPr>
          <w:p>
            <w:pPr>
              <w:jc w:val="right"/>
              <w:ind w:right="877"/>
              <w:spacing w:after="0"/>
              <w:rPr>
                <w:sz w:val="20"/>
                <w:szCs w:val="20"/>
                <w:color w:val="auto"/>
              </w:rPr>
            </w:pPr>
            <w:r>
              <w:rPr>
                <w:rFonts w:ascii="Arial" w:cs="Arial" w:eastAsia="Arial" w:hAnsi="Arial"/>
                <w:sz w:val="25"/>
                <w:szCs w:val="25"/>
                <w:color w:val="auto"/>
              </w:rPr>
              <w:t>81</w:t>
            </w:r>
          </w:p>
        </w:tc>
        <w:tc>
          <w:tcPr>
            <w:tcW w:w="1860" w:type="dxa"/>
            <w:vAlign w:val="bottom"/>
          </w:tcPr>
          <w:p>
            <w:pPr>
              <w:jc w:val="center"/>
              <w:ind w:left="497"/>
              <w:spacing w:after="0"/>
              <w:rPr>
                <w:sz w:val="20"/>
                <w:szCs w:val="20"/>
                <w:color w:val="auto"/>
              </w:rPr>
            </w:pPr>
            <w:r>
              <w:rPr>
                <w:rFonts w:ascii="Arial" w:cs="Arial" w:eastAsia="Arial" w:hAnsi="Arial"/>
                <w:sz w:val="25"/>
                <w:szCs w:val="25"/>
                <w:color w:val="auto"/>
                <w:w w:val="95"/>
              </w:rPr>
              <w:t>125</w:t>
            </w:r>
          </w:p>
        </w:tc>
      </w:tr>
      <w:tr>
        <w:trPr>
          <w:trHeight w:val="540"/>
        </w:trPr>
        <w:tc>
          <w:tcPr>
            <w:tcW w:w="4680" w:type="dxa"/>
            <w:vAlign w:val="bottom"/>
          </w:tcPr>
          <w:p>
            <w:pPr>
              <w:spacing w:after="0"/>
              <w:rPr>
                <w:sz w:val="20"/>
                <w:szCs w:val="20"/>
                <w:color w:val="auto"/>
              </w:rPr>
            </w:pPr>
            <w:r>
              <w:rPr>
                <w:rFonts w:ascii="Arial" w:cs="Arial" w:eastAsia="Arial" w:hAnsi="Arial"/>
                <w:sz w:val="25"/>
                <w:szCs w:val="25"/>
                <w:color w:val="auto"/>
              </w:rPr>
              <w:t>Average Selling Price</w:t>
            </w:r>
          </w:p>
        </w:tc>
        <w:tc>
          <w:tcPr>
            <w:tcW w:w="2300" w:type="dxa"/>
            <w:vAlign w:val="bottom"/>
          </w:tcPr>
          <w:p>
            <w:pPr>
              <w:jc w:val="right"/>
              <w:ind w:right="597"/>
              <w:spacing w:after="0"/>
              <w:rPr>
                <w:sz w:val="20"/>
                <w:szCs w:val="20"/>
                <w:color w:val="auto"/>
              </w:rPr>
            </w:pPr>
            <w:r>
              <w:rPr>
                <w:rFonts w:ascii="Arial" w:cs="Arial" w:eastAsia="Arial" w:hAnsi="Arial"/>
                <w:sz w:val="25"/>
                <w:szCs w:val="25"/>
                <w:color w:val="auto"/>
              </w:rPr>
              <w:t>$68,570</w:t>
            </w:r>
          </w:p>
        </w:tc>
        <w:tc>
          <w:tcPr>
            <w:tcW w:w="1860" w:type="dxa"/>
            <w:vAlign w:val="bottom"/>
          </w:tcPr>
          <w:p>
            <w:pPr>
              <w:jc w:val="right"/>
              <w:ind w:right="97"/>
              <w:spacing w:after="0"/>
              <w:rPr>
                <w:sz w:val="20"/>
                <w:szCs w:val="20"/>
                <w:color w:val="auto"/>
              </w:rPr>
            </w:pPr>
            <w:r>
              <w:rPr>
                <w:rFonts w:ascii="Arial" w:cs="Arial" w:eastAsia="Arial" w:hAnsi="Arial"/>
                <w:sz w:val="25"/>
                <w:szCs w:val="25"/>
                <w:color w:val="auto"/>
              </w:rPr>
              <w:t>$80,000</w:t>
            </w:r>
          </w:p>
        </w:tc>
      </w:tr>
      <w:tr>
        <w:trPr>
          <w:trHeight w:val="529"/>
        </w:trPr>
        <w:tc>
          <w:tcPr>
            <w:tcW w:w="4680" w:type="dxa"/>
            <w:vAlign w:val="bottom"/>
          </w:tcPr>
          <w:p>
            <w:pPr>
              <w:spacing w:after="0"/>
              <w:rPr>
                <w:sz w:val="20"/>
                <w:szCs w:val="20"/>
                <w:color w:val="auto"/>
              </w:rPr>
            </w:pPr>
            <w:r>
              <w:rPr>
                <w:rFonts w:ascii="Arial" w:cs="Arial" w:eastAsia="Arial" w:hAnsi="Arial"/>
                <w:sz w:val="25"/>
                <w:szCs w:val="25"/>
                <w:color w:val="auto"/>
              </w:rPr>
              <w:t>Service &amp; Ancillary Revenue / Quarter</w:t>
            </w:r>
          </w:p>
        </w:tc>
        <w:tc>
          <w:tcPr>
            <w:tcW w:w="2300" w:type="dxa"/>
            <w:vAlign w:val="bottom"/>
          </w:tcPr>
          <w:p>
            <w:pPr>
              <w:jc w:val="right"/>
              <w:ind w:right="437"/>
              <w:spacing w:after="0"/>
              <w:rPr>
                <w:sz w:val="20"/>
                <w:szCs w:val="20"/>
                <w:color w:val="auto"/>
              </w:rPr>
            </w:pPr>
            <w:r>
              <w:rPr>
                <w:rFonts w:ascii="Arial" w:cs="Arial" w:eastAsia="Arial" w:hAnsi="Arial"/>
                <w:sz w:val="25"/>
                <w:szCs w:val="25"/>
                <w:color w:val="auto"/>
              </w:rPr>
              <w:t>$3,436,000</w:t>
            </w:r>
          </w:p>
        </w:tc>
        <w:tc>
          <w:tcPr>
            <w:tcW w:w="1860" w:type="dxa"/>
            <w:vAlign w:val="bottom"/>
          </w:tcPr>
          <w:p>
            <w:pPr>
              <w:jc w:val="right"/>
              <w:spacing w:after="0"/>
              <w:rPr>
                <w:sz w:val="20"/>
                <w:szCs w:val="20"/>
                <w:color w:val="auto"/>
              </w:rPr>
            </w:pPr>
            <w:r>
              <w:rPr>
                <w:rFonts w:ascii="Arial" w:cs="Arial" w:eastAsia="Arial" w:hAnsi="Arial"/>
                <w:sz w:val="25"/>
                <w:szCs w:val="25"/>
                <w:color w:val="auto"/>
              </w:rPr>
              <w:t>$3,000,000</w:t>
            </w:r>
          </w:p>
        </w:tc>
      </w:tr>
      <w:tr>
        <w:trPr>
          <w:trHeight w:val="529"/>
        </w:trPr>
        <w:tc>
          <w:tcPr>
            <w:tcW w:w="4680" w:type="dxa"/>
            <w:vAlign w:val="bottom"/>
          </w:tcPr>
          <w:p>
            <w:pPr>
              <w:spacing w:after="0"/>
              <w:rPr>
                <w:sz w:val="20"/>
                <w:szCs w:val="20"/>
                <w:color w:val="auto"/>
              </w:rPr>
            </w:pPr>
            <w:r>
              <w:rPr>
                <w:rFonts w:ascii="Arial" w:cs="Arial" w:eastAsia="Arial" w:hAnsi="Arial"/>
                <w:sz w:val="25"/>
                <w:szCs w:val="25"/>
                <w:color w:val="auto"/>
              </w:rPr>
              <w:t>Cumulative Wheels Sold</w:t>
            </w:r>
          </w:p>
        </w:tc>
        <w:tc>
          <w:tcPr>
            <w:tcW w:w="2300" w:type="dxa"/>
            <w:vAlign w:val="bottom"/>
          </w:tcPr>
          <w:p>
            <w:pPr>
              <w:jc w:val="right"/>
              <w:ind w:right="757"/>
              <w:spacing w:after="0"/>
              <w:rPr>
                <w:sz w:val="20"/>
                <w:szCs w:val="20"/>
                <w:color w:val="auto"/>
              </w:rPr>
            </w:pPr>
            <w:r>
              <w:rPr>
                <w:rFonts w:ascii="Arial" w:cs="Arial" w:eastAsia="Arial" w:hAnsi="Arial"/>
                <w:sz w:val="25"/>
                <w:szCs w:val="25"/>
                <w:color w:val="auto"/>
              </w:rPr>
              <w:t>1,600</w:t>
            </w:r>
          </w:p>
        </w:tc>
        <w:tc>
          <w:tcPr>
            <w:tcW w:w="1860" w:type="dxa"/>
            <w:vAlign w:val="bottom"/>
          </w:tcPr>
          <w:p>
            <w:pPr>
              <w:jc w:val="center"/>
              <w:ind w:left="497"/>
              <w:spacing w:after="0"/>
              <w:rPr>
                <w:sz w:val="20"/>
                <w:szCs w:val="20"/>
                <w:color w:val="auto"/>
              </w:rPr>
            </w:pPr>
            <w:r>
              <w:rPr>
                <w:rFonts w:ascii="Arial" w:cs="Arial" w:eastAsia="Arial" w:hAnsi="Arial"/>
                <w:sz w:val="25"/>
                <w:szCs w:val="25"/>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E71B21"/>
        </w:rPr>
        <w:t>20</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160"/>
          </w:cols>
          <w:pgMar w:left="360" w:top="687" w:right="1379" w:bottom="1440" w:gutter="0" w:footer="0" w:header="0"/>
        </w:sectPr>
      </w:pPr>
    </w:p>
    <w:bookmarkStart w:id="103" w:name="page104"/>
    <w:bookmarkEnd w:id="103"/>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Awards &amp; Acknowledgements</w:t>
      </w:r>
    </w:p>
    <w:p>
      <w:pPr>
        <w:spacing w:after="0" w:line="200" w:lineRule="exact"/>
        <w:rPr>
          <w:sz w:val="20"/>
          <w:szCs w:val="20"/>
          <w:color w:val="auto"/>
        </w:rPr>
      </w:pPr>
    </w:p>
    <w:p>
      <w:pPr>
        <w:spacing w:after="0" w:line="238" w:lineRule="exact"/>
        <w:rPr>
          <w:sz w:val="20"/>
          <w:szCs w:val="20"/>
          <w:color w:val="auto"/>
        </w:rPr>
      </w:pPr>
    </w:p>
    <w:p>
      <w:pPr>
        <w:ind w:left="740" w:hanging="431"/>
        <w:spacing w:after="0"/>
        <w:tabs>
          <w:tab w:leader="none" w:pos="740" w:val="left"/>
        </w:tabs>
        <w:numPr>
          <w:ilvl w:val="0"/>
          <w:numId w:val="77"/>
        </w:numPr>
        <w:rPr>
          <w:rFonts w:ascii="Arial" w:cs="Arial" w:eastAsia="Arial" w:hAnsi="Arial"/>
          <w:sz w:val="25"/>
          <w:szCs w:val="25"/>
          <w:color w:val="C3092C"/>
        </w:rPr>
      </w:pPr>
      <w:r>
        <w:rPr>
          <w:rFonts w:ascii="Arial" w:cs="Arial" w:eastAsia="Arial" w:hAnsi="Arial"/>
          <w:sz w:val="25"/>
          <w:szCs w:val="25"/>
          <w:b w:val="1"/>
          <w:bCs w:val="1"/>
          <w:color w:val="545454"/>
        </w:rPr>
        <w:t>2007</w:t>
      </w:r>
    </w:p>
    <w:p>
      <w:pPr>
        <w:spacing w:after="0" w:line="38" w:lineRule="exact"/>
        <w:rPr>
          <w:sz w:val="20"/>
          <w:szCs w:val="20"/>
          <w:color w:val="auto"/>
        </w:rPr>
      </w:pPr>
    </w:p>
    <w:p>
      <w:pPr>
        <w:ind w:left="1220" w:right="379"/>
        <w:spacing w:after="0" w:line="252" w:lineRule="auto"/>
        <w:rPr>
          <w:sz w:val="20"/>
          <w:szCs w:val="20"/>
          <w:color w:val="auto"/>
        </w:rPr>
      </w:pPr>
      <w:r>
        <w:rPr>
          <w:rFonts w:ascii="Arial" w:cs="Arial" w:eastAsia="Arial" w:hAnsi="Arial"/>
          <w:sz w:val="22"/>
          <w:szCs w:val="22"/>
          <w:color w:val="545454"/>
        </w:rPr>
        <w:t>Recently awarded ETL certification by Carbon Trust allows Active customers to receive substantial subsidies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Data Centres Europe, Most Innovative New Product Award CSUPS</w:t>
      </w:r>
    </w:p>
    <w:p>
      <w:pPr>
        <w:spacing w:after="0" w:line="287" w:lineRule="exact"/>
        <w:rPr>
          <w:sz w:val="20"/>
          <w:szCs w:val="20"/>
          <w:color w:val="auto"/>
        </w:rPr>
      </w:pPr>
    </w:p>
    <w:p>
      <w:pPr>
        <w:ind w:left="740" w:hanging="431"/>
        <w:spacing w:after="0"/>
        <w:tabs>
          <w:tab w:leader="none" w:pos="740" w:val="left"/>
        </w:tabs>
        <w:numPr>
          <w:ilvl w:val="0"/>
          <w:numId w:val="78"/>
        </w:numPr>
        <w:rPr>
          <w:rFonts w:ascii="Arial" w:cs="Arial" w:eastAsia="Arial" w:hAnsi="Arial"/>
          <w:sz w:val="25"/>
          <w:szCs w:val="25"/>
          <w:color w:val="C3092C"/>
        </w:rPr>
      </w:pPr>
      <w:r>
        <w:rPr>
          <w:rFonts w:ascii="Arial" w:cs="Arial" w:eastAsia="Arial" w:hAnsi="Arial"/>
          <w:sz w:val="25"/>
          <w:szCs w:val="25"/>
          <w:b w:val="1"/>
          <w:bCs w:val="1"/>
          <w:color w:val="545454"/>
        </w:rPr>
        <w:t>2006</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Frost &amp; Sullivan Backup Power Technology Innovation of the Year Award</w:t>
      </w:r>
    </w:p>
    <w:p>
      <w:pPr>
        <w:spacing w:after="0" w:line="17" w:lineRule="exact"/>
        <w:rPr>
          <w:sz w:val="20"/>
          <w:szCs w:val="20"/>
          <w:color w:val="auto"/>
        </w:rPr>
      </w:pPr>
    </w:p>
    <w:p>
      <w:pPr>
        <w:ind w:left="1220" w:right="199"/>
        <w:spacing w:after="0" w:line="261" w:lineRule="auto"/>
        <w:rPr>
          <w:sz w:val="20"/>
          <w:szCs w:val="20"/>
          <w:color w:val="auto"/>
        </w:rPr>
      </w:pPr>
      <w:r>
        <w:rPr>
          <w:rFonts w:ascii="Arial" w:cs="Arial" w:eastAsia="Arial" w:hAnsi="Arial"/>
          <w:sz w:val="22"/>
          <w:szCs w:val="22"/>
          <w:color w:val="545454"/>
        </w:rPr>
        <w:t>TechTarget’s SearchDataCenter.com Product of the Year for Data Center Backup Power Electrical Contracting Products Magazine finalist for INNOVATION Award</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EC&amp;M Magazine Product of the Year for Power Conditioning Category</w:t>
      </w:r>
    </w:p>
    <w:p>
      <w:pPr>
        <w:spacing w:after="0" w:line="291" w:lineRule="exact"/>
        <w:rPr>
          <w:sz w:val="20"/>
          <w:szCs w:val="20"/>
          <w:color w:val="auto"/>
        </w:rPr>
      </w:pPr>
    </w:p>
    <w:p>
      <w:pPr>
        <w:ind w:left="740" w:hanging="431"/>
        <w:spacing w:after="0"/>
        <w:tabs>
          <w:tab w:leader="none" w:pos="740" w:val="left"/>
        </w:tabs>
        <w:numPr>
          <w:ilvl w:val="0"/>
          <w:numId w:val="79"/>
        </w:numPr>
        <w:rPr>
          <w:rFonts w:ascii="Arial" w:cs="Arial" w:eastAsia="Arial" w:hAnsi="Arial"/>
          <w:sz w:val="25"/>
          <w:szCs w:val="25"/>
          <w:color w:val="C3092C"/>
        </w:rPr>
      </w:pPr>
      <w:r>
        <w:rPr>
          <w:rFonts w:ascii="Arial" w:cs="Arial" w:eastAsia="Arial" w:hAnsi="Arial"/>
          <w:sz w:val="25"/>
          <w:szCs w:val="25"/>
          <w:b w:val="1"/>
          <w:bCs w:val="1"/>
          <w:color w:val="545454"/>
        </w:rPr>
        <w:t>2005</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Electronic Products Magazine Product of the Year</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Frost &amp; Sullivan Customer Development Leadership Award</w:t>
      </w:r>
    </w:p>
    <w:p>
      <w:pPr>
        <w:spacing w:after="0" w:line="287" w:lineRule="exact"/>
        <w:rPr>
          <w:sz w:val="20"/>
          <w:szCs w:val="20"/>
          <w:color w:val="auto"/>
        </w:rPr>
      </w:pPr>
    </w:p>
    <w:p>
      <w:pPr>
        <w:ind w:left="740" w:hanging="431"/>
        <w:spacing w:after="0"/>
        <w:tabs>
          <w:tab w:leader="none" w:pos="740" w:val="left"/>
        </w:tabs>
        <w:numPr>
          <w:ilvl w:val="0"/>
          <w:numId w:val="80"/>
        </w:numPr>
        <w:rPr>
          <w:rFonts w:ascii="Arial" w:cs="Arial" w:eastAsia="Arial" w:hAnsi="Arial"/>
          <w:sz w:val="25"/>
          <w:szCs w:val="25"/>
          <w:color w:val="C3092C"/>
        </w:rPr>
      </w:pPr>
      <w:r>
        <w:rPr>
          <w:rFonts w:ascii="Arial" w:cs="Arial" w:eastAsia="Arial" w:hAnsi="Arial"/>
          <w:sz w:val="25"/>
          <w:szCs w:val="25"/>
          <w:b w:val="1"/>
          <w:bCs w:val="1"/>
          <w:color w:val="545454"/>
        </w:rPr>
        <w:t>2003</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Frost &amp; Sullivan Product Line Strategy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E71B21"/>
        </w:rPr>
        <w:t>21</w:t>
      </w:r>
    </w:p>
    <w:p>
      <w:pPr>
        <w:spacing w:after="0" w:line="51" w:lineRule="exact"/>
        <w:rPr>
          <w:sz w:val="20"/>
          <w:szCs w:val="20"/>
          <w:color w:val="auto"/>
        </w:rPr>
      </w:pPr>
    </w:p>
    <w:p>
      <w:pPr>
        <w:ind w:left="4460"/>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104" w:name="page105"/>
    <w:bookmarkEnd w:id="104"/>
    <w:p>
      <w:pPr>
        <w:ind w:left="52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A Growing Active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808080"/>
        </w:rPr>
        <w:t>HQ’s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808080"/>
        </w:rPr>
        <w:t>Sales &amp; Service &amp; Demonstration Centers</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808080"/>
        </w:rPr>
        <w:t>Customer Installations (Country)</w:t>
      </w:r>
    </w:p>
    <w:p>
      <w:pPr>
        <w:ind w:left="520" w:hanging="517"/>
        <w:spacing w:after="0" w:line="215" w:lineRule="auto"/>
        <w:tabs>
          <w:tab w:leader="none" w:pos="520" w:val="left"/>
        </w:tabs>
        <w:numPr>
          <w:ilvl w:val="0"/>
          <w:numId w:val="81"/>
        </w:numPr>
        <w:rPr>
          <w:rFonts w:ascii="Arial" w:cs="Arial" w:eastAsia="Arial" w:hAnsi="Arial"/>
          <w:sz w:val="28"/>
          <w:szCs w:val="28"/>
          <w:color w:val="E71B21"/>
          <w:vertAlign w:val="subscript"/>
        </w:rPr>
      </w:pPr>
      <w:r>
        <w:rPr>
          <w:rFonts w:ascii="Arial" w:cs="Arial" w:eastAsia="Arial" w:hAnsi="Arial"/>
          <w:sz w:val="22"/>
          <w:szCs w:val="22"/>
          <w:b w:val="1"/>
          <w:bCs w:val="1"/>
          <w:color w:val="808080"/>
        </w:rPr>
        <w:t>Manufacturers’ Representatives &amp; Distributors</w:t>
      </w:r>
    </w:p>
    <w:p>
      <w:pPr>
        <w:spacing w:after="0" w:line="44" w:lineRule="exact"/>
        <w:rPr>
          <w:sz w:val="20"/>
          <w:szCs w:val="20"/>
          <w:color w:val="auto"/>
        </w:rPr>
      </w:pPr>
    </w:p>
    <w:p>
      <w:pPr>
        <w:jc w:val="right"/>
        <w:ind w:right="361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105" w:name="page106"/>
    <w:bookmarkEnd w:id="105"/>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Investment Highlights</w:t>
      </w:r>
    </w:p>
    <w:p>
      <w:pPr>
        <w:spacing w:after="0" w:line="200" w:lineRule="exact"/>
        <w:rPr>
          <w:sz w:val="20"/>
          <w:szCs w:val="20"/>
          <w:color w:val="auto"/>
        </w:rPr>
      </w:pPr>
    </w:p>
    <w:p>
      <w:pPr>
        <w:spacing w:after="0" w:line="238" w:lineRule="exact"/>
        <w:rPr>
          <w:sz w:val="20"/>
          <w:szCs w:val="20"/>
          <w:color w:val="auto"/>
        </w:rPr>
      </w:pPr>
    </w:p>
    <w:p>
      <w:pPr>
        <w:ind w:left="740" w:hanging="431"/>
        <w:spacing w:after="0"/>
        <w:tabs>
          <w:tab w:leader="none" w:pos="740" w:val="left"/>
        </w:tabs>
        <w:numPr>
          <w:ilvl w:val="0"/>
          <w:numId w:val="82"/>
        </w:numPr>
        <w:rPr>
          <w:rFonts w:ascii="Arial" w:cs="Arial" w:eastAsia="Arial" w:hAnsi="Arial"/>
          <w:sz w:val="25"/>
          <w:szCs w:val="25"/>
          <w:color w:val="C3092C"/>
        </w:rPr>
      </w:pPr>
      <w:r>
        <w:rPr>
          <w:rFonts w:ascii="Arial" w:cs="Arial" w:eastAsia="Arial" w:hAnsi="Arial"/>
          <w:sz w:val="25"/>
          <w:szCs w:val="25"/>
          <w:b w:val="1"/>
          <w:bCs w:val="1"/>
          <w:color w:val="545454"/>
        </w:rPr>
        <w:t>Demonstrating ability to perform</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41% revenue growth in 2006</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Q2 2007 record revenue performance $9.2M is 68% increase over Q2 2006</w:t>
      </w:r>
    </w:p>
    <w:p>
      <w:pPr>
        <w:spacing w:after="0" w:line="4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3% gross margin in 2006, first year ever achieved</w:t>
      </w:r>
    </w:p>
    <w:p>
      <w:pPr>
        <w:spacing w:after="0" w:line="4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17% gross margin in Q2 2007</w:t>
      </w:r>
    </w:p>
    <w:p>
      <w:pPr>
        <w:spacing w:after="0" w:line="29" w:lineRule="exact"/>
        <w:rPr>
          <w:sz w:val="20"/>
          <w:szCs w:val="20"/>
          <w:color w:val="auto"/>
        </w:rPr>
      </w:pPr>
    </w:p>
    <w:p>
      <w:pPr>
        <w:ind w:left="1220"/>
        <w:spacing w:after="0" w:line="261" w:lineRule="auto"/>
        <w:rPr>
          <w:sz w:val="20"/>
          <w:szCs w:val="20"/>
          <w:color w:val="auto"/>
        </w:rPr>
      </w:pPr>
      <w:r>
        <w:rPr>
          <w:rFonts w:ascii="Arial" w:cs="Arial" w:eastAsia="Arial" w:hAnsi="Arial"/>
          <w:sz w:val="22"/>
          <w:szCs w:val="22"/>
          <w:color w:val="545454"/>
        </w:rPr>
        <w:t>Recently announced a multimillion dollar, 7.6 MW order from a European based customer for four Containerized Mobile Power systems</w:t>
      </w:r>
    </w:p>
    <w:p>
      <w:pPr>
        <w:spacing w:after="0" w:line="1" w:lineRule="exact"/>
        <w:rPr>
          <w:sz w:val="20"/>
          <w:szCs w:val="20"/>
          <w:color w:val="auto"/>
        </w:rPr>
      </w:pPr>
    </w:p>
    <w:p>
      <w:pPr>
        <w:ind w:left="740" w:hanging="431"/>
        <w:spacing w:after="0"/>
        <w:tabs>
          <w:tab w:leader="none" w:pos="740" w:val="left"/>
        </w:tabs>
        <w:numPr>
          <w:ilvl w:val="0"/>
          <w:numId w:val="83"/>
        </w:numPr>
        <w:rPr>
          <w:rFonts w:ascii="Arial" w:cs="Arial" w:eastAsia="Arial" w:hAnsi="Arial"/>
          <w:sz w:val="25"/>
          <w:szCs w:val="25"/>
          <w:color w:val="C3092C"/>
        </w:rPr>
      </w:pPr>
      <w:r>
        <w:rPr>
          <w:rFonts w:ascii="Arial" w:cs="Arial" w:eastAsia="Arial" w:hAnsi="Arial"/>
          <w:sz w:val="25"/>
          <w:szCs w:val="25"/>
          <w:b w:val="1"/>
          <w:bCs w:val="1"/>
          <w:color w:val="545454"/>
        </w:rPr>
        <w:t>Differentiated family of products</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CleanSource: the most energy &amp; space efficient UPS in the world, and its green!</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CoolAir: the world’s only back up power &amp; cooling system, and its green!</w:t>
      </w:r>
    </w:p>
    <w:p>
      <w:pPr>
        <w:spacing w:after="0" w:line="52" w:lineRule="exact"/>
        <w:rPr>
          <w:sz w:val="20"/>
          <w:szCs w:val="20"/>
          <w:color w:val="auto"/>
        </w:rPr>
      </w:pPr>
    </w:p>
    <w:p>
      <w:pPr>
        <w:ind w:left="740" w:hanging="431"/>
        <w:spacing w:after="0"/>
        <w:tabs>
          <w:tab w:leader="none" w:pos="740" w:val="left"/>
        </w:tabs>
        <w:numPr>
          <w:ilvl w:val="0"/>
          <w:numId w:val="84"/>
        </w:numPr>
        <w:rPr>
          <w:rFonts w:ascii="Arial" w:cs="Arial" w:eastAsia="Arial" w:hAnsi="Arial"/>
          <w:sz w:val="25"/>
          <w:szCs w:val="25"/>
          <w:color w:val="C3092C"/>
        </w:rPr>
      </w:pPr>
      <w:r>
        <w:rPr>
          <w:rFonts w:ascii="Arial" w:cs="Arial" w:eastAsia="Arial" w:hAnsi="Arial"/>
          <w:sz w:val="25"/>
          <w:szCs w:val="25"/>
          <w:b w:val="1"/>
          <w:bCs w:val="1"/>
          <w:color w:val="545454"/>
        </w:rPr>
        <w:t>Delivering solutions globally</w:t>
      </w:r>
    </w:p>
    <w:p>
      <w:pPr>
        <w:spacing w:after="0" w:line="50" w:lineRule="exact"/>
        <w:rPr>
          <w:sz w:val="20"/>
          <w:szCs w:val="20"/>
          <w:color w:val="auto"/>
        </w:rPr>
      </w:pPr>
    </w:p>
    <w:p>
      <w:pPr>
        <w:ind w:left="1220" w:right="3740"/>
        <w:spacing w:after="0" w:line="274" w:lineRule="auto"/>
        <w:rPr>
          <w:sz w:val="20"/>
          <w:szCs w:val="20"/>
          <w:color w:val="auto"/>
        </w:rPr>
      </w:pPr>
      <w:r>
        <w:rPr>
          <w:rFonts w:ascii="Arial" w:cs="Arial" w:eastAsia="Arial" w:hAnsi="Arial"/>
          <w:sz w:val="22"/>
          <w:szCs w:val="22"/>
          <w:color w:val="545454"/>
        </w:rPr>
        <w:t>Over 400 MWs of power delivered via 1600 wheels globally 45 units and 81 wheels sold in Q2 2007</w:t>
      </w:r>
    </w:p>
    <w:p>
      <w:pPr>
        <w:spacing w:after="0" w:line="1" w:lineRule="exact"/>
        <w:rPr>
          <w:sz w:val="20"/>
          <w:szCs w:val="20"/>
          <w:color w:val="auto"/>
        </w:rPr>
      </w:pPr>
    </w:p>
    <w:p>
      <w:pPr>
        <w:ind w:left="740" w:hanging="431"/>
        <w:spacing w:after="0"/>
        <w:tabs>
          <w:tab w:leader="none" w:pos="740" w:val="left"/>
        </w:tabs>
        <w:numPr>
          <w:ilvl w:val="0"/>
          <w:numId w:val="85"/>
        </w:numPr>
        <w:rPr>
          <w:rFonts w:ascii="Arial" w:cs="Arial" w:eastAsia="Arial" w:hAnsi="Arial"/>
          <w:sz w:val="25"/>
          <w:szCs w:val="25"/>
          <w:color w:val="C3092C"/>
        </w:rPr>
      </w:pPr>
      <w:r>
        <w:rPr>
          <w:rFonts w:ascii="Arial" w:cs="Arial" w:eastAsia="Arial" w:hAnsi="Arial"/>
          <w:sz w:val="25"/>
          <w:szCs w:val="25"/>
          <w:b w:val="1"/>
          <w:bCs w:val="1"/>
          <w:color w:val="545454"/>
        </w:rPr>
        <w:t>Establishing a path to profitability</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Multiple sales channels strategy developed</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Native geographic expansion implemented</w:t>
      </w:r>
    </w:p>
    <w:p>
      <w:pPr>
        <w:spacing w:after="0" w:line="29"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Growth of the service business</w:t>
      </w:r>
    </w:p>
    <w:p>
      <w:pPr>
        <w:spacing w:after="0" w:line="4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Focus on higher margin product sales</w:t>
      </w:r>
    </w:p>
    <w:p>
      <w:pPr>
        <w:spacing w:after="0" w:line="52" w:lineRule="exact"/>
        <w:rPr>
          <w:sz w:val="20"/>
          <w:szCs w:val="20"/>
          <w:color w:val="auto"/>
        </w:rPr>
      </w:pPr>
    </w:p>
    <w:p>
      <w:pPr>
        <w:ind w:left="740" w:hanging="431"/>
        <w:spacing w:after="0"/>
        <w:tabs>
          <w:tab w:leader="none" w:pos="740" w:val="left"/>
        </w:tabs>
        <w:numPr>
          <w:ilvl w:val="0"/>
          <w:numId w:val="86"/>
        </w:numPr>
        <w:rPr>
          <w:rFonts w:ascii="Arial" w:cs="Arial" w:eastAsia="Arial" w:hAnsi="Arial"/>
          <w:sz w:val="25"/>
          <w:szCs w:val="25"/>
          <w:color w:val="C3092C"/>
        </w:rPr>
      </w:pPr>
      <w:r>
        <w:rPr>
          <w:rFonts w:ascii="Arial" w:cs="Arial" w:eastAsia="Arial" w:hAnsi="Arial"/>
          <w:sz w:val="25"/>
          <w:szCs w:val="25"/>
          <w:b w:val="1"/>
          <w:bCs w:val="1"/>
          <w:color w:val="545454"/>
        </w:rPr>
        <w:t>Strong &amp; innovative management team</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New team transforming the business</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22"/>
          <w:szCs w:val="22"/>
          <w:color w:val="545454"/>
        </w:rPr>
        <w:t>Driving towards 125 wheels / quarter for EBITDA breakeven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E71B21"/>
        </w:rPr>
        <w:t>23</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820"/>
          </w:cols>
          <w:pgMar w:left="360" w:top="687" w:right="719" w:bottom="1440" w:gutter="0" w:footer="0" w:header="0"/>
        </w:sectPr>
      </w:pPr>
    </w:p>
    <w:bookmarkStart w:id="106" w:name="page107"/>
    <w:bookmarkEnd w:id="106"/>
    <w:p>
      <w:pPr>
        <w:ind w:left="50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0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4720" cy="5459095"/>
                    </a:xfrm>
                    <a:prstGeom prst="rect">
                      <a:avLst/>
                    </a:prstGeom>
                    <a:noFill/>
                  </pic:spPr>
                </pic:pic>
              </a:graphicData>
            </a:graphic>
          </wp:anchor>
        </w:drawing>
        <w:t>Questions &amp;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E71B21"/>
        </w:rPr>
        <w:t>24</w:t>
      </w:r>
    </w:p>
    <w:p>
      <w:pPr>
        <w:spacing w:after="0" w:line="51" w:lineRule="exact"/>
        <w:rPr>
          <w:sz w:val="20"/>
          <w:szCs w:val="20"/>
          <w:color w:val="auto"/>
        </w:rPr>
      </w:pPr>
    </w:p>
    <w:p>
      <w:pPr>
        <w:jc w:val="right"/>
        <w:ind w:right="3619"/>
        <w:spacing w:after="0"/>
        <w:rPr>
          <w:sz w:val="20"/>
          <w:szCs w:val="20"/>
          <w:color w:val="auto"/>
        </w:rPr>
      </w:pPr>
      <w:r>
        <w:rPr>
          <w:rFonts w:ascii="Arial" w:cs="Arial" w:eastAsia="Arial" w:hAnsi="Arial"/>
          <w:sz w:val="13"/>
          <w:szCs w:val="13"/>
          <w:color w:val="808080"/>
        </w:rPr>
        <w:t>Copyright © 2007 Active Power, Inc</w:t>
      </w:r>
    </w:p>
    <w:p>
      <w:pPr>
        <w:sectPr>
          <w:pgSz w:w="11900" w:h="16838" w:orient="portrait"/>
          <w:cols w:equalWidth="0" w:num="1">
            <w:col w:w="10099"/>
          </w:cols>
          <w:pgMar w:left="360" w:top="687" w:right="1440" w:bottom="1440" w:gutter="0" w:footer="0" w:header="0"/>
        </w:sectPr>
      </w:pPr>
    </w:p>
    <w:bookmarkStart w:id="107" w:name="page108"/>
    <w:bookmarkEnd w:id="107"/>
    <w:p>
      <w:pPr>
        <w:ind w:left="280"/>
        <w:spacing w:after="0"/>
        <w:rPr>
          <w:sz w:val="20"/>
          <w:szCs w:val="20"/>
          <w:color w:val="auto"/>
        </w:rPr>
      </w:pPr>
      <w:r>
        <w:rPr>
          <w:rFonts w:ascii="Arial" w:cs="Arial" w:eastAsia="Arial" w:hAnsi="Arial"/>
          <w:sz w:val="38"/>
          <w:szCs w:val="38"/>
          <w:b w:val="1"/>
          <w:bCs w:val="1"/>
          <w:color w:val="CC000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4597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4720" cy="5459730"/>
                    </a:xfrm>
                    <a:prstGeom prst="rect">
                      <a:avLst/>
                    </a:prstGeom>
                    <a:noFill/>
                  </pic:spPr>
                </pic:pic>
              </a:graphicData>
            </a:graphic>
          </wp:anchor>
        </w:drawing>
        <w:t>Customer Case Study</w:t>
      </w:r>
    </w:p>
    <w:p>
      <w:pPr>
        <w:spacing w:after="0" w:line="200" w:lineRule="exact"/>
        <w:rPr>
          <w:sz w:val="20"/>
          <w:szCs w:val="20"/>
          <w:color w:val="auto"/>
        </w:rPr>
      </w:pPr>
    </w:p>
    <w:p>
      <w:pPr>
        <w:spacing w:after="0" w:line="367" w:lineRule="exact"/>
        <w:rPr>
          <w:sz w:val="20"/>
          <w:szCs w:val="20"/>
          <w:color w:val="auto"/>
        </w:rPr>
      </w:pPr>
    </w:p>
    <w:p>
      <w:pPr>
        <w:jc w:val="both"/>
        <w:ind w:left="2160"/>
        <w:spacing w:after="0"/>
        <w:tabs>
          <w:tab w:leader="none" w:pos="6740" w:val="left"/>
        </w:tabs>
        <w:rPr>
          <w:sz w:val="20"/>
          <w:szCs w:val="20"/>
          <w:color w:val="auto"/>
        </w:rPr>
      </w:pPr>
      <w:r>
        <w:rPr>
          <w:rFonts w:ascii="Arial" w:cs="Arial" w:eastAsia="Arial" w:hAnsi="Arial"/>
          <w:sz w:val="25"/>
          <w:szCs w:val="25"/>
          <w:b w:val="1"/>
          <w:bCs w:val="1"/>
          <w:color w:val="FFFFFF"/>
        </w:rPr>
        <w:t>Customer</w:t>
      </w:r>
      <w:r>
        <w:rPr>
          <w:sz w:val="20"/>
          <w:szCs w:val="20"/>
          <w:color w:val="auto"/>
        </w:rPr>
        <w:tab/>
      </w:r>
      <w:r>
        <w:rPr>
          <w:rFonts w:ascii="Arial" w:cs="Arial" w:eastAsia="Arial" w:hAnsi="Arial"/>
          <w:sz w:val="25"/>
          <w:szCs w:val="25"/>
          <w:b w:val="1"/>
          <w:bCs w:val="1"/>
          <w:color w:val="FFFFFF"/>
        </w:rPr>
        <w:t>Active Power Solution</w:t>
      </w:r>
    </w:p>
    <w:p>
      <w:pPr>
        <w:sectPr>
          <w:pgSz w:w="11900" w:h="16838" w:orient="portrait"/>
          <w:cols w:equalWidth="0" w:num="1">
            <w:col w:w="10540"/>
          </w:cols>
          <w:pgMar w:left="360" w:top="6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40"/>
        <w:spacing w:after="0"/>
        <w:rPr>
          <w:sz w:val="20"/>
          <w:szCs w:val="20"/>
          <w:color w:val="auto"/>
        </w:rPr>
      </w:pPr>
      <w:r>
        <w:rPr>
          <w:rFonts w:ascii="Arial" w:cs="Arial" w:eastAsia="Arial" w:hAnsi="Arial"/>
          <w:sz w:val="22"/>
          <w:szCs w:val="22"/>
          <w:b w:val="1"/>
          <w:bCs w:val="1"/>
          <w:color w:val="545454"/>
        </w:rPr>
        <w:t>Jacksonville, Arkansas</w:t>
      </w:r>
    </w:p>
    <w:p>
      <w:pPr>
        <w:spacing w:after="0" w:line="356" w:lineRule="exact"/>
        <w:rPr>
          <w:sz w:val="20"/>
          <w:szCs w:val="20"/>
          <w:color w:val="auto"/>
        </w:rPr>
      </w:pPr>
    </w:p>
    <w:p>
      <w:pPr>
        <w:ind w:left="1560"/>
        <w:spacing w:after="0"/>
        <w:rPr>
          <w:sz w:val="20"/>
          <w:szCs w:val="20"/>
          <w:color w:val="auto"/>
        </w:rPr>
      </w:pPr>
      <w:r>
        <w:rPr>
          <w:rFonts w:ascii="Arial" w:cs="Arial" w:eastAsia="Arial" w:hAnsi="Arial"/>
          <w:sz w:val="25"/>
          <w:szCs w:val="25"/>
          <w:b w:val="1"/>
          <w:bCs w:val="1"/>
          <w:color w:val="FFFFFF"/>
        </w:rPr>
        <w:t>Business Challenge</w:t>
      </w:r>
    </w:p>
    <w:p>
      <w:pPr>
        <w:spacing w:after="0" w:line="210" w:lineRule="exact"/>
        <w:rPr>
          <w:sz w:val="20"/>
          <w:szCs w:val="20"/>
          <w:color w:val="auto"/>
        </w:rPr>
      </w:pPr>
    </w:p>
    <w:p>
      <w:pPr>
        <w:ind w:left="860" w:right="60" w:hanging="422"/>
        <w:spacing w:after="0" w:line="273" w:lineRule="auto"/>
        <w:tabs>
          <w:tab w:leader="none" w:pos="860" w:val="left"/>
        </w:tabs>
        <w:numPr>
          <w:ilvl w:val="0"/>
          <w:numId w:val="87"/>
        </w:numPr>
        <w:rPr>
          <w:rFonts w:ascii="Arial" w:cs="Arial" w:eastAsia="Arial" w:hAnsi="Arial"/>
          <w:sz w:val="22"/>
          <w:szCs w:val="22"/>
          <w:color w:val="C3092C"/>
        </w:rPr>
      </w:pPr>
      <w:r>
        <w:rPr>
          <w:rFonts w:ascii="Arial" w:cs="Arial" w:eastAsia="Arial" w:hAnsi="Arial"/>
          <w:sz w:val="22"/>
          <w:szCs w:val="22"/>
          <w:color w:val="545454"/>
        </w:rPr>
        <w:t>Rebsamen Medical Center’s acute care facility purchased new MRI and CAT Scan equipment</w:t>
      </w:r>
    </w:p>
    <w:p>
      <w:pPr>
        <w:spacing w:after="0" w:line="5" w:lineRule="exact"/>
        <w:rPr>
          <w:rFonts w:ascii="Arial" w:cs="Arial" w:eastAsia="Arial" w:hAnsi="Arial"/>
          <w:sz w:val="22"/>
          <w:szCs w:val="22"/>
          <w:color w:val="C3092C"/>
        </w:rPr>
      </w:pPr>
    </w:p>
    <w:p>
      <w:pPr>
        <w:jc w:val="both"/>
        <w:ind w:left="860" w:right="220" w:hanging="422"/>
        <w:spacing w:after="0" w:line="270" w:lineRule="auto"/>
        <w:tabs>
          <w:tab w:leader="none" w:pos="860" w:val="left"/>
        </w:tabs>
        <w:numPr>
          <w:ilvl w:val="0"/>
          <w:numId w:val="87"/>
        </w:numPr>
        <w:rPr>
          <w:rFonts w:ascii="Arial" w:cs="Arial" w:eastAsia="Arial" w:hAnsi="Arial"/>
          <w:sz w:val="22"/>
          <w:szCs w:val="22"/>
          <w:color w:val="C3092C"/>
        </w:rPr>
      </w:pPr>
      <w:r>
        <w:rPr>
          <w:rFonts w:ascii="Arial" w:cs="Arial" w:eastAsia="Arial" w:hAnsi="Arial"/>
          <w:sz w:val="22"/>
          <w:szCs w:val="22"/>
          <w:color w:val="545454"/>
        </w:rPr>
        <w:t>This highly sophisticated and expensive diagnostic equipment warranted a highly reliable power source</w:t>
      </w:r>
    </w:p>
    <w:p>
      <w:pPr>
        <w:spacing w:after="0" w:line="1" w:lineRule="exact"/>
        <w:rPr>
          <w:rFonts w:ascii="Arial" w:cs="Arial" w:eastAsia="Arial" w:hAnsi="Arial"/>
          <w:sz w:val="22"/>
          <w:szCs w:val="22"/>
          <w:color w:val="C3092C"/>
        </w:rPr>
      </w:pPr>
    </w:p>
    <w:p>
      <w:pPr>
        <w:ind w:left="860" w:hanging="422"/>
        <w:spacing w:after="0" w:line="258" w:lineRule="auto"/>
        <w:tabs>
          <w:tab w:leader="none" w:pos="860" w:val="left"/>
        </w:tabs>
        <w:numPr>
          <w:ilvl w:val="0"/>
          <w:numId w:val="87"/>
        </w:numPr>
        <w:rPr>
          <w:rFonts w:ascii="Arial" w:cs="Arial" w:eastAsia="Arial" w:hAnsi="Arial"/>
          <w:sz w:val="22"/>
          <w:szCs w:val="22"/>
          <w:color w:val="C3092C"/>
        </w:rPr>
      </w:pPr>
      <w:r>
        <w:rPr>
          <w:rFonts w:ascii="Arial" w:cs="Arial" w:eastAsia="Arial" w:hAnsi="Arial"/>
          <w:sz w:val="22"/>
          <w:szCs w:val="22"/>
          <w:b w:val="1"/>
          <w:bCs w:val="1"/>
          <w:color w:val="545454"/>
        </w:rPr>
        <w:t>“We experience numerous power failures, from a fraction of a second to several hours,” noted Ed Meharg, Director of Engineering for Rebsamen Medical Center. “Even a short power glitch can wreak havoc on our sensitive diagnostic medical equipment.”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418" w:right="280" w:hanging="418"/>
        <w:spacing w:after="0" w:line="273" w:lineRule="auto"/>
        <w:tabs>
          <w:tab w:leader="none" w:pos="418" w:val="left"/>
        </w:tabs>
        <w:numPr>
          <w:ilvl w:val="0"/>
          <w:numId w:val="88"/>
        </w:numPr>
        <w:rPr>
          <w:rFonts w:ascii="Arial" w:cs="Arial" w:eastAsia="Arial" w:hAnsi="Arial"/>
          <w:sz w:val="22"/>
          <w:szCs w:val="22"/>
          <w:color w:val="C3092C"/>
        </w:rPr>
      </w:pPr>
      <w:r>
        <w:rPr>
          <w:rFonts w:ascii="Arial" w:cs="Arial" w:eastAsia="Arial" w:hAnsi="Arial"/>
          <w:sz w:val="22"/>
          <w:szCs w:val="22"/>
          <w:color w:val="545454"/>
        </w:rPr>
        <w:t>Rebsamen now relies on a Clean Source 300 uninterruptible continuous power system from Active Power</w:t>
      </w:r>
    </w:p>
    <w:p>
      <w:pPr>
        <w:spacing w:after="0" w:line="5" w:lineRule="exact"/>
        <w:rPr>
          <w:rFonts w:ascii="Arial" w:cs="Arial" w:eastAsia="Arial" w:hAnsi="Arial"/>
          <w:sz w:val="22"/>
          <w:szCs w:val="22"/>
          <w:color w:val="C3092C"/>
        </w:rPr>
      </w:pPr>
    </w:p>
    <w:p>
      <w:pPr>
        <w:ind w:left="418" w:hanging="418"/>
        <w:spacing w:after="0" w:line="259" w:lineRule="auto"/>
        <w:tabs>
          <w:tab w:leader="none" w:pos="418" w:val="left"/>
        </w:tabs>
        <w:numPr>
          <w:ilvl w:val="0"/>
          <w:numId w:val="88"/>
        </w:numPr>
        <w:rPr>
          <w:rFonts w:ascii="Arial" w:cs="Arial" w:eastAsia="Arial" w:hAnsi="Arial"/>
          <w:sz w:val="22"/>
          <w:szCs w:val="22"/>
          <w:color w:val="C3092C"/>
        </w:rPr>
      </w:pPr>
      <w:r>
        <w:rPr>
          <w:rFonts w:ascii="Arial" w:cs="Arial" w:eastAsia="Arial" w:hAnsi="Arial"/>
          <w:sz w:val="22"/>
          <w:szCs w:val="22"/>
          <w:color w:val="545454"/>
        </w:rPr>
        <w:t>The system consists of a 300 kVA UPS for short-term outages and power conditioning, and a 350 kW generator set for long-term outages, integrated to provide continuous quality power throughout the hospital facility</w:t>
      </w:r>
    </w:p>
    <w:p>
      <w:pPr>
        <w:spacing w:after="0" w:line="21" w:lineRule="exact"/>
        <w:rPr>
          <w:rFonts w:ascii="Arial" w:cs="Arial" w:eastAsia="Arial" w:hAnsi="Arial"/>
          <w:sz w:val="22"/>
          <w:szCs w:val="22"/>
          <w:color w:val="C3092C"/>
        </w:rPr>
      </w:pPr>
    </w:p>
    <w:p>
      <w:pPr>
        <w:ind w:left="418" w:right="120" w:hanging="418"/>
        <w:spacing w:after="0" w:line="259" w:lineRule="auto"/>
        <w:tabs>
          <w:tab w:leader="none" w:pos="418" w:val="left"/>
        </w:tabs>
        <w:numPr>
          <w:ilvl w:val="0"/>
          <w:numId w:val="88"/>
        </w:numPr>
        <w:rPr>
          <w:rFonts w:ascii="Arial" w:cs="Arial" w:eastAsia="Arial" w:hAnsi="Arial"/>
          <w:sz w:val="22"/>
          <w:szCs w:val="22"/>
          <w:color w:val="C3092C"/>
        </w:rPr>
      </w:pPr>
      <w:r>
        <w:rPr>
          <w:rFonts w:ascii="Arial" w:cs="Arial" w:eastAsia="Arial" w:hAnsi="Arial"/>
          <w:sz w:val="22"/>
          <w:szCs w:val="22"/>
          <w:color w:val="545454"/>
        </w:rPr>
        <w:t>“We are always investigating new methods to address our critical power requirements beyond those required by NFPA, which cover emergency power at healthcare facilities,” notes Meharg</w:t>
      </w:r>
    </w:p>
    <w:p>
      <w:pPr>
        <w:spacing w:after="0" w:line="2510" w:lineRule="exact"/>
        <w:rPr>
          <w:sz w:val="20"/>
          <w:szCs w:val="20"/>
          <w:color w:val="auto"/>
        </w:rPr>
      </w:pPr>
    </w:p>
    <w:p>
      <w:pPr>
        <w:sectPr>
          <w:pgSz w:w="11900" w:h="16838" w:orient="portrait"/>
          <w:cols w:equalWidth="0" w:num="2">
            <w:col w:w="5080" w:space="702"/>
            <w:col w:w="4758"/>
          </w:cols>
          <w:pgMar w:left="360" w:top="640" w:right="99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E71B21"/>
        </w:rPr>
        <w:t>25</w:t>
      </w:r>
    </w:p>
    <w:p>
      <w:pPr>
        <w:spacing w:after="0" w:line="51" w:lineRule="exact"/>
        <w:rPr>
          <w:sz w:val="20"/>
          <w:szCs w:val="20"/>
          <w:color w:val="auto"/>
        </w:rPr>
      </w:pPr>
    </w:p>
    <w:p>
      <w:pPr>
        <w:jc w:val="center"/>
        <w:ind w:right="-399"/>
        <w:spacing w:after="0"/>
        <w:rPr>
          <w:sz w:val="20"/>
          <w:szCs w:val="20"/>
          <w:color w:val="auto"/>
        </w:rPr>
      </w:pPr>
      <w:r>
        <w:rPr>
          <w:rFonts w:ascii="Arial" w:cs="Arial" w:eastAsia="Arial" w:hAnsi="Arial"/>
          <w:sz w:val="12"/>
          <w:szCs w:val="12"/>
          <w:color w:val="808080"/>
        </w:rPr>
        <w:t>Copyright © 2007 Active Power, Inc</w:t>
      </w:r>
    </w:p>
    <w:sectPr>
      <w:pgSz w:w="11900" w:h="16838" w:orient="portrait"/>
      <w:cols w:equalWidth="0" w:num="1">
        <w:col w:w="10540"/>
      </w:cols>
      <w:pgMar w:left="360" w:top="640"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1)"/>
      <w:numFmt w:val="lowerLetter"/>
      <w:start w:val="4"/>
    </w:lvl>
  </w:abstractNum>
  <w:abstractNum w:abstractNumId="2">
    <w:nsid w:val="7A6D8D3C"/>
    <w:multiLevelType w:val="hybridMultilevel"/>
    <w:lvl w:ilvl="0">
      <w:lvlJc w:val="left"/>
      <w:lvlText w:val="(%1)"/>
      <w:numFmt w:val="lowerLetter"/>
      <w:start w:val="1"/>
    </w:lvl>
    <w:lvl w:ilvl="1">
      <w:lvlJc w:val="left"/>
      <w:lvlText w:val="(%2)"/>
      <w:numFmt w:val="lowerRoman"/>
      <w:start w:val="1"/>
    </w:lvl>
  </w:abstractNum>
  <w:abstractNum w:abstractNumId="3">
    <w:nsid w:val="4B588F54"/>
    <w:multiLevelType w:val="hybridMultilevel"/>
    <w:lvl w:ilvl="0">
      <w:lvlJc w:val="left"/>
      <w:lvlText w:val="(%1)"/>
      <w:numFmt w:val="lowerRoman"/>
      <w:start w:val="2"/>
    </w:lvl>
  </w:abstractNum>
  <w:abstractNum w:abstractNumId="4">
    <w:nsid w:val="542289EC"/>
    <w:multiLevelType w:val="hybridMultilevel"/>
    <w:lvl w:ilvl="0">
      <w:lvlJc w:val="left"/>
      <w:lvlText w:val="(%1)"/>
      <w:numFmt w:val="lowerLetter"/>
      <w:start w:val="1"/>
    </w:lvl>
    <w:lvl w:ilvl="1">
      <w:lvlJc w:val="left"/>
      <w:lvlText w:val="(%2)"/>
      <w:numFmt w:val="lowerRoman"/>
      <w:start w:val="1"/>
    </w:lvl>
  </w:abstractNum>
  <w:abstractNum w:abstractNumId="5">
    <w:nsid w:val="6DE91B18"/>
    <w:multiLevelType w:val="hybridMultilevel"/>
    <w:lvl w:ilvl="0">
      <w:lvlJc w:val="left"/>
      <w:lvlText w:val="(%1)"/>
      <w:numFmt w:val="lowerLetter"/>
      <w:start w:val="1"/>
    </w:lvl>
  </w:abstractNum>
  <w:abstractNum w:abstractNumId="6">
    <w:nsid w:val="38437FDB"/>
    <w:multiLevelType w:val="hybridMultilevel"/>
    <w:lvl w:ilvl="0">
      <w:lvlJc w:val="left"/>
      <w:lvlText w:val="%1"/>
      <w:numFmt w:val="lowerLetter"/>
      <w:start w:val="1"/>
    </w:lvl>
    <w:lvl w:ilvl="1">
      <w:lvlJc w:val="left"/>
      <w:lvlText w:val="(%2)"/>
      <w:numFmt w:val="lowerLetter"/>
      <w:start w:val="4"/>
    </w:lvl>
  </w:abstractNum>
  <w:abstractNum w:abstractNumId="7">
    <w:nsid w:val="7644A45C"/>
    <w:multiLevelType w:val="hybridMultilevel"/>
    <w:lvl w:ilvl="0">
      <w:lvlJc w:val="left"/>
      <w:lvlText w:val="(%1)"/>
      <w:numFmt w:val="lowerLetter"/>
      <w:start w:val="61"/>
    </w:lvl>
    <w:lvl w:ilvl="1">
      <w:lvlJc w:val="left"/>
      <w:lvlText w:val="(%2)"/>
      <w:numFmt w:val="lowerLetter"/>
      <w:start w:val="6"/>
    </w:lvl>
  </w:abstractNum>
  <w:abstractNum w:abstractNumId="8">
    <w:nsid w:val="32FFF902"/>
    <w:multiLevelType w:val="hybridMultilevel"/>
    <w:lvl w:ilvl="0">
      <w:lvlJc w:val="left"/>
      <w:lvlText w:val="(%1)"/>
      <w:numFmt w:val="lowerLetter"/>
      <w:start w:val="7"/>
    </w:lvl>
  </w:abstractNum>
  <w:abstractNum w:abstractNumId="9">
    <w:nsid w:val="684A481A"/>
    <w:multiLevelType w:val="hybridMultilevel"/>
    <w:lvl w:ilvl="0">
      <w:lvlJc w:val="left"/>
      <w:lvlText w:val="(%1)"/>
      <w:numFmt w:val="lowerLetter"/>
      <w:start w:val="9"/>
    </w:lvl>
  </w:abstractNum>
  <w:abstractNum w:abstractNumId="10">
    <w:nsid w:val="579478FE"/>
    <w:multiLevelType w:val="hybridMultilevel"/>
    <w:lvl w:ilvl="0">
      <w:lvlJc w:val="left"/>
      <w:lvlText w:val="(%1)"/>
      <w:numFmt w:val="lowerLetter"/>
      <w:start w:val="11"/>
    </w:lvl>
  </w:abstractNum>
  <w:abstractNum w:abstractNumId="11">
    <w:nsid w:val="749ABB43"/>
    <w:multiLevelType w:val="hybridMultilevel"/>
    <w:lvl w:ilvl="0">
      <w:lvlJc w:val="left"/>
      <w:lvlText w:val="(%1)"/>
      <w:numFmt w:val="lowerLetter"/>
      <w:start w:val="14"/>
    </w:lvl>
  </w:abstractNum>
  <w:abstractNum w:abstractNumId="12">
    <w:nsid w:val="3DC240FB"/>
    <w:multiLevelType w:val="hybridMultilevel"/>
    <w:lvl w:ilvl="0">
      <w:lvlJc w:val="left"/>
      <w:lvlText w:val="(%1)"/>
      <w:numFmt w:val="lowerLetter"/>
      <w:start w:val="18"/>
    </w:lvl>
  </w:abstractNum>
  <w:abstractNum w:abstractNumId="13">
    <w:nsid w:val="1BA026FA"/>
    <w:multiLevelType w:val="hybridMultilevel"/>
    <w:lvl w:ilvl="0">
      <w:lvlJc w:val="left"/>
      <w:lvlText w:val="(%1)"/>
      <w:numFmt w:val="lowerLetter"/>
      <w:start w:val="22"/>
    </w:lvl>
  </w:abstractNum>
  <w:abstractNum w:abstractNumId="14">
    <w:nsid w:val="79A1DEAA"/>
    <w:multiLevelType w:val="hybridMultilevel"/>
    <w:lvl w:ilvl="0">
      <w:lvlJc w:val="left"/>
      <w:lvlText w:val="(%1)"/>
      <w:numFmt w:val="lowerLetter"/>
      <w:start w:val="26"/>
    </w:lvl>
  </w:abstractNum>
  <w:abstractNum w:abstractNumId="15">
    <w:nsid w:val="75C6C33A"/>
    <w:multiLevelType w:val="hybridMultilevel"/>
    <w:lvl w:ilvl="0">
      <w:lvlJc w:val="left"/>
      <w:lvlText w:val="(%1)"/>
      <w:numFmt w:val="lowerLetter"/>
      <w:start w:val="27"/>
    </w:lvl>
  </w:abstractNum>
  <w:abstractNum w:abstractNumId="16">
    <w:nsid w:val="12E685FB"/>
    <w:multiLevelType w:val="hybridMultilevel"/>
    <w:lvl w:ilvl="0">
      <w:lvlJc w:val="left"/>
      <w:lvlText w:val="(%1)"/>
      <w:numFmt w:val="lowerLetter"/>
      <w:start w:val="29"/>
    </w:lvl>
  </w:abstractNum>
  <w:abstractNum w:abstractNumId="17">
    <w:nsid w:val="70C6A529"/>
    <w:multiLevelType w:val="hybridMultilevel"/>
    <w:lvl w:ilvl="0">
      <w:lvlJc w:val="left"/>
      <w:lvlText w:val="%1"/>
      <w:numFmt w:val="lowerRoman"/>
      <w:start w:val="1"/>
    </w:lvl>
    <w:lvl w:ilvl="1">
      <w:lvlJc w:val="left"/>
      <w:lvlText w:val="(%2)"/>
      <w:numFmt w:val="lowerLetter"/>
      <w:start w:val="34"/>
    </w:lvl>
  </w:abstractNum>
  <w:abstractNum w:abstractNumId="18">
    <w:nsid w:val="520EEDD1"/>
    <w:multiLevelType w:val="hybridMultilevel"/>
    <w:lvl w:ilvl="0">
      <w:lvlJc w:val="left"/>
      <w:lvlText w:val="(%1)"/>
      <w:numFmt w:val="lowerRoman"/>
      <w:start w:val="4"/>
    </w:lvl>
    <w:lvl w:ilvl="1">
      <w:lvlJc w:val="left"/>
      <w:lvlText w:val="(%2)"/>
      <w:numFmt w:val="lowerLetter"/>
      <w:start w:val="35"/>
    </w:lvl>
  </w:abstractNum>
  <w:abstractNum w:abstractNumId="19">
    <w:nsid w:val="374A3FE6"/>
    <w:multiLevelType w:val="hybridMultilevel"/>
    <w:lvl w:ilvl="0">
      <w:lvlJc w:val="left"/>
      <w:lvlText w:val="(%1)"/>
      <w:numFmt w:val="lowerLetter"/>
      <w:start w:val="1"/>
    </w:lvl>
  </w:abstractNum>
  <w:abstractNum w:abstractNumId="20">
    <w:nsid w:val="4F4EF005"/>
    <w:multiLevelType w:val="hybridMultilevel"/>
    <w:lvl w:ilvl="0">
      <w:lvlJc w:val="left"/>
      <w:lvlText w:val="(%1)"/>
      <w:numFmt w:val="lowerLetter"/>
      <w:start w:val="5"/>
    </w:lvl>
  </w:abstractNum>
  <w:abstractNum w:abstractNumId="21">
    <w:nsid w:val="23F9C13C"/>
    <w:multiLevelType w:val="hybridMultilevel"/>
    <w:lvl w:ilvl="0">
      <w:lvlJc w:val="left"/>
      <w:lvlText w:val="(%1)"/>
      <w:numFmt w:val="lowerLetter"/>
      <w:start w:val="2"/>
    </w:lvl>
  </w:abstractNum>
  <w:abstractNum w:abstractNumId="22">
    <w:nsid w:val="649BB77C"/>
    <w:multiLevelType w:val="hybridMultilevel"/>
    <w:lvl w:ilvl="0">
      <w:lvlJc w:val="left"/>
      <w:lvlText w:val="(%1)"/>
      <w:numFmt w:val="lowerLetter"/>
      <w:start w:val="3"/>
    </w:lvl>
  </w:abstractNum>
  <w:abstractNum w:abstractNumId="23">
    <w:nsid w:val="275AC794"/>
    <w:multiLevelType w:val="hybridMultilevel"/>
    <w:lvl w:ilvl="0">
      <w:lvlJc w:val="left"/>
      <w:lvlText w:val="(%1)"/>
      <w:numFmt w:val="lowerLetter"/>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2"/>
    </w:lvl>
    <w:lvl w:ilvl="1">
      <w:lvlJc w:val="left"/>
      <w:lvlText w:val="(%2)"/>
      <w:numFmt w:val="lowerLetter"/>
      <w:start w:val="1"/>
    </w:lvl>
  </w:abstractNum>
  <w:abstractNum w:abstractNumId="28">
    <w:nsid w:val="47398C89"/>
    <w:multiLevelType w:val="hybridMultilevel"/>
    <w:lvl w:ilvl="0">
      <w:lvlJc w:val="left"/>
      <w:lvlText w:val="%1"/>
      <w:numFmt w:val="decimal"/>
      <w:start w:val="1"/>
    </w:lvl>
    <w:lvl w:ilvl="1">
      <w:lvlJc w:val="left"/>
      <w:lvlText w:val="(%2)"/>
      <w:numFmt w:val="lowerLetter"/>
      <w:start w:val="2"/>
    </w:lvl>
  </w:abstractNum>
  <w:abstractNum w:abstractNumId="29">
    <w:nsid w:val="354FE9F9"/>
    <w:multiLevelType w:val="hybridMultilevel"/>
    <w:lvl w:ilvl="0">
      <w:lvlJc w:val="left"/>
      <w:lvlText w:val="(%1)"/>
      <w:numFmt w:val="decimal"/>
      <w:start w:val="1"/>
    </w:lvl>
    <w:lvl w:ilvl="1">
      <w:lvlJc w:val="left"/>
      <w:lvlText w:val="%2"/>
      <w:numFmt w:val="lowerLetter"/>
      <w:start w:val="1"/>
    </w:lvl>
  </w:abstractNum>
  <w:abstractNum w:abstractNumId="30">
    <w:nsid w:val="15B5AF5C"/>
    <w:multiLevelType w:val="hybridMultilevel"/>
    <w:lvl w:ilvl="0">
      <w:lvlJc w:val="left"/>
      <w:lvlText w:val="%1."/>
      <w:numFmt w:val="decimal"/>
      <w:start w:val="3"/>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3"/>
    </w:lvl>
  </w:abstractNum>
  <w:abstractNum w:abstractNumId="33">
    <w:nsid w:val="10233C99"/>
    <w:multiLevelType w:val="hybridMultilevel"/>
    <w:lvl w:ilvl="0">
      <w:lvlJc w:val="left"/>
      <w:lvlText w:val="(%1)"/>
      <w:numFmt w:val="lowerLetter"/>
      <w:start w:val="5"/>
    </w:lvl>
  </w:abstractNum>
  <w:abstractNum w:abstractNumId="34">
    <w:nsid w:val="3F6AB60F"/>
    <w:multiLevelType w:val="hybridMultilevel"/>
    <w:lvl w:ilvl="0">
      <w:lvlJc w:val="left"/>
      <w:lvlText w:val="(%1)"/>
      <w:numFmt w:val="lowerLetter"/>
      <w:start w:val="10"/>
    </w:lvl>
  </w:abstractNum>
  <w:abstractNum w:abstractNumId="35">
    <w:nsid w:val="61574095"/>
    <w:multiLevelType w:val="hybridMultilevel"/>
    <w:lvl w:ilvl="0">
      <w:lvlJc w:val="left"/>
      <w:lvlText w:val="(%1)"/>
      <w:numFmt w:val="lowerLetter"/>
      <w:start w:val="14"/>
    </w:lvl>
  </w:abstractNum>
  <w:abstractNum w:abstractNumId="36">
    <w:nsid w:val="7E0C57B1"/>
    <w:multiLevelType w:val="hybridMultilevel"/>
    <w:lvl w:ilvl="0">
      <w:lvlJc w:val="left"/>
      <w:lvlText w:val="%1."/>
      <w:numFmt w:val="decimal"/>
      <w:start w:val="4"/>
    </w:lvl>
  </w:abstractNum>
  <w:abstractNum w:abstractNumId="37">
    <w:nsid w:val="77AE35EB"/>
    <w:multiLevelType w:val="hybridMultilevel"/>
    <w:lvl w:ilvl="0">
      <w:lvlJc w:val="left"/>
      <w:lvlText w:val="%1."/>
      <w:numFmt w:val="decimal"/>
      <w:start w:val="5"/>
    </w:lvl>
    <w:lvl w:ilvl="1">
      <w:lvlJc w:val="left"/>
      <w:lvlText w:val="(%2)"/>
      <w:numFmt w:val="lowerLetter"/>
      <w:start w:val="1"/>
    </w:lvl>
  </w:abstractNum>
  <w:abstractNum w:abstractNumId="38">
    <w:nsid w:val="579BE4F1"/>
    <w:multiLevelType w:val="hybridMultilevel"/>
    <w:lvl w:ilvl="0">
      <w:lvlJc w:val="left"/>
      <w:lvlText w:val="(%1)"/>
      <w:numFmt w:val="lowerLetter"/>
      <w:start w:val="2"/>
    </w:lvl>
  </w:abstractNum>
  <w:abstractNum w:abstractNumId="39">
    <w:nsid w:val="310C50B3"/>
    <w:multiLevelType w:val="hybridMultilevel"/>
    <w:lvl w:ilvl="0">
      <w:lvlJc w:val="left"/>
      <w:lvlText w:val="(%1)"/>
      <w:numFmt w:val="lowerLetter"/>
      <w:start w:val="3"/>
    </w:lvl>
  </w:abstractNum>
  <w:abstractNum w:abstractNumId="40">
    <w:nsid w:val="5FF87E05"/>
    <w:multiLevelType w:val="hybridMultilevel"/>
    <w:lvl w:ilvl="0">
      <w:lvlJc w:val="left"/>
      <w:lvlText w:val="(%1)"/>
      <w:numFmt w:val="decimal"/>
      <w:start w:val="3"/>
    </w:lvl>
  </w:abstractNum>
  <w:abstractNum w:abstractNumId="41">
    <w:nsid w:val="2F305DEF"/>
    <w:multiLevelType w:val="hybridMultilevel"/>
    <w:lvl w:ilvl="0">
      <w:lvlJc w:val="left"/>
      <w:lvlText w:val="(%1)"/>
      <w:numFmt w:val="lowerLetter"/>
      <w:start w:val="4"/>
    </w:lvl>
  </w:abstractNum>
  <w:abstractNum w:abstractNumId="42">
    <w:nsid w:val="25A70BF7"/>
    <w:multiLevelType w:val="hybridMultilevel"/>
    <w:lvl w:ilvl="0">
      <w:lvlJc w:val="left"/>
      <w:lvlText w:val="%1."/>
      <w:numFmt w:val="decimal"/>
      <w:start w:val="6"/>
    </w:lvl>
  </w:abstractNum>
  <w:abstractNum w:abstractNumId="43">
    <w:nsid w:val="1DBABF00"/>
    <w:multiLevelType w:val="hybridMultilevel"/>
    <w:lvl w:ilvl="0">
      <w:lvlJc w:val="left"/>
      <w:lvlText w:val="(%1)"/>
      <w:numFmt w:val="lowerLetter"/>
      <w:start w:val="1"/>
    </w:lvl>
  </w:abstractNum>
  <w:abstractNum w:abstractNumId="44">
    <w:nsid w:val="4AD084E9"/>
    <w:multiLevelType w:val="hybridMultilevel"/>
    <w:lvl w:ilvl="0">
      <w:lvlJc w:val="left"/>
      <w:lvlText w:val="(%1)"/>
      <w:numFmt w:val="lowerLetter"/>
      <w:start w:val="3"/>
    </w:lvl>
  </w:abstractNum>
  <w:abstractNum w:abstractNumId="45">
    <w:nsid w:val="1F48EAA1"/>
    <w:multiLevelType w:val="hybridMultilevel"/>
    <w:lvl w:ilvl="0">
      <w:lvlJc w:val="left"/>
      <w:lvlText w:val="(%1)"/>
      <w:numFmt w:val="lowerLetter"/>
      <w:start w:val="7"/>
    </w:lvl>
  </w:abstractNum>
  <w:abstractNum w:abstractNumId="46">
    <w:nsid w:val="1381823A"/>
    <w:multiLevelType w:val="hybridMultilevel"/>
    <w:lvl w:ilvl="0">
      <w:lvlJc w:val="left"/>
      <w:lvlText w:val="(%1)"/>
      <w:numFmt w:val="lowerLetter"/>
      <w:start w:val="15"/>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1"/>
    </w:lvl>
    <w:lvl w:ilvl="1">
      <w:lvlJc w:val="left"/>
      <w:lvlText w:val="(%2)"/>
      <w:numFmt w:val="lowerLetter"/>
      <w:start w:val="1"/>
    </w:lvl>
  </w:abstractNum>
  <w:abstractNum w:abstractNumId="49">
    <w:nsid w:val="6590700B"/>
    <w:multiLevelType w:val="hybridMultilevel"/>
    <w:lvl w:ilvl="0">
      <w:lvlJc w:val="left"/>
      <w:lvlText w:val="%1."/>
      <w:numFmt w:val="decimal"/>
      <w:start w:val="3"/>
    </w:lvl>
    <w:lvl w:ilvl="1">
      <w:lvlJc w:val="left"/>
      <w:lvlText w:val="(%2)"/>
      <w:numFmt w:val="lowerLetter"/>
      <w:start w:val="1"/>
    </w:lvl>
  </w:abstractNum>
  <w:abstractNum w:abstractNumId="50">
    <w:nsid w:val="15014ACB"/>
    <w:multiLevelType w:val="hybridMultilevel"/>
    <w:lvl w:ilvl="0">
      <w:lvlJc w:val="left"/>
      <w:lvlText w:val="(%1)"/>
      <w:numFmt w:val="lowerLetter"/>
      <w:start w:val="2"/>
    </w:lvl>
  </w:abstractNum>
  <w:abstractNum w:abstractNumId="51">
    <w:nsid w:val="5F5E7FD0"/>
    <w:multiLevelType w:val="hybridMultilevel"/>
    <w:lvl w:ilvl="0">
      <w:lvlJc w:val="left"/>
      <w:lvlText w:val="(%1)"/>
      <w:numFmt w:val="lowerLetter"/>
      <w:start w:val="4"/>
    </w:lvl>
  </w:abstractNum>
  <w:abstractNum w:abstractNumId="52">
    <w:nsid w:val="98A3148"/>
    <w:multiLevelType w:val="hybridMultilevel"/>
    <w:lvl w:ilvl="0">
      <w:lvlJc w:val="left"/>
      <w:lvlText w:val="%1."/>
      <w:numFmt w:val="decimal"/>
      <w:start w:val="4"/>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decimal"/>
      <w:start w:val="5"/>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6"/>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endash "/>
      <w:numFmt w:val="bullet"/>
      <w:start w:val="1"/>
    </w:lvl>
  </w:abstractNum>
  <w:abstractNum w:abstractNumId="69">
    <w:nsid w:val="1A32234B"/>
    <w:multiLevelType w:val="hybridMultilevel"/>
    <w:lvl w:ilvl="0">
      <w:lvlJc w:val="left"/>
      <w:lvlText w:val="\endash "/>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decimal"/>
      <w:start w:val="13"/>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1"/>
      <w:numFmt w:val="decimal"/>
      <w:start w:val="22"/>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2019-12-14T17:58:43Z</dcterms:created>
  <dcterms:modified xsi:type="dcterms:W3CDTF">2019-12-14T17:58:43Z</dcterms:modified>
</cp:coreProperties>
</file>