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9410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94107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210 Capital, LLC</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12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r>
      <w:tr>
        <w:trPr>
          <w:trHeight w:val="265"/>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 P10, INC.</w:t>
            </w:r>
          </w:p>
        </w:tc>
        <w:tc>
          <w:tcPr>
            <w:tcW w:w="13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55"/>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6"/>
              </w:rPr>
              <w:t>4514 COLE AVENUE, SUITE 1600</w:t>
            </w:r>
          </w:p>
        </w:tc>
        <w:tc>
          <w:tcPr>
            <w:tcW w:w="460" w:type="dxa"/>
            <w:vAlign w:val="bottom"/>
          </w:tcPr>
          <w:p>
            <w:pPr>
              <w:spacing w:after="0"/>
              <w:rPr>
                <w:sz w:val="22"/>
                <w:szCs w:val="22"/>
                <w:color w:val="auto"/>
              </w:rPr>
            </w:pPr>
          </w:p>
        </w:tc>
      </w:tr>
      <w:tr>
        <w:trPr>
          <w:trHeight w:val="423"/>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7"/>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DALLAS</w:t>
            </w:r>
          </w:p>
        </w:tc>
        <w:tc>
          <w:tcPr>
            <w:tcW w:w="13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rPr>
              <w:t>75205</w:t>
            </w:r>
          </w:p>
        </w:tc>
      </w:tr>
      <w:tr>
        <w:trPr>
          <w:trHeight w:val="462"/>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1340" w:type="dxa"/>
            <w:vAlign w:val="bottom"/>
          </w:tcPr>
          <w:p>
            <w:pPr>
              <w:ind w:left="12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1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4"/>
                <w:szCs w:val="4"/>
                <w:color w:val="auto"/>
              </w:rPr>
            </w:pP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6"/>
                <w:szCs w:val="6"/>
                <w:color w:val="auto"/>
              </w:rPr>
            </w:pP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3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04/01/2024</w:t>
            </w:r>
          </w:p>
        </w:tc>
        <w:tc>
          <w:tcPr>
            <w:tcW w:w="4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820" w:type="dxa"/>
            <w:vAlign w:val="bottom"/>
            <w:gridSpan w:val="4"/>
            <w:vMerge w:val="continue"/>
          </w:tcPr>
          <w:p>
            <w:pPr>
              <w:spacing w:after="0"/>
              <w:rPr>
                <w:sz w:val="10"/>
                <w:szCs w:val="10"/>
                <w:color w:val="auto"/>
              </w:rPr>
            </w:pPr>
          </w:p>
        </w:tc>
        <w:tc>
          <w:tcPr>
            <w:tcW w:w="480" w:type="dxa"/>
            <w:vAlign w:val="bottom"/>
          </w:tcPr>
          <w:p>
            <w:pPr>
              <w:spacing w:after="0"/>
              <w:rPr>
                <w:sz w:val="10"/>
                <w:szCs w:val="10"/>
                <w:color w:val="auto"/>
              </w:rPr>
            </w:pPr>
          </w:p>
        </w:tc>
        <w:tc>
          <w:tcPr>
            <w:tcW w:w="16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17" w:lineRule="exact"/>
        <w:rPr>
          <w:sz w:val="24"/>
          <w:szCs w:val="24"/>
          <w:color w:val="auto"/>
        </w:rPr>
      </w:pPr>
    </w:p>
    <w:tbl>
      <w:tblPr>
        <w:tblLayout w:type="fixed"/>
        <w:tblInd w:w="4080"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20" w:type="dxa"/>
            <w:vAlign w:val="bottom"/>
          </w:tcPr>
          <w:p>
            <w:pPr>
              <w:ind w:left="100"/>
              <w:spacing w:after="0"/>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23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120"/>
              <w:spacing w:after="0"/>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40" w:type="dxa"/>
            <w:vAlign w:val="bottom"/>
            <w:gridSpan w:val="4"/>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12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40" w:type="dxa"/>
            <w:vAlign w:val="bottom"/>
            <w:gridSpan w:val="4"/>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40" w:type="dxa"/>
            <w:vAlign w:val="bottom"/>
            <w:gridSpan w:val="4"/>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0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334,150</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62"/>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(3)</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0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334,150</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62"/>
              <w:spacing w:after="0" w:line="306"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(4)</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(1)(2)</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3,500,000</w:t>
            </w:r>
          </w:p>
        </w:tc>
        <w:tc>
          <w:tcPr>
            <w:tcW w:w="260" w:type="dxa"/>
            <w:vAlign w:val="bottom"/>
          </w:tcPr>
          <w:p>
            <w:pPr>
              <w:spacing w:after="0"/>
              <w:rPr>
                <w:sz w:val="21"/>
                <w:szCs w:val="21"/>
                <w:color w:val="auto"/>
              </w:rPr>
            </w:pPr>
          </w:p>
        </w:tc>
        <w:tc>
          <w:tcPr>
            <w:tcW w:w="640" w:type="dxa"/>
            <w:vAlign w:val="bottom"/>
            <w:vMerge w:val="restart"/>
          </w:tcPr>
          <w:p>
            <w:pPr>
              <w:jc w:val="center"/>
              <w:ind w:right="262"/>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7"/>
            <w:vMerge w:val="continue"/>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0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1"/>
                <w:szCs w:val="11"/>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Form:</w:t>
            </w:r>
          </w:p>
        </w:tc>
        <w:tc>
          <w:tcPr>
            <w:tcW w:w="20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118,765</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restart"/>
          </w:tcPr>
          <w:p>
            <w:pPr>
              <w:ind w:left="3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gridSpan w:val="3"/>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40" w:type="dxa"/>
            <w:vAlign w:val="bottom"/>
          </w:tcPr>
          <w:p>
            <w:pPr>
              <w:spacing w:after="0"/>
              <w:rPr>
                <w:sz w:val="12"/>
                <w:szCs w:val="12"/>
                <w:color w:val="auto"/>
              </w:rPr>
            </w:pPr>
          </w:p>
        </w:tc>
        <w:tc>
          <w:tcPr>
            <w:tcW w:w="108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3"/>
                <w:szCs w:val="13"/>
                <w:color w:val="0000FF"/>
              </w:rPr>
              <w:t>04/01/2024</w:t>
            </w:r>
          </w:p>
        </w:tc>
        <w:tc>
          <w:tcPr>
            <w:tcW w:w="1040" w:type="dxa"/>
            <w:vAlign w:val="bottom"/>
          </w:tcPr>
          <w:p>
            <w:pPr>
              <w:spacing w:after="0"/>
              <w:rPr>
                <w:sz w:val="12"/>
                <w:szCs w:val="12"/>
                <w:color w:val="auto"/>
              </w:rPr>
            </w:pPr>
          </w:p>
        </w:tc>
        <w:tc>
          <w:tcPr>
            <w:tcW w:w="780" w:type="dxa"/>
            <w:vAlign w:val="bottom"/>
            <w:gridSpan w:val="2"/>
          </w:tcPr>
          <w:p>
            <w:pPr>
              <w:ind w:left="180"/>
              <w:spacing w:after="0" w:line="147"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line="147" w:lineRule="exact"/>
              <w:rPr>
                <w:sz w:val="20"/>
                <w:szCs w:val="20"/>
                <w:color w:val="auto"/>
              </w:rPr>
            </w:pPr>
            <w:r>
              <w:rPr>
                <w:rFonts w:ascii="Times New Roman" w:cs="Times New Roman" w:eastAsia="Times New Roman" w:hAnsi="Times New Roman"/>
                <w:sz w:val="13"/>
                <w:szCs w:val="13"/>
                <w:color w:val="0000FF"/>
              </w:rPr>
              <w:t>118,765</w:t>
            </w:r>
          </w:p>
        </w:tc>
        <w:tc>
          <w:tcPr>
            <w:tcW w:w="30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ind w:left="22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740" w:type="dxa"/>
            <w:vAlign w:val="bottom"/>
            <w:gridSpan w:val="2"/>
          </w:tcPr>
          <w:p>
            <w:pPr>
              <w:ind w:left="200"/>
              <w:spacing w:after="0" w:line="147" w:lineRule="exact"/>
              <w:rPr>
                <w:sz w:val="20"/>
                <w:szCs w:val="20"/>
                <w:color w:val="auto"/>
              </w:rPr>
            </w:pPr>
            <w:r>
              <w:rPr>
                <w:rFonts w:ascii="Times New Roman" w:cs="Times New Roman" w:eastAsia="Times New Roman" w:hAnsi="Times New Roman"/>
                <w:sz w:val="13"/>
                <w:szCs w:val="13"/>
                <w:color w:val="0000FF"/>
              </w:rPr>
              <w:t>118,765</w:t>
            </w: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gridSpan w:val="3"/>
          </w:tcPr>
          <w:p>
            <w:pPr>
              <w:ind w:left="60"/>
              <w:spacing w:after="0" w:line="222" w:lineRule="exact"/>
              <w:rPr>
                <w:sz w:val="20"/>
                <w:szCs w:val="20"/>
                <w:color w:val="auto"/>
              </w:rPr>
            </w:pPr>
            <w:r>
              <w:rPr>
                <w:rFonts w:ascii="Times New Roman" w:cs="Times New Roman" w:eastAsia="Times New Roman" w:hAnsi="Times New Roman"/>
                <w:sz w:val="25"/>
                <w:szCs w:val="25"/>
                <w:color w:val="0000FF"/>
                <w:w w:val="97"/>
                <w:vertAlign w:val="subscript"/>
              </w:rPr>
              <w:t>Units</w:t>
            </w:r>
            <w:r>
              <w:rPr>
                <w:rFonts w:ascii="Times New Roman" w:cs="Times New Roman" w:eastAsia="Times New Roman" w:hAnsi="Times New Roman"/>
                <w:sz w:val="11"/>
                <w:szCs w:val="11"/>
                <w:color w:val="008000"/>
                <w:w w:val="97"/>
              </w:rPr>
              <w:t>(1)(2)</w:t>
            </w: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right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7"/>
          </w:tcPr>
          <w:p>
            <w:pPr>
              <w:ind w:left="60"/>
              <w:spacing w:after="0" w:line="228"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5"/>
          </w:tcPr>
          <w:p>
            <w:pPr>
              <w:spacing w:after="0" w:line="216"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210 Capital, LLC</w:t>
              </w:r>
            </w:hyperlink>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6"/>
              </w:rPr>
              <w:t>4514 COLE AVENUE, SUITE 1600</w:t>
            </w: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75205</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40" w:type="dxa"/>
            <w:vAlign w:val="bottom"/>
          </w:tcPr>
          <w:p>
            <w:pPr>
              <w:ind w:left="3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spacing w:after="0" w:line="21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Alpert Robert H</w:t>
              </w:r>
            </w:hyperlink>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6"/>
              </w:rPr>
              <w:t>4514 COLE AVENUE, SUITE 1600</w:t>
            </w: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75205</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40" w:type="dxa"/>
            <w:vAlign w:val="bottom"/>
          </w:tcPr>
          <w:p>
            <w:pPr>
              <w:ind w:left="3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-4999990</wp:posOffset>
            </wp:positionV>
            <wp:extent cx="28575" cy="1765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765935"/>
                    </a:xfrm>
                    <a:prstGeom prst="rect">
                      <a:avLst/>
                    </a:prstGeom>
                    <a:noFill/>
                  </pic:spPr>
                </pic:pic>
              </a:graphicData>
            </a:graphic>
          </wp:anchor>
        </w:drawing>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Webb C Clark</w:t>
        </w:r>
      </w:hyperlink>
    </w:p>
    <w:p>
      <w:pPr>
        <w:sectPr>
          <w:pgSz w:w="11900" w:h="16838" w:orient="portrait"/>
          <w:cols w:equalWidth="0" w:num="1">
            <w:col w:w="11080"/>
          </w:cols>
          <w:pgMar w:left="460" w:top="216" w:right="359" w:bottom="0" w:gutter="0" w:footer="0" w:header="0"/>
          <w:type w:val="continuous"/>
        </w:sectPr>
      </w:pPr>
    </w:p>
    <w:p>
      <w:pPr>
        <w:spacing w:after="0" w:line="296"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-115570</wp:posOffset>
            </wp:positionV>
            <wp:extent cx="2809875" cy="567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875" cy="5679440"/>
                    </a:xfrm>
                    <a:prstGeom prst="rect">
                      <a:avLst/>
                    </a:prstGeom>
                    <a:noFill/>
                  </pic:spPr>
                </pic:pic>
              </a:graphicData>
            </a:graphic>
          </wp:anchor>
        </w:drawing>
      </w:r>
    </w:p>
    <w:p>
      <w:pPr>
        <w:spacing w:after="0" w:line="307"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75205</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80" w:type="dxa"/>
            <w:vAlign w:val="bottom"/>
          </w:tcPr>
          <w:p>
            <w:pPr>
              <w:ind w:left="3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COVENANT RHA PARTNERS, L.P.</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98"/>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7"/>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4"/>
          </w:tcPr>
          <w:p>
            <w:pPr>
              <w:spacing w:after="0" w:line="216"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CCW/LAW Holdings, LLC</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98"/>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7"/>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4"/>
          </w:tcPr>
          <w:p>
            <w:pPr>
              <w:spacing w:after="0" w:line="216"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RHA Investments, Inc.</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98"/>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7"/>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9"/>
                <w:szCs w:val="19"/>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20" w:right="60"/>
        <w:spacing w:after="0" w:line="233"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and in his capacity as Executive Vice Chairman of the Issuer; (v) RHA Investments, Inc. ("RHA Investments"), in its capacity as general partner of RHA Partners; and (vi) Mr. Alpert, individually and in his capacity as President and sole shareholder of RHA Investments, and in his capacity as Executive Chairman of the Issuer (collectively, the "Reporting Persons").</w:t>
      </w:r>
    </w:p>
    <w:p>
      <w:pPr>
        <w:spacing w:after="0" w:line="26" w:lineRule="exact"/>
        <w:rPr>
          <w:rFonts w:ascii="Times New Roman" w:cs="Times New Roman" w:eastAsia="Times New Roman" w:hAnsi="Times New Roman"/>
          <w:sz w:val="13"/>
          <w:szCs w:val="13"/>
          <w:color w:val="008000"/>
        </w:rPr>
      </w:pPr>
    </w:p>
    <w:p>
      <w:pPr>
        <w:ind w:left="20" w:right="80"/>
        <w:spacing w:after="0" w:line="250"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20"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41" w:lineRule="exact"/>
        <w:rPr>
          <w:rFonts w:ascii="Times New Roman" w:cs="Times New Roman" w:eastAsia="Times New Roman" w:hAnsi="Times New Roman"/>
          <w:sz w:val="13"/>
          <w:szCs w:val="13"/>
          <w:color w:val="008000"/>
        </w:rPr>
      </w:pPr>
    </w:p>
    <w:p>
      <w:pPr>
        <w:ind w:left="20"/>
        <w:spacing w:after="0" w:line="250"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20"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April 1, 2024, Mr. Webb was granted a total 118,765 RSUs, all of which will vest on the first anniversary of the grant 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20" w:right="320"/>
        <w:spacing w:after="0" w:line="250" w:lineRule="auto"/>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 In addition, Mr. Alpert serves as Executive Chairman and Mr. Webb serves as Executive Vice Chairman of the Issuer, and each serve as a director on the Board of Directors of the Issuer.</w:t>
      </w:r>
    </w:p>
    <w:p>
      <w:pPr>
        <w:spacing w:after="0" w:line="4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-10160</wp:posOffset>
            </wp:positionV>
            <wp:extent cx="1367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6"/>
          <w:szCs w:val="16"/>
          <w:color w:val="0000FF"/>
        </w:rPr>
        <w:t>04/02/2024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-17780</wp:posOffset>
            </wp:positionV>
            <wp:extent cx="1879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-17780</wp:posOffset>
            </wp:positionV>
            <wp:extent cx="327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327025" cy="8255"/>
                    </a:xfrm>
                    <a:prstGeom prst="rect">
                      <a:avLst/>
                    </a:prstGeom>
                    <a:noFill/>
                  </pic:spPr>
                </pic:pic>
              </a:graphicData>
            </a:graphic>
          </wp:anchor>
        </w:drawing>
      </w:r>
    </w:p>
    <w:p>
      <w:pPr>
        <w:spacing w:after="0" w:line="28"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520"/>
        <w:spacing w:after="0" w:line="332" w:lineRule="auto"/>
        <w:tabs>
          <w:tab w:leader="none" w:pos="15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12" Type="http://schemas.openxmlformats.org/officeDocument/2006/relationships/hyperlink" Target="http://www.sec.gov/cgi-bin/browse-edgar?action=getcompany&amp;CIK=0001694780"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694574" TargetMode="External"/><Relationship Id="rId16" Type="http://schemas.openxmlformats.org/officeDocument/2006/relationships/hyperlink" Target="http://www.sec.gov/cgi-bin/browse-edgar?action=getcompany&amp;CIK=0001694507" TargetMode="External"/><Relationship Id="rId18" Type="http://schemas.openxmlformats.org/officeDocument/2006/relationships/hyperlink" Target="http://www.sec.gov/cgi-bin/browse-edgar?action=getcompany&amp;CIK=0001274195" TargetMode="External"/><Relationship Id="rId19" Type="http://schemas.openxmlformats.org/officeDocument/2006/relationships/hyperlink" Target="http://www.sec.gov/cgi-bin/browse-edgar?action=getcompany&amp;CIK=0001694778" TargetMode="External"/><Relationship Id="rId20"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2024-04-02T18:44:37Z</dcterms:created>
  <dcterms:modified xsi:type="dcterms:W3CDTF">2024-04-02T18:44:37Z</dcterms:modified>
</cp:coreProperties>
</file>