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5224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2247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Sarsfield Luke A. III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89,767</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12.61</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02/14/2025</w:t>
            </w:r>
          </w:p>
        </w:tc>
        <w:tc>
          <w:tcPr>
            <w:tcW w:w="1060" w:type="dxa"/>
            <w:vAlign w:val="bottom"/>
          </w:tcPr>
          <w:p>
            <w:pPr>
              <w:spacing w:after="0"/>
              <w:rPr>
                <w:sz w:val="12"/>
                <w:szCs w:val="12"/>
                <w:color w:val="auto"/>
              </w:rPr>
            </w:pPr>
          </w:p>
        </w:tc>
        <w:tc>
          <w:tcPr>
            <w:tcW w:w="80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rPr>
              <w:t>89,767</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02/14/2035</w:t>
            </w: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rPr>
              <w:t>89,767</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118,954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02/14/2025</w:t>
            </w:r>
          </w:p>
        </w:tc>
        <w:tc>
          <w:tcPr>
            <w:tcW w:w="1060" w:type="dxa"/>
            <w:vAlign w:val="bottom"/>
          </w:tcPr>
          <w:p>
            <w:pPr>
              <w:spacing w:after="0"/>
              <w:rPr>
                <w:sz w:val="12"/>
                <w:szCs w:val="12"/>
                <w:color w:val="auto"/>
              </w:rPr>
            </w:pPr>
          </w:p>
        </w:tc>
        <w:tc>
          <w:tcPr>
            <w:tcW w:w="80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w w:val="94"/>
              </w:rPr>
              <w:t>118,954</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118,954</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15,914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02/14/2025</w:t>
            </w:r>
          </w:p>
        </w:tc>
        <w:tc>
          <w:tcPr>
            <w:tcW w:w="1060" w:type="dxa"/>
            <w:vAlign w:val="bottom"/>
          </w:tcPr>
          <w:p>
            <w:pPr>
              <w:spacing w:after="0"/>
              <w:rPr>
                <w:sz w:val="12"/>
                <w:szCs w:val="12"/>
                <w:color w:val="auto"/>
              </w:rPr>
            </w:pPr>
          </w:p>
        </w:tc>
        <w:tc>
          <w:tcPr>
            <w:tcW w:w="80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rPr>
              <w:t>15,914</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15,914</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89,767 stock options, which will vest ratably on the first, second, third and fourth anniversaries of the grant date, provided that the reporting person remains in continuous service with the Issuer through each such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1" w:lineRule="exact"/>
        <w:rPr>
          <w:rFonts w:ascii="Times New Roman" w:cs="Times New Roman" w:eastAsia="Times New Roman" w:hAnsi="Times New Roman"/>
          <w:sz w:val="13"/>
          <w:szCs w:val="13"/>
          <w:color w:val="008000"/>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118,954 RSUs, which will vest ratably on the first, second, third and fourth anniversaries of the grant date, provided that the reporting person remains in continuous service with the Issuer through each such vesting date.</w:t>
      </w:r>
    </w:p>
    <w:p>
      <w:pPr>
        <w:spacing w:after="0" w:line="19" w:lineRule="exact"/>
        <w:rPr>
          <w:rFonts w:ascii="Times New Roman" w:cs="Times New Roman" w:eastAsia="Times New Roman" w:hAnsi="Times New Roman"/>
          <w:sz w:val="13"/>
          <w:szCs w:val="13"/>
          <w:color w:val="008000"/>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15,914 RSUs, all of which will vest on the first anniversary of the grant date, provided that the reporting person remains in continuous service with the Issuer through such date.</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1019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Luke A.</w:t>
      </w:r>
      <w:r>
        <w:rPr>
          <w:sz w:val="20"/>
          <w:szCs w:val="20"/>
          <w:color w:val="auto"/>
        </w:rPr>
        <w:tab/>
      </w:r>
      <w:r>
        <w:rPr>
          <w:rFonts w:ascii="Times New Roman" w:cs="Times New Roman" w:eastAsia="Times New Roman" w:hAnsi="Times New Roman"/>
          <w:sz w:val="16"/>
          <w:szCs w:val="16"/>
          <w:color w:val="0000FF"/>
        </w:rPr>
        <w:t>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Sarsfield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504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97448"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2025-02-19T17:48:24Z</dcterms:created>
  <dcterms:modified xsi:type="dcterms:W3CDTF">2025-02-19T17:48:24Z</dcterms:modified>
</cp:coreProperties>
</file>