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1980" w:hanging="452"/>
        <w:spacing w:after="0" w:line="431"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99"/>
              </w:rPr>
              <w:t>For the transition period from</w:t>
            </w:r>
          </w:p>
        </w:tc>
        <w:tc>
          <w:tcPr>
            <w:tcW w:w="4060" w:type="dxa"/>
            <w:vAlign w:val="bottom"/>
            <w:gridSpan w:val="4"/>
          </w:tcPr>
          <w:p>
            <w:pPr>
              <w:ind w:left="260"/>
              <w:spacing w:after="0"/>
              <w:rPr>
                <w:sz w:val="20"/>
                <w:szCs w:val="20"/>
                <w:color w:val="auto"/>
              </w:rPr>
            </w:pPr>
            <w:r>
              <w:rPr>
                <w:rFonts w:ascii="Arial" w:cs="Arial" w:eastAsia="Arial" w:hAnsi="Arial"/>
                <w:sz w:val="18"/>
                <w:szCs w:val="18"/>
                <w:b w:val="1"/>
                <w:bCs w:val="1"/>
                <w:color w:val="auto"/>
              </w:rPr>
              <w:t>to</w:t>
            </w:r>
          </w:p>
        </w:tc>
      </w:tr>
      <w:tr>
        <w:trPr>
          <w:trHeight w:val="397"/>
        </w:trPr>
        <w:tc>
          <w:tcPr>
            <w:tcW w:w="2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120" w:type="dxa"/>
            <w:vAlign w:val="bottom"/>
          </w:tcPr>
          <w:p>
            <w:pPr>
              <w:ind w:left="42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36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72"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1660" w:space="80"/>
            <w:col w:w="3360" w:space="720"/>
            <w:col w:w="2020" w:space="220"/>
            <w:col w:w="3300"/>
          </w:cols>
          <w:pgMar w:left="240" w:top="230" w:right="299" w:bottom="144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139" w:lineRule="exact"/>
        <w:rPr>
          <w:sz w:val="24"/>
          <w:szCs w:val="24"/>
          <w:color w:val="auto"/>
        </w:rPr>
      </w:pPr>
    </w:p>
    <w:p>
      <w:pPr>
        <w:ind w:left="460"/>
        <w:spacing w:after="0" w:line="207" w:lineRule="exact"/>
        <w:tabs>
          <w:tab w:leader="none" w:pos="8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April 23, 2009 was 60,458,311.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Condensed Consolidated Financial Statements.</w:t>
              </w:r>
            </w:hyperlink>
          </w:p>
        </w:tc>
        <w:tc>
          <w:tcPr>
            <w:tcW w:w="520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9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854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83"/>
        </w:trPr>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280"/>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20" w:type="dxa"/>
            <w:vAlign w:val="bottom"/>
          </w:tcPr>
          <w:p>
            <w:pPr>
              <w:jc w:val="center"/>
              <w:ind w:left="1752"/>
              <w:spacing w:after="0"/>
              <w:rPr>
                <w:sz w:val="20"/>
                <w:szCs w:val="20"/>
                <w:color w:val="auto"/>
              </w:rPr>
            </w:pPr>
            <w:r>
              <w:rPr>
                <w:rFonts w:ascii="Arial" w:cs="Arial" w:eastAsia="Arial" w:hAnsi="Arial"/>
                <w:sz w:val="18"/>
                <w:szCs w:val="18"/>
                <w:b w:val="1"/>
                <w:bCs w:val="1"/>
                <w:color w:val="auto"/>
                <w:w w:val="88"/>
              </w:rPr>
              <w:t>Active Power,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320" w:type="dxa"/>
            <w:vAlign w:val="bottom"/>
          </w:tcPr>
          <w:p>
            <w:pPr>
              <w:jc w:val="center"/>
              <w:ind w:left="17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320" w:type="dxa"/>
            <w:vAlign w:val="bottom"/>
          </w:tcPr>
          <w:p>
            <w:pPr>
              <w:jc w:val="center"/>
              <w:ind w:left="1752"/>
              <w:spacing w:after="0"/>
              <w:rPr>
                <w:sz w:val="20"/>
                <w:szCs w:val="20"/>
                <w:color w:val="auto"/>
              </w:rPr>
            </w:pPr>
            <w:r>
              <w:rPr>
                <w:rFonts w:ascii="Arial" w:cs="Arial" w:eastAsia="Arial" w:hAnsi="Arial"/>
                <w:sz w:val="18"/>
                <w:szCs w:val="18"/>
                <w:color w:val="auto"/>
                <w:w w:val="87"/>
              </w:rPr>
              <w:t>(in thousands)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8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4"/>
              </w:rPr>
              <w:t>ASSETS</w:t>
            </w:r>
          </w:p>
        </w:tc>
        <w:tc>
          <w:tcPr>
            <w:tcW w:w="8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Accounts receivable, net of allowance for doubtful accounts of $416 and $413 at March 31, 2009 and December 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 respectively</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3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29,529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9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2,574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Revolving line of credit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10,296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260,659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(241,210)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(238,843)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2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29,529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11,143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other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3,330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5,570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(2,308)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(4,751)</w:t>
            </w: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(2,383)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 (2,367)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5"/>
              </w:rPr>
              <w:t>$ (4,469)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(1,137)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liabilities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Net proceeds from issuance of common stock</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900" w:type="dxa"/>
            <w:vAlign w:val="bottom"/>
            <w:gridSpan w:val="2"/>
            <w:vMerge w:val="continue"/>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90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$ 10,111</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2009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80" w:lineRule="exact"/>
        <w:rPr>
          <w:sz w:val="20"/>
          <w:szCs w:val="20"/>
          <w:color w:val="auto"/>
        </w:rPr>
      </w:pPr>
    </w:p>
    <w:p>
      <w:pPr>
        <w:ind w:left="460" w:right="858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manufacture and provide critical power quality solutions that provide business continuity and protect customers in the event of an electrical power disturbance.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Uninterruptible Power Supply (UPS) products we manufacture utilize green technologies to create a renewable energy source. We sell our products globally through direct, manufacturer’s representative and Original Equipment Manufacturer (OEM) channels. Our current principal markets are North America, Europe, Middle East and Africa (EMEA) and Asia.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(consisting only of normal recurring items)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2008.</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(FAS No. 157). FAS No. 157 defines fair value, establishes a framework for measuring fair value and enhances disclosures about fair value measurements required under other accounting pronouncements, but does not change existing guidance as to whether or not an instrument is carried at fair value. In February 2008, the FASB issued FSP FAS 157-2, “Effective Date of FASB Statement No. 157” which delayed the implementation of the provisions of FAS No. 157 with regard to non-financial assets and liabilities that are not carried at fair value on a recurring basis in financial statements. We have implemented FAS No. 157 for our non-financial assets and liabilities that are re-measured at fair value on a non-recurring basis as of January 1, 2009. The adoption of FAS No. 157 for our non-financial assets and liabilities that are re-measured at fair value on a non-recurring basis did not have a material impact on our financial position or results of operations; however, it could have an impact in future periods. In addition, we may have additional disclosure requirements in the event we complete an acquisition or incur impairment of our assets in future periods.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2009, the FASB issued FSP SFAS 157-4, “Determining Fair Value When the Volume and Level of Activity for the Asset or Liability Have Significantly Decreased and Identifying Transactions That Are Not Orderly” which provides additional guidance for estimating fair value in accordance with FASB Statement No. 157, “Fair Value Measurements,” when the volume and level of activity for the asset or liability have significantly decreased. This FSP also includes guidance on identifying circumstances that indicate a transaction is not orderly. This pronouncement is effective for periods ending after June 15, 2009. The Company’s management does not expect this pronouncement to have a material effect on the Company’s financial position and results of operations.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2009, FASB issued FSP SFAS No. 157-4, “Determining Fair Value When the Volume and Level of Activity for the Asset or Liability Have Significantly Decreased and Identifying Transactions That Are Not Orderly.” FSP SFAS No. 157-4 provides guidelines for making fair value measurements more consistent with the principles presented in SFAS No. 157, “Fair Value Measurements.” This FSP relates to determining fair values when there is no active market or where the price inputs being used represent distressed sales. It reaffirms what SFAS No.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 The FSP is effective for the Company’s annual reporting for the fiscal year 2009. The Company is currently evaluating the impact of the implementation of FSP SFAS No. 157-4 on its consolidated financial position, results of operations and cash flows.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December 2007, the FASB issued 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(FAS 141R) which replaces FAS No. 141, “Business Combinations” and FAS No. 160, “Noncontrolling Interests in Consolidated Financial Statements” (FAS 160). FAS 141R establishes principles and requirements for how an acquirer recognizes and measures in its financial statements the identifiable assets acquired, the liabilities assumed, any noncontrolling interest in the acquiree and the goodwill acquired. FAS 141R also establishes disclosure requirements that will enable users to evaluate the nature and financial effects of the business combination. FAS 160 clarifies the classification of noncontrolling interests in the financial statements and the accounting for and reporting of transactions between the reporting entity and holders of such noncontrolling interests. FAS 141R and FAS 160 are effective for the Company’s fiscal year 2009 and must be applied prospectively to all new acquisitions closing on or after January 1, 2009. Upon adoption, these standards did not have a material impact on the Company’s consolidated financial position and result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Supplemental Balance Sheet Information</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Receivables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000" w:type="dxa"/>
            <w:vAlign w:val="bottom"/>
          </w:tcPr>
          <w:p>
            <w:pPr>
              <w:ind w:left="620"/>
              <w:spacing w:after="0"/>
              <w:rPr>
                <w:sz w:val="20"/>
                <w:szCs w:val="20"/>
                <w:color w:val="auto"/>
              </w:rPr>
            </w:pPr>
            <w:r>
              <w:rPr>
                <w:rFonts w:ascii="Arial" w:cs="Arial" w:eastAsia="Arial" w:hAnsi="Arial"/>
                <w:sz w:val="18"/>
                <w:szCs w:val="18"/>
                <w:color w:val="auto"/>
              </w:rPr>
              <w:t>Accounts receivable consist of the following (in thousands):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3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2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3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5,861</w:t>
            </w:r>
          </w:p>
        </w:tc>
        <w:tc>
          <w:tcPr>
            <w:tcW w:w="28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vMerge w:val="continue"/>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920"/>
              <w:spacing w:after="0"/>
              <w:rPr>
                <w:sz w:val="20"/>
                <w:szCs w:val="20"/>
                <w:color w:val="auto"/>
              </w:rPr>
            </w:pPr>
            <w:r>
              <w:rPr>
                <w:rFonts w:ascii="Arial" w:cs="Arial" w:eastAsia="Arial" w:hAnsi="Arial"/>
                <w:sz w:val="18"/>
                <w:szCs w:val="18"/>
                <w:color w:val="auto"/>
                <w:w w:val="91"/>
              </w:rPr>
              <w:t>Property and equipment consist of the following (in thousands):</w:t>
            </w: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Demonstration units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39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92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(17,366)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(16,915)</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39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3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920" w:type="dxa"/>
            <w:vAlign w:val="bottom"/>
            <w:vMerge w:val="restart"/>
          </w:tcPr>
          <w:p>
            <w:pPr>
              <w:jc w:val="right"/>
              <w:ind w:right="36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Warranty liability</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r>
      <w:tr>
        <w:trPr>
          <w:trHeight w:val="222"/>
        </w:trPr>
        <w:tc>
          <w:tcPr>
            <w:tcW w:w="96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4,288</w:t>
            </w:r>
          </w:p>
        </w:tc>
        <w:tc>
          <w:tcPr>
            <w:tcW w:w="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5,425</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ectPr>
          <w:pgSz w:w="11900" w:h="16838" w:orient="portrait"/>
          <w:cols w:equalWidth="0" w:num="1">
            <w:col w:w="11420"/>
          </w:cols>
          <w:pgMar w:left="240" w:top="459" w:right="239" w:bottom="1440" w:gutter="0" w:footer="0" w:header="0"/>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warranty liability are presented in the following table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46" w:hanging="146"/>
        <w:spacing w:after="0"/>
        <w:tabs>
          <w:tab w:leader="none" w:pos="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948</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$ 843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3" w:lineRule="exact"/>
        <w:rPr>
          <w:sz w:val="20"/>
          <w:szCs w:val="20"/>
          <w:color w:val="auto"/>
        </w:rPr>
      </w:pPr>
    </w:p>
    <w:p>
      <w:pPr>
        <w:ind w:left="146" w:hanging="146"/>
        <w:spacing w:after="0"/>
        <w:tabs>
          <w:tab w:leader="none" w:pos="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780</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$ 843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14" w:space="720"/>
            <w:col w:w="486"/>
          </w:cols>
          <w:pgMar w:left="240" w:top="459" w:right="239" w:bottom="1440" w:gutter="0" w:footer="0" w:header="0"/>
          <w:type w:val="continuous"/>
        </w:sectPr>
      </w:pPr>
    </w:p>
    <w:p>
      <w:pPr>
        <w:spacing w:after="0" w:line="14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Basic and diluted:</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60,124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(0. 04)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(0. 07)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calculation of diluted loss per share excludes 6,977,917 and 5,645,007 shares of common stock issuable upon exercise of employee stock options as of March 31, 2009 and 2008, respectively, and 123,013 and 238,638 of non-vested shares issuable upon exercise of restricted stock awards of March 31, 2009 and 2008, respectively, because their inclusion in the calculation would be anti-dilutive. As of March 31, 2009 and 2008, there was no common stock subject to repurchase.</w:t>
      </w:r>
    </w:p>
    <w:p>
      <w:pPr>
        <w:spacing w:after="0" w:line="2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reclassifications made from unrealized gains/losses to realized gains/losses are determined based on the specific identification method. The carrying amount of investments in marketable securities approximates fair value at March 31, 2009.</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objectives to preserve capital, meet liquidity requirements and maximize return on our investments. We do not require collateral or enter into master netting arrangements to mitigate our credit risk.</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SFAS 157 defines fair value, establishes a framework for measuring fair value under generally accepted accounting principles and enhances disclosure requirements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SFAS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SFAS 157, the following table represents the Company’s fair value hierarchy for its financial assets (cash equivalents and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measured at fair value on a recurring basis as of March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2"/>
              </w:rPr>
              <w:t>Level 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3</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Corporate Notes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March 31, 2009 and December 31, 2008 we had $301 and $491, respectively, of contingent liabilities outstanding to customers that were secured with letters of credit.</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In connection with one sale made in 2008 by our subsidiary company in the United Kingdom, as a condition of sale, we (as parent of the subsidiary) guaranteed the performance of the subsidiary pursuant to the terms and conditions of the sale contract with the UK-based technology customer. We have not recorded any liability on our balance sheet for this guarantee as it provides that we will not have to assume any greater liability under the contract than our subsidiary company, and because we believe that our subsidiary will meet all of its performance obligations relating to the sales contract.</w:t>
      </w:r>
    </w:p>
    <w:p>
      <w:pPr>
        <w:spacing w:after="0" w:line="2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2007, we entered into a Loan and Security Agreement (the “Loan Agreement”) with Silicon Valley Bank (“SVB”). The Loan Agreement provides for a secured revolving line of credit in an amount of up to $5.0 million, subject to a borrowing base formula. The revolving line of credit can be used to borrow revolving loans, issue standby letters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and support certain cash management services. Revolving loans may be borrowed, repaid and re-borrowed until October 5, 2010, at which time all amounts borrowed must be repaid and all outstanding letters of credit must be cash collateralized. Revolving loans will bear interest at a floating per annum rate equal to the greater of (i) SVB’s prime rate plus 0.25% or (ii) 5.25% (5.25% at March 31, 2009). A default interest rate shall apply during an event of default under the Loan Agreement at a rate per annum equal to 5.0% above the otherwise applicable interest rate. An unused revolving line facility fee is payable quarterly, in arrears, in an amount equal to 0.25% per annum of the average unused portion of the revolving line. We plan to draw upon the line of credit for working capital purposes as required.</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2008 we modified our secured revolving line of credit facility with SVB to provide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2008 we borrowed $2.0 million under the Loan Agreement and this balance remained outstanding at March 31,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Based on the borrowing base formula, we had an additional $0.7 million available for use at March 31, 2009 under the Loan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2008 included in our 2008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of our 2008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March 31, 2009, we have shipped more than 2,200 flywheels in UPS system installations, delivering more than 550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5"/>
          <w:szCs w:val="15"/>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majority of customers in this market segment have backup generators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flywheel products are marketed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Our continuous power systems are marketed under the name PowerHouse and combine our UPS system with switchgear and a generator to provide complete short- and long-term protection in the event of a power disturbance.</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commercialize our technologies by building the Active Power brand, expanding our sales distribution, focusing on product cost reduction, and building technical innovations to serve clients with mission critical power applications globally.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sell our products to a wide array of commercial and industrial customers and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Europe and Asia.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61"/>
        </w:trPr>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7"/>
              </w:rPr>
              <w:t>Three months ended March 31,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2009 vs.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revenue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$ 6,248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1,434</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1,290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144</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3"/>
              </w:rPr>
              <w:t>11,143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3,605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6,901</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5,657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1,244</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6,755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1,126</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2,479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2,950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380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5,570</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5,534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1"/>
              </w:rPr>
              <w:t>(2,308)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2,443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163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w w:val="91"/>
              </w:rPr>
              <w:t>(2,367)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comprised of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Power Systems (CPS) which are comprised of our UPS systems and some combination of third-party ancillary equipment, such as engine generators and electrical and switchgear products. The CPS products may be sold in a containerized solution or as separate equipment. Product revenue also includes sales of our CoolAir DC and CoolAir UPS products.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increase in product revenue from the same period of 2008 was due to higher sales volume of all products lines, especially the CleanSource UPS product line. Our UPS products represented approximately 85% of our total revenue in the first quarter of 2009, compared to 69% of total revenue in the first quarter of 2008. A single product, depending on its power rating, may be comprised of multiple flywheel units. The average selling price over the first three months of 2009 was $80,000 per quarter-megawatt flywheel, compared to $78,000 in the comparable period in 2008.</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three-month period ended March 31, 2009 we sold 119 flywheel units compared to 64 flywheel units in the comparable period of 2008. The frequency and timing of our larger system sales, including megawatt class UPS products, made directly by us is more unpredictable than orders received from our OEM partners, and can result in material changes in period-to-period revenue. Such revenues may also occur in periods other than when originally anticipated, which can add to the potential variability in our quarterly financial results and affect our ability to meet forecasted targets. For example, the absence of large system sales in the first quarter of 2009 contributed to the decrease in total revenues from the prior quarter. However, we had an increase in system sales when compared to the first quarter of 2008.</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North American sales were 76% of our total revenue for the three-month period ended March 31, 2009 compared to 61% for the same period of 2008, and 67% in the three-month period ended December 31, 2008. This reflects an 86% increase in sales in our North American business in the first quarter of 2009 compared to the first quarter of 2008 and a decrease in our international sales from the prior quarter and the first quarter of 2008.</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Since 2005 we have been increasing the size of our direct sales organization in an effort to expand the territories in which we sell our Active Power branded products. Most of this effort initially was focused in the EMEA market where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now have multiple sales offices. In 2007, we also opened our first Asian sales office in Tokyo. Sales of Active Power branded products through our direct and manufacturer’s representative channels were 57% of our total revenues for the three-month period ended March 31, 2009, compared to 56% for the same period of 2008. As direct sales typically have higher profit margins than sales through our OEM channels, we will continue to focus on our direct sales channel to increase revenue and improve profit margins. We believe sales of our Active Power branded products to government facilities and industrial customers in regions that were not covered by our OEMs will continue to increase over time and will continue to become a larger percentage of our total revenue.</w:t>
      </w:r>
    </w:p>
    <w:p>
      <w:pPr>
        <w:spacing w:after="0" w:line="11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Caterpillar remains our largest OEM partner and largest overall customer and represented 43% of our revenue for the three-month period ended March 31, 2009, compared to 44% of our revenue for the three-month period ended March 31, 2008. We have had recent success with Caterpillar selling our megawatt-class UPS products along with their large engine generators, and expect total revenue from this channel to continue to increase in 2009 in absolute terms.</w:t>
      </w:r>
    </w:p>
    <w:p>
      <w:pPr>
        <w:spacing w:after="0" w:line="88"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on these type of customer situations. Due to the large size of some of our customer orders relative to our current total revenue levels, our quarterly total revenue trend and the proportion of sales made directly by us can be expected to fluctuate.</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Service and other revenue. </w:t>
      </w:r>
      <w:r>
        <w:rPr>
          <w:rFonts w:ascii="Arial" w:cs="Arial" w:eastAsia="Arial" w:hAnsi="Arial"/>
          <w:sz w:val="18"/>
          <w:szCs w:val="18"/>
          <w:color w:val="auto"/>
        </w:rPr>
        <w:t>Service and other revenue primarily relates to revenue generated from both traditional (after-market) service work and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Service and other revenue increased by 11% for the three-month period ended March 31, 2009, compared to the same prior year period. This increase is primarily due to higher levels of service and contract work from direct product sales made in prior quarters. For some of these customers we provide a full power solution, including site preparation, installation of an entire power solution and provision of all products required to provide a turnkey product to the end user. Where we make sales through our OEM channel, it is typical for the OEM to provide these types of services to their end-user customers. We anticipate that service and other revenue will continue to grow with product revenue and as our installed base of product expands, because as more units are sold to customers, more installation, startup and maintenance services will be required. We anticipate that service and other revenue will continue to grow as our installed base of products expands because as more units are sold to customers, more installation, startup and maintenance services will be required.</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or ancillary equipment that are sourced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external suppliers, personnel, equipment and other costs associated with our assembly and test operations, including costs from having underutilized facilities, shipping costs, warranty costs, and the costs of manufacturing support functions such as logistics and quality assurance. The cost of product revenue as a percentage of total product revenue decreased from 75% in the first quarter of 2008 to 62% in the three-month period ended March 31, 2009 due to the effect of increased flywheel units sold, improved efficiency in our manufacturing operations due to the higher sales volume that utilizes more of our manufacturing capacity, and material and overhead costs reductions. We have instituted programs to reduce product and component costs where feasible, and this has resulted in a decrease in materials costs as a percentage of product revenue and helped us to mitigate the impact of increased raw commodity pricing on our total product costs. We continue to operate a manufacturing facility that has a capacity level significantly greater than our current product revenue levels. In addition, a large portion of the costs involved in operating our manufacturing facility are fixed in nature and we incur approximately $750,000 to $1.0 million in unabsorbed overhead each quarter. We continue to work on reducing our product costs through design enhancements and modifications, and vendor management programs. The accomplishment of material gross-margin levels is heavily dependent upon our sales channel mix and the effectiveness of our product pricing to our customers. Our ability to maintain and grow positive product gross margin will depend on multiple factors, including our ability to continue to reduce material costs, improve our sales channel mix in favor of direct sales versus OEM, increase product prices, and increase our total revenues to a level that will allow us to improve the utilization of our manufacturing operations.</w:t>
      </w:r>
    </w:p>
    <w:p>
      <w:pPr>
        <w:spacing w:after="0" w:line="12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Cost of service and other revenue. </w:t>
      </w:r>
      <w:r>
        <w:rPr>
          <w:rFonts w:ascii="Arial" w:cs="Arial" w:eastAsia="Arial" w:hAnsi="Arial"/>
          <w:sz w:val="18"/>
          <w:szCs w:val="18"/>
          <w:color w:val="auto"/>
        </w:rPr>
        <w:t>Cost of service and other revenue includes the cost of component parts that we use in service or sell as spare parts,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labor and overhead costs of our service organization, including travel and related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costs incurred in fulfilling our service obligations to our customers. The cost of service and other revenue decreased to 68% of service and other revenue in the three-month period ended of March 31, 2009, compared to 85% in the same period of 2008. This decrease reflects better utilization of our service personnel, improved pricing for service, and higher margins on contract work compared to the prior period and the benefits of higher service volume to help meet the fixed costs of our service infrastructure. Many of the costs of the service organization are fixed in nature, and higher volume of installation, startup and service work is resulting in improved efficiency and operating results for this group. We expect this trend to continue during the remainder of 2009.</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were $301,000, or 21%, lower than the first quarter of 2008, and were $112,000, or 9%, lower than the preceding quarter. The decrease from the same period in 2008 was due to headcount reductions compared to 2008 and lower project related development costs this year. The prior year expenses included higher prototype and development costs for paralleling our megawatt-class UPS products. We believe research and development expenses in the second quarter will remain at similar levels to those recorded in the first quarter.</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 primarily consists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and related travel, selling and marketing expenses, as well as an allocated portion of our occupancy costs and the cost of our foreign sales operations. Selling and marketing costs were $380,000, or 13%, higher than the amount recorded in the first quarter of 2008, and were $291,000, or 10%, higher than the immediately preceding quarter. The increase from the same period in 2008 is due to increased variable sales compensation associated with the increase in revenue compared to 2008. The increase in our sales and marketing costs from the three-month period ended December 31, 2008 reflects increased spending on marketing activities in 2009, including tradeshows, as well as increased third party manufacturing representative commissions, and a higher allowance for doubtful accounts. Our total headcount in sales and marketing in the first quarter of 2009 remained at similar levels to the prior quarter, although we have changed the composition of our sales team over the last year as we expand our direct sales force. We believe that sales and marketing expenses will remain at similar levels in the second quarter of 2009 to those recorded in the first quarter of 2009.</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is primarily comprised of compensation and related costs for executive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professional fees, and taxes, including sales, property and franchise taxes. General and administrative expenses decreased by $43,000, or 4%, from the levels of the same period in 2008 and decreased by $295,000, or 21%, from the three-month period ended December 31, 2008. This decrease from the three-month period ended December 31, 2008 predominantly reflects lower professional fees. During the last quarter of 2007, we incurred legal fees in connection with a tender offer with respect to certain of the Company’s employees as a result of the stock option review to correct errors in option pricing. We are currently in the process of negotiating to settle the outstanding tax matters resulting from the option investigation with the Internal Revenue Service, and may still record additional expense to cover tax obligations for innocent employees who were affected by the option review. We would record any further expenses at the time we legally finalize those obligations for our employees. Absent the impact of such expenses from the option review, we anticipate that the level of general and administrative expenses should stay at similar levels in the second quarter of 2009.</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Interest income (expense) has decreased from $163,000 in the three-month period ended March 31, 2008 to ($10,000)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three-month period ended March 31, 2009. This reflects the decrease in our average cash and investments balance compared to the prior year as we have used our investments to fund operations, decreasing interest rates available in credit markets and interest expense paid on balances outstanding under our Loan Agreement. Our average cash and investments balance over the three month period ending March 31, 2009 has decreased by approximately $9.1 million, or 46%, compared to the average balance over the comparable period ending March 31, 2008.</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in the first quarter of 2009 increased over the preceding quarter due to our sale of previously expensed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foreign exchange gains on a bank account held in 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sources of liquidity at March 31, 2009 are our cash and investments on hand, our bank credit facilities and projected cash flows from operating activities. If we meet our cash flow projections in our current business plan, we expect that we will not require additional financing in order to continue operating and growing our business during 2009. Our business plan and our assumptions around the adequacy of our liquidity are based on estimates regarding expected revenues and future costs. However, there are scenarios in which our revenues may not meet our projections or our costs may exceed our estimates. Further, our estimates may change and future events or developments may also affect our estimates. Any of these factors may change our expectation of cash usage in 2009 or significantly affect our level of liquidity, which may require us to seek additional financing or take other measures to reduce our operating costs in order to continue operating. Our cash and investments at March 31, 2009 totaled $10.5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October 2007, we entered into a Loan and Security Agreement (the “Loan Agreement”) with Silicon Valley Bank (“SVB”). The Loan Agreement provides for a secured revolving line of credit in an amount of up to $5.0 million, subject to a borrowing base formula. In 2008, we modified the Loan Agreement to provide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 During the year ended December 31, 2008, we borrowed $2.0 million under the Loan Agreement and this balance remained outstanding at March 31, 2009. Based on the borrowing base formula, we had an additional $0.7 million available for use at March 31, 2009 under the Loan Agreement.</w:t>
      </w:r>
    </w:p>
    <w:p>
      <w:pPr>
        <w:spacing w:after="0" w:line="1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(i) SVB’s prime rate plus 0.25% or (ii) 5.25%.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of each of our subsidiaries held by us.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Three months ended</w:t>
            </w:r>
          </w:p>
        </w:tc>
        <w:tc>
          <w:tcPr>
            <w:tcW w:w="960" w:type="dxa"/>
            <w:vAlign w:val="bottom"/>
            <w:gridSpan w:val="2"/>
          </w:tcPr>
          <w:p>
            <w:pPr>
              <w:jc w:val="center"/>
              <w:ind w:left="167"/>
              <w:spacing w:after="0"/>
              <w:rPr>
                <w:sz w:val="20"/>
                <w:szCs w:val="20"/>
                <w:color w:val="auto"/>
              </w:rPr>
            </w:pPr>
            <w:r>
              <w:rPr>
                <w:rFonts w:ascii="Arial" w:cs="Arial" w:eastAsia="Arial" w:hAnsi="Arial"/>
                <w:sz w:val="14"/>
                <w:szCs w:val="14"/>
                <w:b w:val="1"/>
                <w:bCs w:val="1"/>
                <w:color w:val="auto"/>
                <w:w w:val="89"/>
              </w:rPr>
              <w:t>Variance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2"/>
              </w:rPr>
              <w:t>March 31,</w:t>
            </w: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2009 vs. 2008</w:t>
            </w:r>
          </w:p>
        </w:tc>
      </w:tr>
      <w:tr>
        <w:trPr>
          <w:trHeight w:val="142"/>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6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 (521)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(5,006)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$(4,485)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(90)%</w:t>
            </w:r>
          </w:p>
        </w:tc>
      </w:tr>
    </w:tbl>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Cash used in operating activities decreased by 90% in the first quarter of 2009 compared to the same period of 2008. Approximately $2.4 million of this decrease was due to lower operating losses in our business in 2009 compared to 2008. The rest of the decrease in cash used in operating activities was due to changes in our working capital. In 2008, we had increased investment in receivables and inventory during the first quarter, as well as decreased amounts of deferred revenue. In the first quarter of 2009, we were able to generate funds from operation by decreasing our receivables and inventory from the prior quarter by approximately $2.2 million. Some of this was attributable to lower business activity compared to the fourth quarter of 2008. We also were able to maintain the level of deferred revenue and customer deposits so that this activity did not provide or consume cash for our business. We anticipate that the level of cash used in operating activities will increase slightly in the second quarter as we continue to have fluctuations in our working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provided by investing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4"/>
                <w:szCs w:val="14"/>
                <w:color w:val="auto"/>
              </w:rPr>
            </w:pP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Variance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6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2009 vs. 2008</w:t>
            </w:r>
          </w:p>
        </w:tc>
        <w:tc>
          <w:tcPr>
            <w:tcW w:w="140" w:type="dxa"/>
            <w:vAlign w:val="bottom"/>
          </w:tcPr>
          <w:p>
            <w:pPr>
              <w:spacing w:after="0"/>
              <w:rPr>
                <w:sz w:val="14"/>
                <w:szCs w:val="14"/>
                <w:color w:val="auto"/>
              </w:rPr>
            </w:pPr>
          </w:p>
        </w:tc>
      </w:tr>
      <w:tr>
        <w:trPr>
          <w:trHeight w:val="223"/>
        </w:trPr>
        <w:tc>
          <w:tcPr>
            <w:tcW w:w="6600" w:type="dxa"/>
            <w:vAlign w:val="bottom"/>
          </w:tcPr>
          <w:p>
            <w:pPr>
              <w:spacing w:after="0"/>
              <w:rPr>
                <w:sz w:val="19"/>
                <w:szCs w:val="19"/>
                <w:color w:val="auto"/>
              </w:rPr>
            </w:pPr>
          </w:p>
        </w:tc>
        <w:tc>
          <w:tcPr>
            <w:tcW w:w="4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investing activities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2,550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$2,377</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3"/>
              </w:rPr>
              <w:t>93%</w:t>
            </w: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$127,000 in the three-month period ending March 31, 2009 compared to $243,000 in the same period of 2008.</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financing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6"/>
              </w:rPr>
              <w:t>Three months</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6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2"/>
              </w:rPr>
              <w:t>ended</w:t>
            </w:r>
          </w:p>
        </w:tc>
        <w:tc>
          <w:tcPr>
            <w:tcW w:w="26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Variance</w:t>
            </w:r>
          </w:p>
        </w:tc>
      </w:tr>
      <w:tr>
        <w:trPr>
          <w:trHeight w:val="161"/>
        </w:trPr>
        <w:tc>
          <w:tcPr>
            <w:tcW w:w="68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2009 vs. 2008</w:t>
            </w:r>
          </w:p>
        </w:tc>
      </w:tr>
      <w:tr>
        <w:trPr>
          <w:trHeight w:val="223"/>
        </w:trPr>
        <w:tc>
          <w:tcPr>
            <w:tcW w:w="68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(36)</w:t>
            </w:r>
          </w:p>
        </w:tc>
        <w:tc>
          <w:tcPr>
            <w:tcW w:w="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3"/>
              </w:rPr>
              <w:t>(36)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Funds provided by financing activities during the three months ended March 31, 2008 reflect the purchase of treasury shares offset by proceeds from employee share purchases.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our cash and investments will be sufficient to fund our operations for at least the next 12 months. We have prepared multiple scenarios for anticipated revenues in 2009, both favorable and unfavorable, to reflect the high level of uncertainty about the macroeconomic environment in which we operate our business. Our sales cycle is such that we have visibility 2-3 quarters in advance for future orders that allows us to predict revenues over this period of time with some degree of confidence. This window also provides us with some opportunity to adjust expenditures or take other measures to reduce our cash consumption if we can see and anticipate a shortfall in revenue. Based on the different scenarios we modeled for 2009, we believe that we can continue to manage operations and manage our working capital with the cash and investments on hand as at March 31, 2009 without the need for a further capital raise.</w:t>
      </w:r>
    </w:p>
    <w:p>
      <w:pPr>
        <w:spacing w:after="0" w:line="12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noted above, we believe our existing cash and investments at March 31, 2009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in particular the PowerHouse product family, the timing and level of development funding, the rate of expansion of our sales and marketing activities, the efficiency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In September 2006, the FASB issued SFAS No. 157, “Fair Value Measurements (FAS No. 157).” FAS No. 157 defines fair value, establishes a framework for measuring fair value and enhances disclosures about fair value measurements required under other accounting pronouncements, but does not change existing guidance as to whether or not an instrument is carried at fair value. In February 2008, the FASB issued FSP FAS 157-2, “Effective Date of FASB Statement</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No. 157” which delayed the implementation of the provisions of FAS No. 157 with regard to non-financial assets and liabilities that are not carried at fair value on a recurring basis in financial statements. We have implemented FAS No. 157 for our nonfinancial assets and liabilities that are remeasured at fair value on a non-recurring basis as of January 1, 2009. The adoption of FAS No. 157 for our nonfinancial assets and liabilities that are remeasured at fair value on a non-recurring basis did not have a material impact on our financial position or results of operations; however, it could have an impact in future periods. In addition, we may have additional disclosure requirements in the event we complete an acquisition or incur impairment of our assets in future periods.</w:t>
      </w:r>
    </w:p>
    <w:p>
      <w:pPr>
        <w:spacing w:after="0" w:line="11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April 2009, the FASB issued FSP SFAS 157-4, “Determining Fair Value When the Volume and Level of Activity for the Asset or Liability Have Significantly Decreased and Identifying Transactions That Are Not Orderly” which provides additional guidance for estimating fair value in accordance with FASB Statement No. 157, “Fair Value Measurements,” when the volume and level of activity for the asset or liability have significantly decreased. This FSP also includes guidance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identifying circumstances that indicate a transaction is not orderly. This pronouncement is effective for periods ending after June 15, 2009. The Company’s management does not expect this pronouncement to have a material effect on the Company’s financial position and results of operations.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2009, FASB issued FSP SFAS No. 157-4, “Determining Fair Value When the Volume and Level of Activity for the Asset or Liability Have Significantly Decreased and Identifying Transactions That Are Not Orderly.” FSP SFAS No. 157-4 provides guidelines for making fair value measurements more consistent with the principles presented in SFAS No. 157, “Fair Value Measurements.” This FSP relates to determining fair values when there is no active market or where the price inputs being used represent distressed sales. It reaffirms what SFAS No.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 The FSP is effective for the Company’s annual reporting for the fiscal year 2009. The Company is currently evaluating the impact of the implementation of FSP SFAS No. 157-4 on its consolidated financial position, results of operations and cash flows.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$0.1 million.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international sales have historically been made in U.S. dollars. As we have increased sales in foreign markets and opened operations in multiple foreign countries, we have executed more transactions that are denominated in other currencies, primarily euros and British pounds. Those sales and expenses in currencies other than U.S. dollars can result in transaction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1A—“Risk Factors” in our 2008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March 31, 2009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the three months ended March 31, 2009 there was no change in our internal control over financial reporting that occurred that has materially affected, or that we believe is reasonably likely to materially affect, our internal control over financial reporting, as defined in Rules 13a-15(f) and 15d-15(f)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2008 Annual Report on Form 10-K before making a decision to invest in our common stock or in evaluating Active Power and our business. The risks and uncertainties described in our 2008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2008 Annual Report on Form 10-K could materially harm our business, financial condition and results of operations. In that case, the trading price of our common stock could decline.</w:t>
      </w:r>
    </w:p>
    <w:p>
      <w:pPr>
        <w:spacing w:after="0" w:line="20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first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 until January 19, 2009, and then on December 23, 2008 NASDAQ announced the suspension of enforcement of this rule until April 20, 2009. Again in March 2009, NASDAQ announced a further suspension of enforcement of this rule until July 20, 2009. As a result, the period during which we must regain compliance has been extended to November 20, 2009. If at any time before November 20, 2009, the bid price of our Common Stock closes at or above $1.00 per share for a minimum of 10 consecutive business days, NASDAQ will provide written notification that we have achieved compliance with the Rule. If compliance with the Rule cannot be demonstrated by November 20, 2009, our Common Stock will be subject to delisting from The NASDAQ Global Market.</w:t>
      </w:r>
    </w:p>
    <w:p>
      <w:pPr>
        <w:spacing w:after="0" w:line="33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Minimum Bid Price Rule in order to remain on The NASDAQ Capital Market.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as Exhibit 3.1 to Active Power’s Quarterly Report on Form 10-Q filed on July 28, 2006)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3.2.* Second Amended and Restated Bylaws (filed as Exhibit 3.2 to Active Power’s Current Report on Form 8-K filed on February 2, 2007)</w:t>
      </w:r>
    </w:p>
    <w:p>
      <w:pPr>
        <w:spacing w:after="0" w:line="140"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Second Amended and Restated Bylaws (filed as Exhibit 3.01 to Active Power’s Current Report on Form 8-K filed December 7,</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2007)</w:t>
      </w:r>
    </w:p>
    <w:p>
      <w:pPr>
        <w:spacing w:after="0" w:line="111" w:lineRule="exact"/>
        <w:rPr>
          <w:sz w:val="20"/>
          <w:szCs w:val="20"/>
          <w:color w:val="auto"/>
        </w:rPr>
      </w:pPr>
    </w:p>
    <w:p>
      <w:pPr>
        <w:ind w:left="1000" w:right="540" w:hanging="465"/>
        <w:spacing w:after="0" w:line="268" w:lineRule="auto"/>
        <w:tabs>
          <w:tab w:leader="none" w:pos="980" w:val="left"/>
        </w:tabs>
        <w:rPr>
          <w:sz w:val="20"/>
          <w:szCs w:val="20"/>
          <w:color w:val="auto"/>
        </w:rPr>
      </w:pPr>
      <w:r>
        <w:rPr>
          <w:rFonts w:ascii="Arial" w:cs="Arial" w:eastAsia="Arial" w:hAnsi="Arial"/>
          <w:sz w:val="18"/>
          <w:szCs w:val="18"/>
          <w:color w:val="auto"/>
        </w:rPr>
        <w:t>4.1*</w:t>
        <w:tab/>
        <w:t>Specimen certificate for shares of Common Stock (filed as Exhibit 4.1 to Active Power’s IPO Registration Statement on Form S-l (SEC File No. 333-36946) (the “IPO Registration Statement”))</w:t>
      </w:r>
    </w:p>
    <w:p>
      <w:pPr>
        <w:spacing w:after="0" w:line="78" w:lineRule="exact"/>
        <w:rPr>
          <w:sz w:val="20"/>
          <w:szCs w:val="20"/>
          <w:color w:val="auto"/>
        </w:rPr>
      </w:pPr>
    </w:p>
    <w:p>
      <w:pPr>
        <w:ind w:left="1000" w:right="140" w:hanging="465"/>
        <w:spacing w:after="0" w:line="256" w:lineRule="auto"/>
        <w:tabs>
          <w:tab w:leader="none" w:pos="980" w:val="left"/>
        </w:tabs>
        <w:rPr>
          <w:sz w:val="20"/>
          <w:szCs w:val="20"/>
          <w:color w:val="auto"/>
        </w:rPr>
      </w:pPr>
      <w:r>
        <w:rPr>
          <w:rFonts w:ascii="Arial" w:cs="Arial" w:eastAsia="Arial" w:hAnsi="Arial"/>
          <w:sz w:val="18"/>
          <w:szCs w:val="18"/>
          <w:color w:val="auto"/>
        </w:rPr>
        <w:t>4.2*</w:t>
        <w:tab/>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dated December 13, 2001)</w:t>
      </w:r>
    </w:p>
    <w:p>
      <w:pPr>
        <w:spacing w:after="0" w:line="89" w:lineRule="exact"/>
        <w:rPr>
          <w:sz w:val="20"/>
          <w:szCs w:val="20"/>
          <w:color w:val="auto"/>
        </w:rPr>
      </w:pPr>
    </w:p>
    <w:p>
      <w:pPr>
        <w:ind w:left="1000" w:hanging="465"/>
        <w:spacing w:after="0" w:line="268" w:lineRule="auto"/>
        <w:tabs>
          <w:tab w:leader="none" w:pos="980" w:val="left"/>
        </w:tabs>
        <w:rPr>
          <w:sz w:val="20"/>
          <w:szCs w:val="20"/>
          <w:color w:val="auto"/>
        </w:rPr>
      </w:pPr>
      <w:r>
        <w:rPr>
          <w:rFonts w:ascii="Arial" w:cs="Arial" w:eastAsia="Arial" w:hAnsi="Arial"/>
          <w:sz w:val="18"/>
          <w:szCs w:val="18"/>
          <w:color w:val="auto"/>
        </w:rPr>
        <w:t>4.3*</w:t>
        <w:tab/>
        <w:t>See Exhibits 3.1, 3.2 and 3.3 for provisions of the Certificate of Incorporation and Bylaws of the registrant defining the rights of holders of common stock</w:t>
      </w:r>
    </w:p>
    <w:p>
      <w:pPr>
        <w:spacing w:after="0" w:line="78" w:lineRule="exact"/>
        <w:rPr>
          <w:sz w:val="20"/>
          <w:szCs w:val="20"/>
          <w:color w:val="auto"/>
        </w:rPr>
      </w:pPr>
    </w:p>
    <w:p>
      <w:pPr>
        <w:ind w:left="1000" w:right="540" w:hanging="553"/>
        <w:spacing w:after="0" w:line="268" w:lineRule="auto"/>
        <w:tabs>
          <w:tab w:leader="none" w:pos="980" w:val="left"/>
        </w:tabs>
        <w:rPr>
          <w:sz w:val="20"/>
          <w:szCs w:val="20"/>
          <w:color w:val="auto"/>
        </w:rPr>
      </w:pPr>
      <w:r>
        <w:rPr>
          <w:rFonts w:ascii="Arial" w:cs="Arial" w:eastAsia="Arial" w:hAnsi="Arial"/>
          <w:sz w:val="18"/>
          <w:szCs w:val="18"/>
          <w:color w:val="auto"/>
        </w:rPr>
        <w:t>31.1</w:t>
        <w:tab/>
        <w:t>Certification of Chief Executive Officer pursuant to Exchange Act Rules 13a-14(a) and 15d-14(a), as adopted pursuant to Section 302 of the Sarbanes-Oxley Act of 2003</w:t>
      </w:r>
    </w:p>
    <w:p>
      <w:pPr>
        <w:spacing w:after="0" w:line="78" w:lineRule="exact"/>
        <w:rPr>
          <w:sz w:val="20"/>
          <w:szCs w:val="20"/>
          <w:color w:val="auto"/>
        </w:rPr>
      </w:pPr>
    </w:p>
    <w:p>
      <w:pPr>
        <w:ind w:left="1000" w:right="480" w:hanging="553"/>
        <w:spacing w:after="0" w:line="268" w:lineRule="auto"/>
        <w:tabs>
          <w:tab w:leader="none" w:pos="980" w:val="left"/>
        </w:tabs>
        <w:rPr>
          <w:sz w:val="20"/>
          <w:szCs w:val="20"/>
          <w:color w:val="auto"/>
        </w:rPr>
      </w:pPr>
      <w:r>
        <w:rPr>
          <w:rFonts w:ascii="Arial" w:cs="Arial" w:eastAsia="Arial" w:hAnsi="Arial"/>
          <w:sz w:val="18"/>
          <w:szCs w:val="18"/>
          <w:color w:val="auto"/>
        </w:rPr>
        <w:t>31.2</w:t>
        <w:tab/>
        <w:t>Certification of Chief Financial Officer pursuant to Exchange Act Rules 13a-14(a) and 15(d)-14(a), as adopted pursuant to Section 302 of the Sarbanes-Oxley Act of 2003</w:t>
      </w:r>
    </w:p>
    <w:p>
      <w:pPr>
        <w:spacing w:after="0" w:line="78"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Chief Executive Officer pursuant to 18 U.S.C. Section 1350, as adopted pursuant to Section 906 of the Sarbanes-Oxley Act of 2003</w:t>
      </w:r>
    </w:p>
    <w:p>
      <w:pPr>
        <w:spacing w:after="0" w:line="117"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tcPr>
          <w:p>
            <w:pPr>
              <w:jc w:val="center"/>
              <w:ind w:right="172"/>
              <w:spacing w:after="0"/>
              <w:rPr>
                <w:sz w:val="20"/>
                <w:szCs w:val="20"/>
                <w:color w:val="auto"/>
              </w:rPr>
            </w:pPr>
            <w:r>
              <w:rPr>
                <w:rFonts w:ascii="Arial" w:cs="Arial" w:eastAsia="Arial" w:hAnsi="Arial"/>
                <w:sz w:val="18"/>
                <w:szCs w:val="18"/>
                <w:b w:val="1"/>
                <w:bCs w:val="1"/>
                <w:color w:val="auto"/>
                <w:w w:val="99"/>
              </w:rPr>
              <w:t>ACTIVE POWER, INC.</w:t>
            </w:r>
          </w:p>
        </w:tc>
      </w:tr>
      <w:tr>
        <w:trPr>
          <w:trHeight w:val="222"/>
        </w:trPr>
        <w:tc>
          <w:tcPr>
            <w:tcW w:w="6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tcPr>
          <w:p>
            <w:pPr>
              <w:jc w:val="center"/>
              <w:ind w:right="172"/>
              <w:spacing w:after="0"/>
              <w:rPr>
                <w:sz w:val="20"/>
                <w:szCs w:val="20"/>
                <w:color w:val="auto"/>
              </w:rPr>
            </w:pPr>
            <w:r>
              <w:rPr>
                <w:rFonts w:ascii="Arial" w:cs="Arial" w:eastAsia="Arial" w:hAnsi="Arial"/>
                <w:sz w:val="18"/>
                <w:szCs w:val="18"/>
                <w:color w:val="auto"/>
                <w:w w:val="89"/>
              </w:rPr>
              <w:t>(Registrant)</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April 28, 2009</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James A. Clishem</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62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280" w:type="dxa"/>
            <w:vAlign w:val="bottom"/>
          </w:tcPr>
          <w:p>
            <w:pPr>
              <w:spacing w:after="0"/>
              <w:rPr>
                <w:sz w:val="20"/>
                <w:szCs w:val="20"/>
                <w:color w:val="auto"/>
              </w:rPr>
            </w:pPr>
            <w:r>
              <w:rPr>
                <w:rFonts w:ascii="Arial" w:cs="Arial" w:eastAsia="Arial" w:hAnsi="Arial"/>
                <w:sz w:val="18"/>
                <w:szCs w:val="18"/>
                <w:color w:val="auto"/>
              </w:rPr>
              <w:t>April 28, 2009</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John K. Penver</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spacing w:after="0"/>
              <w:rPr>
                <w:sz w:val="20"/>
                <w:szCs w:val="20"/>
                <w:color w:val="auto"/>
              </w:rPr>
            </w:pPr>
            <w:r>
              <w:rPr>
                <w:rFonts w:ascii="Arial" w:cs="Arial" w:eastAsia="Arial" w:hAnsi="Arial"/>
                <w:sz w:val="18"/>
                <w:szCs w:val="18"/>
                <w:color w:val="auto"/>
              </w:rPr>
              <w:t>John K. Penver</w:t>
            </w:r>
          </w:p>
        </w:tc>
      </w:tr>
      <w:tr>
        <w:trPr>
          <w:trHeight w:val="222"/>
        </w:trPr>
        <w:tc>
          <w:tcPr>
            <w:tcW w:w="62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Vice President of Finance, Chief Financial Officer and</w:t>
            </w:r>
          </w:p>
        </w:tc>
      </w:tr>
    </w:tbl>
    <w:p>
      <w:pPr>
        <w:ind w:left="62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2009</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2009</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2009,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28, 2009</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2009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Secretary</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28,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2019-12-10T15:31:04Z</dcterms:created>
  <dcterms:modified xsi:type="dcterms:W3CDTF">2019-12-10T15:31:04Z</dcterms:modified>
</cp:coreProperties>
</file>