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Sarsfield Luke A. III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10/23/2024</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218,103</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281,432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10/23/2024</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Pr>
          <w:p>
            <w:pPr>
              <w:spacing w:after="0"/>
              <w:rPr>
                <w:sz w:val="22"/>
                <w:szCs w:val="22"/>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111,165</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170,267</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218,103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10/23/2024</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line="140" w:lineRule="exact"/>
              <w:rPr>
                <w:sz w:val="20"/>
                <w:szCs w:val="20"/>
                <w:color w:val="auto"/>
              </w:rPr>
            </w:pPr>
            <w:r>
              <w:rPr>
                <w:rFonts w:ascii="Times New Roman" w:cs="Times New Roman" w:eastAsia="Times New Roman" w:hAnsi="Times New Roman"/>
                <w:sz w:val="13"/>
                <w:szCs w:val="13"/>
                <w:color w:val="0000FF"/>
              </w:rPr>
              <w:t>218,103</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436,205</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ind w:left="40" w:right="6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23, 2023, the reporting person was granted 654,308 RSUs, which will vest ratably on the first, second and third anniversaries of the grant date, provided that the reporting person remains in continuous service with the Issuer through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Chairman and Chief Executive Officer</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Amanda Coussens, Attorney- </w:t>
      </w:r>
      <w:r>
        <w:rPr>
          <w:rFonts w:ascii="Times New Roman" w:cs="Times New Roman" w:eastAsia="Times New Roman" w:hAnsi="Times New Roman"/>
          <w:sz w:val="33"/>
          <w:szCs w:val="33"/>
          <w:color w:val="0000FF"/>
          <w:vertAlign w:val="subscript"/>
        </w:rPr>
        <w:t>10/24/2024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6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360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017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7448"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2024-10-25T10:37:37Z</dcterms:created>
  <dcterms:modified xsi:type="dcterms:W3CDTF">2024-10-25T10:37:37Z</dcterms:modified>
</cp:coreProperties>
</file>