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2005</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00504W100</w:t>
            </w:r>
          </w:p>
        </w:tc>
        <w:tc>
          <w:tcPr>
            <w:tcW w:w="880" w:type="dxa"/>
            <w:vAlign w:val="bottom"/>
          </w:tcPr>
          <w:p>
            <w:pPr>
              <w:ind w:left="58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48,752,000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48,752,000</w:t>
      </w:r>
    </w:p>
    <w:p>
      <w:pPr>
        <w:spacing w:after="0" w:line="11" w:lineRule="exact"/>
        <w:rPr>
          <w:rFonts w:ascii="Courier New" w:cs="Courier New" w:eastAsia="Courier New" w:hAnsi="Courier New"/>
          <w:sz w:val="18"/>
          <w:szCs w:val="18"/>
          <w:color w:val="auto"/>
        </w:rPr>
      </w:pPr>
    </w:p>
    <w:p>
      <w:pPr>
        <w:ind w:right="241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48,752,000(ownership disclaimed pursuant to Section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7.74%</w:t>
      </w:r>
    </w:p>
    <w:p>
      <w:pPr>
        <w:spacing w:after="0" w:line="207" w:lineRule="exact"/>
        <w:rPr>
          <w:sz w:val="20"/>
          <w:szCs w:val="20"/>
          <w:color w:val="auto"/>
        </w:rPr>
      </w:pPr>
    </w:p>
    <w:p>
      <w:pPr>
        <w:ind w:right="715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ACTIVE POWER INC.(the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2128 W. Baker lane</w:t>
      </w:r>
    </w:p>
    <w:p>
      <w:pPr>
        <w:ind w:left="860"/>
        <w:spacing w:after="0" w:line="238" w:lineRule="auto"/>
        <w:rPr>
          <w:sz w:val="20"/>
          <w:szCs w:val="20"/>
          <w:color w:val="auto"/>
        </w:rPr>
      </w:pPr>
      <w:r>
        <w:rPr>
          <w:rFonts w:ascii="Courier New" w:cs="Courier New" w:eastAsia="Courier New" w:hAnsi="Courier New"/>
          <w:sz w:val="18"/>
          <w:szCs w:val="18"/>
          <w:color w:val="auto"/>
        </w:rPr>
        <w:t>BK12</w:t>
      </w:r>
    </w:p>
    <w:p>
      <w:pPr>
        <w:ind w:left="8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If this statement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is</w:t>
            </w:r>
          </w:p>
        </w:tc>
        <w:tc>
          <w:tcPr>
            <w:tcW w:w="55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being filed to report the fact that as of the date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5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person has ceased to be the beneficial owner of more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class of securities,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check the following: [   ]</w:t>
            </w:r>
          </w:p>
        </w:tc>
      </w:tr>
      <w:tr>
        <w:trPr>
          <w:trHeight w:val="405"/>
        </w:trPr>
        <w:tc>
          <w:tcPr>
            <w:tcW w:w="2580" w:type="dxa"/>
            <w:vAlign w:val="bottom"/>
            <w:gridSpan w:val="3"/>
          </w:tcPr>
          <w:p>
            <w:pPr>
              <w:spacing w:after="0"/>
              <w:rPr>
                <w:sz w:val="20"/>
                <w:szCs w:val="20"/>
                <w:color w:val="auto"/>
              </w:rPr>
            </w:pPr>
            <w:r>
              <w:rPr>
                <w:rFonts w:ascii="Courier New" w:cs="Courier New" w:eastAsia="Courier New" w:hAnsi="Courier New"/>
                <w:sz w:val="18"/>
                <w:szCs w:val="18"/>
                <w:color w:val="auto"/>
                <w:w w:val="98"/>
              </w:rPr>
              <w:t>ITEM 6 Ownership of More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than Five Percent 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Behalf of Another Person.</w:t>
            </w:r>
          </w:p>
        </w:tc>
      </w:tr>
      <w:tr>
        <w:trPr>
          <w:trHeight w:val="203"/>
        </w:trPr>
        <w:tc>
          <w:tcPr>
            <w:tcW w:w="770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Merrill Lynch &amp;</w:t>
            </w:r>
          </w:p>
        </w:tc>
        <w:tc>
          <w:tcPr>
            <w:tcW w:w="58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 Inc. ("ML&amp;Co.") is a parent holding company.</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Merrill Lynch Investment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Managers ("MLIM") is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operating division</w:t>
            </w: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ML&amp;Co.'s indirectly owned asset management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Certain of</w:t>
            </w:r>
          </w:p>
        </w:tc>
      </w:tr>
    </w:tbl>
    <w:p>
      <w:pPr>
        <w:sectPr>
          <w:pgSz w:w="11900" w:h="16838" w:orient="portrait"/>
          <w:cols w:equalWidth="0" w:num="1">
            <w:col w:w="10219"/>
          </w:cols>
          <w:pgMar w:left="240" w:top="339"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these subsidiaries hold certain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14, 2004, included as Exhibit B to this Schedule 13G filed with the Securities and Exchange Commission by Merrill Lynch &amp; Co, Inc. (on behalf of Merrill Lynch Investment Managers ("MLIM")</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Page 7 of 8</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8</w:t>
      </w:r>
    </w:p>
    <w:sectPr>
      <w:pgSz w:w="11900" w:h="16838" w:orient="portrait"/>
      <w:cols w:equalWidth="0" w:num="1">
        <w:col w:w="10219"/>
      </w:cols>
      <w:pgMar w:left="240" w:top="339"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upperLetter"/>
      <w:start w:val="24"/>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2019-12-14T17:14:07Z</dcterms:created>
  <dcterms:modified xsi:type="dcterms:W3CDTF">2019-12-14T17:14:07Z</dcterms:modified>
</cp:coreProperties>
</file>