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704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704840"/>
                    </a:xfrm>
                    <a:prstGeom prst="rect">
                      <a:avLst/>
                    </a:prstGeom>
                    <a:noFill/>
                  </pic:spPr>
                </pic:pic>
              </a:graphicData>
            </a:graphic>
          </wp:anchor>
        </w:drawing>
      </w:r>
    </w:p>
    <w:p>
      <w:pPr>
        <w:sectPr>
          <w:pgSz w:w="11900" w:h="16838" w:orient="portrait"/>
          <w:cols w:equalWidth="0" w:num="1">
            <w:col w:w="10940"/>
          </w:cols>
          <w:pgMar w:left="480" w:top="230" w:right="479" w:bottom="91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Corsi Andrew</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40" w:type="dxa"/>
            <w:vAlign w:val="bottom"/>
            <w:tcBorders>
              <w:top w:val="single" w:sz="8" w:color="0000EE"/>
              <w:bottom w:val="single" w:sz="8" w:color="9A9A9A"/>
            </w:tcBorders>
          </w:tcPr>
          <w:p>
            <w:pPr>
              <w:spacing w:after="0"/>
              <w:rPr>
                <w:sz w:val="17"/>
                <w:szCs w:val="17"/>
                <w:color w:val="auto"/>
              </w:rPr>
            </w:pPr>
          </w:p>
        </w:tc>
        <w:tc>
          <w:tcPr>
            <w:tcW w:w="17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01/01/2025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P10,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91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1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1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P10, INC.</w:t>
            </w:r>
          </w:p>
        </w:tc>
        <w:tc>
          <w:tcPr>
            <w:tcW w:w="134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4514 COLE AVENUE, SUITE 1600</w:t>
            </w:r>
          </w:p>
        </w:tc>
      </w:tr>
      <w:tr>
        <w:trPr>
          <w:trHeight w:val="177"/>
        </w:trPr>
        <w:tc>
          <w:tcPr>
            <w:tcW w:w="9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DALLAS</w:t>
            </w:r>
          </w:p>
        </w:tc>
        <w:tc>
          <w:tcPr>
            <w:tcW w:w="8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TX</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75205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83"/>
        <w:spacing w:after="0"/>
        <w:rPr>
          <w:sz w:val="20"/>
          <w:szCs w:val="20"/>
          <w:color w:val="auto"/>
        </w:rPr>
      </w:pPr>
      <w:r>
        <w:rPr>
          <w:rFonts w:ascii="Times New Roman" w:cs="Times New Roman" w:eastAsia="Times New Roman" w:hAnsi="Times New Roman"/>
          <w:sz w:val="20"/>
          <w:szCs w:val="20"/>
          <w:color w:val="0000FF"/>
        </w:rPr>
        <w:t>See remarks</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91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780" w:type="dxa"/>
            <w:vAlign w:val="bottom"/>
          </w:tcPr>
          <w:p>
            <w:pPr>
              <w:ind w:left="760"/>
              <w:spacing w:after="0"/>
              <w:rPr>
                <w:sz w:val="20"/>
                <w:szCs w:val="20"/>
                <w:color w:val="auto"/>
              </w:rPr>
            </w:pPr>
            <w:r>
              <w:rPr>
                <w:rFonts w:ascii="Times New Roman" w:cs="Times New Roman" w:eastAsia="Times New Roman" w:hAnsi="Times New Roman"/>
                <w:sz w:val="20"/>
                <w:szCs w:val="20"/>
                <w:color w:val="0000FF"/>
              </w:rPr>
              <w:t>250</w:t>
            </w:r>
          </w:p>
        </w:tc>
        <w:tc>
          <w:tcPr>
            <w:tcW w:w="840" w:type="dxa"/>
            <w:vAlign w:val="bottom"/>
            <w:gridSpan w:val="2"/>
          </w:tcPr>
          <w:p>
            <w:pPr>
              <w:ind w:left="68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tcPr>
          <w:p>
            <w:pPr>
              <w:spacing w:after="0"/>
              <w:rPr>
                <w:sz w:val="9"/>
                <w:szCs w:val="9"/>
                <w:color w:val="auto"/>
              </w:rPr>
            </w:pPr>
          </w:p>
        </w:tc>
        <w:tc>
          <w:tcPr>
            <w:tcW w:w="444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308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500" w:type="dxa"/>
            <w:vAlign w:val="bottom"/>
            <w:gridSpan w:val="7"/>
          </w:tcPr>
          <w:p>
            <w:pPr>
              <w:ind w:left="2760"/>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4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4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80" w:type="dxa"/>
            <w:vAlign w:val="bottom"/>
          </w:tcPr>
          <w:p>
            <w:pPr>
              <w:spacing w:after="0"/>
              <w:rPr>
                <w:sz w:val="14"/>
                <w:szCs w:val="14"/>
                <w:color w:val="auto"/>
              </w:rPr>
            </w:pPr>
          </w:p>
        </w:tc>
        <w:tc>
          <w:tcPr>
            <w:tcW w:w="84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8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gridSpan w:val="2"/>
          </w:tcPr>
          <w:p>
            <w:pPr>
              <w:ind w:left="14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 buy)</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03/02/2027</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03/02/2032</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4,964</w:t>
            </w:r>
          </w:p>
        </w:tc>
        <w:tc>
          <w:tcPr>
            <w:tcW w:w="40" w:type="dxa"/>
            <w:vAlign w:val="bottom"/>
          </w:tcPr>
          <w:p>
            <w:pPr>
              <w:spacing w:after="0"/>
              <w:rPr>
                <w:sz w:val="24"/>
                <w:szCs w:val="24"/>
                <w:color w:val="auto"/>
              </w:rPr>
            </w:pPr>
          </w:p>
        </w:tc>
        <w:tc>
          <w:tcPr>
            <w:tcW w:w="94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12.3</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Stock</w:t>
            </w:r>
          </w:p>
        </w:tc>
        <w:tc>
          <w:tcPr>
            <w:tcW w:w="8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 buy)</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03/09/2028</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03/09/2033</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12,000</w:t>
            </w:r>
          </w:p>
        </w:tc>
        <w:tc>
          <w:tcPr>
            <w:tcW w:w="40" w:type="dxa"/>
            <w:vAlign w:val="bottom"/>
          </w:tcPr>
          <w:p>
            <w:pPr>
              <w:spacing w:after="0"/>
              <w:rPr>
                <w:sz w:val="24"/>
                <w:szCs w:val="24"/>
                <w:color w:val="auto"/>
              </w:rPr>
            </w:pPr>
          </w:p>
        </w:tc>
        <w:tc>
          <w:tcPr>
            <w:tcW w:w="94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9.93</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Stock</w:t>
            </w:r>
          </w:p>
        </w:tc>
        <w:tc>
          <w:tcPr>
            <w:tcW w:w="8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 buy)</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03/04/2034</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15,000</w:t>
            </w:r>
          </w:p>
        </w:tc>
        <w:tc>
          <w:tcPr>
            <w:tcW w:w="40" w:type="dxa"/>
            <w:vAlign w:val="bottom"/>
          </w:tcPr>
          <w:p>
            <w:pPr>
              <w:spacing w:after="0"/>
              <w:rPr>
                <w:sz w:val="24"/>
                <w:szCs w:val="24"/>
                <w:color w:val="auto"/>
              </w:rPr>
            </w:pPr>
          </w:p>
        </w:tc>
        <w:tc>
          <w:tcPr>
            <w:tcW w:w="94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7.99</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Stock</w:t>
            </w:r>
          </w:p>
        </w:tc>
        <w:tc>
          <w:tcPr>
            <w:tcW w:w="8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award agreement provides that the option becomes exercisable in four equal installments on each of the second, third, fourth and fifth anniversary of the option's grant date. The option was granted on March 4, 2024.</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Chief Accounting Officer; Exhibit List: 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/s/ Amanda Coussens,</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72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w:t>
            </w:r>
          </w:p>
        </w:tc>
        <w:tc>
          <w:tcPr>
            <w:tcW w:w="460" w:type="dxa"/>
            <w:vAlign w:val="bottom"/>
          </w:tcPr>
          <w:p>
            <w:pPr>
              <w:spacing w:after="0"/>
              <w:rPr>
                <w:sz w:val="19"/>
                <w:szCs w:val="19"/>
                <w:color w:val="auto"/>
              </w:rPr>
            </w:pPr>
          </w:p>
        </w:tc>
        <w:tc>
          <w:tcPr>
            <w:tcW w:w="9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0000FF"/>
                <w:w w:val="96"/>
              </w:rPr>
              <w:t>01/10/2025</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10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5"/>
              </w:rPr>
              <w:t>Andrew Corsi</w:t>
            </w:r>
          </w:p>
        </w:tc>
        <w:tc>
          <w:tcPr>
            <w:tcW w:w="480" w:type="dxa"/>
            <w:vAlign w:val="bottom"/>
            <w:tcBorders>
              <w:top w:val="single" w:sz="8" w:color="auto"/>
            </w:tcBorders>
          </w:tcPr>
          <w:p>
            <w:pPr>
              <w:spacing w:after="0"/>
              <w:rPr>
                <w:sz w:val="19"/>
                <w:szCs w:val="19"/>
                <w:color w:val="auto"/>
              </w:rPr>
            </w:pPr>
          </w:p>
        </w:tc>
        <w:tc>
          <w:tcPr>
            <w:tcW w:w="600" w:type="dxa"/>
            <w:vAlign w:val="bottom"/>
            <w:gridSpan w:val="2"/>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91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POWER OF ATTORNEY</w:t>
      </w:r>
    </w:p>
    <w:p>
      <w:pPr>
        <w:spacing w:after="0" w:line="200" w:lineRule="exact"/>
        <w:rPr>
          <w:sz w:val="20"/>
          <w:szCs w:val="20"/>
          <w:color w:val="auto"/>
        </w:rPr>
      </w:pPr>
    </w:p>
    <w:p>
      <w:pPr>
        <w:spacing w:after="0" w:line="268" w:lineRule="exact"/>
        <w:rPr>
          <w:sz w:val="20"/>
          <w:szCs w:val="20"/>
          <w:color w:val="auto"/>
        </w:rPr>
      </w:pPr>
    </w:p>
    <w:p>
      <w:pPr>
        <w:ind w:right="20" w:firstLine="729"/>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Amanda Coussens and Melodie Craft or either of them acting singly, and with full power of substitution, the undersigned’s true and lawful attorney-in-fact to:</w:t>
      </w:r>
    </w:p>
    <w:p>
      <w:pPr>
        <w:spacing w:after="0" w:line="135" w:lineRule="exact"/>
        <w:rPr>
          <w:sz w:val="20"/>
          <w:szCs w:val="20"/>
          <w:color w:val="auto"/>
        </w:rPr>
      </w:pPr>
    </w:p>
    <w:p>
      <w:pPr>
        <w:jc w:val="both"/>
        <w:ind w:left="1220" w:hanging="491"/>
        <w:spacing w:after="0" w:line="261" w:lineRule="auto"/>
        <w:tabs>
          <w:tab w:leader="none" w:pos="12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accordance with Section 16(a) of the Securities Exchange Act of 1934, as amended, and the rules thereunder (the “Exchange Act”)), in the undersigned’s capacity as an officer and/or director of P10, Inc., a Delaware corporation (the “Company”), any and all Forms 3, 4 and/or 5, and any amendments thereto, that are necessary or advisable for the undersigned to file under Section 16(a) (collectively, “Documents”);</w:t>
      </w:r>
    </w:p>
    <w:p>
      <w:pPr>
        <w:spacing w:after="0" w:line="200" w:lineRule="exact"/>
        <w:rPr>
          <w:rFonts w:ascii="Times New Roman" w:cs="Times New Roman" w:eastAsia="Times New Roman" w:hAnsi="Times New Roman"/>
          <w:sz w:val="20"/>
          <w:szCs w:val="20"/>
          <w:color w:val="auto"/>
        </w:rPr>
      </w:pPr>
    </w:p>
    <w:p>
      <w:pPr>
        <w:jc w:val="both"/>
        <w:ind w:left="1220" w:hanging="491"/>
        <w:spacing w:after="0" w:line="266" w:lineRule="auto"/>
        <w:tabs>
          <w:tab w:leader="none" w:pos="12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complete and execute any such Documents and timely file such Documents with the United States Securities and Exchange Commission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left="1220" w:hanging="491"/>
        <w:spacing w:after="0" w:line="258" w:lineRule="auto"/>
        <w:tabs>
          <w:tab w:leader="none" w:pos="12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5" w:lineRule="exact"/>
        <w:rPr>
          <w:sz w:val="20"/>
          <w:szCs w:val="20"/>
          <w:color w:val="auto"/>
        </w:rPr>
      </w:pPr>
    </w:p>
    <w:p>
      <w:pPr>
        <w:jc w:val="both"/>
        <w:ind w:firstLine="729"/>
        <w:spacing w:after="0" w:line="253"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 The undersigned agrees that each such attorney-in-fact may rely entirely on information furnished orally or in writing by the undersigned to each such attorney-in-fact. The undersigned acknowledges that each attorney-in-fact, in serving in such capacity at the request of the undersigned, is not assuming, nor is such attorney-in-fact’s substitute or substitutes or the Company assuming, any of the undersigned’s responsibilities to comply with the Exchange Act. The undersigned agrees to defend and hold harmless each attorney-in-fact (and such attorney-in-fact’s substitute or substitutes) from and against any and all loss, damage or liability that such attorney-in-fact may sustain as a result of any action taken in good faith hereunder.</w:t>
      </w:r>
    </w:p>
    <w:p>
      <w:pPr>
        <w:spacing w:after="0" w:line="184" w:lineRule="exact"/>
        <w:rPr>
          <w:sz w:val="20"/>
          <w:szCs w:val="20"/>
          <w:color w:val="auto"/>
        </w:rPr>
      </w:pPr>
    </w:p>
    <w:p>
      <w:pPr>
        <w:jc w:val="both"/>
        <w:ind w:firstLine="729"/>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Documents with respect to the undersigned’s holdings of and transactions in securities issued by the Company, unless earlier revoked by the undersigned in a signed writing delivered to each of the foregoing attorneys-in-fact.</w:t>
      </w:r>
    </w:p>
    <w:p>
      <w:pPr>
        <w:spacing w:after="0" w:line="15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January 10, 2025.</w:t>
      </w:r>
    </w:p>
    <w:p>
      <w:pPr>
        <w:spacing w:after="0" w:line="200" w:lineRule="exact"/>
        <w:rPr>
          <w:sz w:val="20"/>
          <w:szCs w:val="20"/>
          <w:color w:val="auto"/>
        </w:rPr>
      </w:pPr>
    </w:p>
    <w:p>
      <w:pPr>
        <w:spacing w:after="0" w:line="245"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0"/>
          <w:szCs w:val="20"/>
          <w:color w:val="auto"/>
        </w:rPr>
        <w:t>/s/ Andrew Corsi</w:t>
      </w:r>
    </w:p>
    <w:p>
      <w:pPr>
        <w:spacing w:after="0" w:line="3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0"/>
          <w:szCs w:val="20"/>
          <w:color w:val="auto"/>
        </w:rPr>
        <w:t>Andrew Corsi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3964305</wp:posOffset>
            </wp:positionH>
            <wp:positionV relativeFrom="paragraph">
              <wp:posOffset>-145415</wp:posOffset>
            </wp:positionV>
            <wp:extent cx="173418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734185" cy="952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518160</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8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051132" TargetMode="External"/><Relationship Id="rId11"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2025-01-10T15:32:13Z</dcterms:created>
  <dcterms:modified xsi:type="dcterms:W3CDTF">2025-01-10T15:32:13Z</dcterms:modified>
</cp:coreProperties>
</file>