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7, 2026</w:t>
      </w:r>
    </w:p>
    <w:p>
      <w:pPr>
        <w:spacing w:after="0" w:line="16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38"/>
          <w:szCs w:val="38"/>
          <w:b w:val="1"/>
          <w:bCs w:val="1"/>
          <w:color w:val="auto"/>
        </w:rPr>
        <w:t>Ridgepost Capital, Inc.</w:t>
      </w:r>
    </w:p>
    <w:p>
      <w:pPr>
        <w:spacing w:after="0" w:line="4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5"/>
          </w:cols>
          <w:pgMar w:left="315" w:top="1111" w:right="319" w:bottom="1440" w:gutter="0" w:footer="0" w:header="0"/>
        </w:sectPr>
      </w:pPr>
    </w:p>
    <w:p>
      <w:pPr>
        <w:spacing w:after="0" w:line="174" w:lineRule="exact"/>
        <w:rPr>
          <w:sz w:val="24"/>
          <w:szCs w:val="24"/>
          <w:color w:val="auto"/>
        </w:rPr>
      </w:pPr>
    </w:p>
    <w:p>
      <w:pPr>
        <w:ind w:left="218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1685"/>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17" w:lineRule="exact"/>
        <w:rPr>
          <w:sz w:val="24"/>
          <w:szCs w:val="24"/>
          <w:color w:val="auto"/>
        </w:rPr>
      </w:pPr>
    </w:p>
    <w:p>
      <w:pPr>
        <w:ind w:left="1985"/>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001-40937</w:t>
      </w:r>
    </w:p>
    <w:p>
      <w:pPr>
        <w:spacing w:after="0" w:line="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(Commission</w:t>
      </w:r>
    </w:p>
    <w:p>
      <w:pPr>
        <w:spacing w:after="0" w:line="1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87-2908160</w:t>
      </w:r>
    </w:p>
    <w:p>
      <w:pPr>
        <w:spacing w:after="0" w:line="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(IRS Employer</w:t>
      </w:r>
    </w:p>
    <w:p>
      <w:pPr>
        <w:spacing w:after="0" w:line="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86" w:lineRule="exact"/>
        <w:rPr>
          <w:sz w:val="24"/>
          <w:szCs w:val="24"/>
          <w:color w:val="auto"/>
        </w:rPr>
      </w:pPr>
    </w:p>
    <w:p>
      <w:pPr>
        <w:sectPr>
          <w:pgSz w:w="11900" w:h="16838" w:orient="portrait"/>
          <w:cols w:equalWidth="0" w:num="3">
            <w:col w:w="5225" w:space="720"/>
            <w:col w:w="2220" w:space="720"/>
            <w:col w:w="2380"/>
          </w:cols>
          <w:pgMar w:left="315" w:top="1111"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2699 Howell Street, Suite 1000, Dallas, Texas 75204</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5"/>
          </w:cols>
          <w:pgMar w:left="315" w:top="1111" w:right="319" w:bottom="1440" w:gutter="0" w:footer="0" w:header="0"/>
          <w:type w:val="continuous"/>
        </w:sectPr>
      </w:pPr>
    </w:p>
    <w:p>
      <w:pPr>
        <w:spacing w:after="0" w:line="18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265" w:hanging="265"/>
        <w:spacing w:after="0"/>
        <w:tabs>
          <w:tab w:leader="none" w:pos="2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5" w:right="3960" w:hanging="5"/>
        <w:spacing w:after="0" w:line="493" w:lineRule="auto"/>
        <w:tabs>
          <w:tab w:leader="none" w:pos="2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or to be registered pursuant to Section 12(b) of the Act:</w:t>
      </w:r>
    </w:p>
    <w:p>
      <w:pPr>
        <w:spacing w:after="0" w:line="1"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48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w w:val="97"/>
              </w:rPr>
              <w:t>Name of each exchange on which</w:t>
            </w:r>
          </w:p>
        </w:tc>
      </w:tr>
      <w:tr>
        <w:trPr>
          <w:trHeight w:val="206"/>
        </w:trPr>
        <w:tc>
          <w:tcPr>
            <w:tcW w:w="20" w:type="dxa"/>
            <w:vAlign w:val="bottom"/>
          </w:tcPr>
          <w:p>
            <w:pPr>
              <w:spacing w:after="0"/>
              <w:rPr>
                <w:sz w:val="17"/>
                <w:szCs w:val="17"/>
                <w:color w:val="auto"/>
              </w:rPr>
            </w:pPr>
          </w:p>
        </w:tc>
        <w:tc>
          <w:tcPr>
            <w:tcW w:w="516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color w:val="auto"/>
              </w:rPr>
              <w:t>Title of Each Class</w:t>
            </w:r>
          </w:p>
        </w:tc>
        <w:tc>
          <w:tcPr>
            <w:tcW w:w="2480" w:type="dxa"/>
            <w:vAlign w:val="bottom"/>
            <w:tcBorders>
              <w:bottom w:val="single" w:sz="8" w:color="auto"/>
            </w:tcBorders>
          </w:tcPr>
          <w:p>
            <w:pPr>
              <w:jc w:val="center"/>
              <w:ind w:left="761"/>
              <w:spacing w:after="0"/>
              <w:rPr>
                <w:sz w:val="20"/>
                <w:szCs w:val="20"/>
                <w:color w:val="auto"/>
              </w:rPr>
            </w:pPr>
            <w:r>
              <w:rPr>
                <w:rFonts w:ascii="Times New Roman" w:cs="Times New Roman" w:eastAsia="Times New Roman" w:hAnsi="Times New Roman"/>
                <w:sz w:val="16"/>
                <w:szCs w:val="16"/>
                <w:color w:val="auto"/>
                <w:w w:val="96"/>
              </w:rPr>
              <w:t>Symbol</w:t>
            </w:r>
          </w:p>
        </w:tc>
        <w:tc>
          <w:tcPr>
            <w:tcW w:w="36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163"/>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2480" w:type="dxa"/>
            <w:vAlign w:val="bottom"/>
          </w:tcPr>
          <w:p>
            <w:pPr>
              <w:jc w:val="center"/>
              <w:ind w:left="761"/>
              <w:spacing w:after="0" w:line="162" w:lineRule="exact"/>
              <w:rPr>
                <w:sz w:val="20"/>
                <w:szCs w:val="20"/>
                <w:color w:val="auto"/>
              </w:rPr>
            </w:pPr>
            <w:r>
              <w:rPr>
                <w:rFonts w:ascii="Times New Roman" w:cs="Times New Roman" w:eastAsia="Times New Roman" w:hAnsi="Times New Roman"/>
                <w:sz w:val="16"/>
                <w:szCs w:val="16"/>
                <w:b w:val="1"/>
                <w:bCs w:val="1"/>
                <w:color w:val="auto"/>
                <w:w w:val="97"/>
              </w:rPr>
              <w:t>RPC</w:t>
            </w:r>
          </w:p>
        </w:tc>
        <w:tc>
          <w:tcPr>
            <w:tcW w:w="3600" w:type="dxa"/>
            <w:vAlign w:val="bottom"/>
          </w:tcPr>
          <w:p>
            <w:pPr>
              <w:jc w:val="center"/>
              <w:ind w:right="241"/>
              <w:spacing w:after="0" w:line="162" w:lineRule="exact"/>
              <w:rPr>
                <w:sz w:val="20"/>
                <w:szCs w:val="20"/>
                <w:color w:val="auto"/>
              </w:rPr>
            </w:pPr>
            <w:r>
              <w:rPr>
                <w:rFonts w:ascii="Times New Roman" w:cs="Times New Roman" w:eastAsia="Times New Roman" w:hAnsi="Times New Roman"/>
                <w:sz w:val="16"/>
                <w:szCs w:val="16"/>
                <w:b w:val="1"/>
                <w:bCs w:val="1"/>
                <w:color w:val="auto"/>
                <w:w w:val="98"/>
              </w:rPr>
              <w:t>New York Stock Exchange</w:t>
            </w: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0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9"/>
              </w:rPr>
              <w:t>NYSE Texas, Inc.</w:t>
            </w:r>
          </w:p>
        </w:tc>
      </w:tr>
    </w:tbl>
    <w:p>
      <w:pPr>
        <w:spacing w:after="0" w:line="361" w:lineRule="exact"/>
        <w:rPr>
          <w:sz w:val="24"/>
          <w:szCs w:val="24"/>
          <w:color w:val="auto"/>
        </w:rPr>
      </w:pPr>
    </w:p>
    <w:p>
      <w:pPr>
        <w:jc w:val="both"/>
        <w:ind w:left="5"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8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9" w:lineRule="exact"/>
        <w:rPr>
          <w:sz w:val="24"/>
          <w:szCs w:val="24"/>
          <w:color w:val="auto"/>
        </w:rPr>
      </w:pPr>
    </w:p>
    <w:p>
      <w:pPr>
        <w:jc w:val="both"/>
        <w:ind w:left="5" w:right="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753110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111"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jc w:val="both"/>
        <w:ind w:firstLine="851"/>
        <w:spacing w:after="0" w:line="261" w:lineRule="auto"/>
        <w:rPr>
          <w:sz w:val="20"/>
          <w:szCs w:val="20"/>
          <w:color w:val="auto"/>
        </w:rPr>
      </w:pPr>
      <w:r>
        <w:rPr>
          <w:rFonts w:ascii="Times New Roman" w:cs="Times New Roman" w:eastAsia="Times New Roman" w:hAnsi="Times New Roman"/>
          <w:sz w:val="16"/>
          <w:szCs w:val="16"/>
          <w:color w:val="auto"/>
        </w:rPr>
        <w:t>On May 7, 2026, Ridgepost Capital, Inc. (“Ridgepost Capital”) issued a press release and posted an investor presentation on its website announcing financial results for the quarter ended March 31, 2026. The press release and investor presentation are attached hereto as Exhibits 99.1 and 99.2, respectively, and are incorporated herein by reference.</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Exhibits 99.1 and 99.2 </w:t>
      </w:r>
      <w:r>
        <w:rPr>
          <w:rFonts w:ascii="Times New Roman" w:cs="Times New Roman" w:eastAsia="Times New Roman" w:hAnsi="Times New Roman"/>
          <w:sz w:val="16"/>
          <w:szCs w:val="16"/>
          <w:color w:val="212529"/>
        </w:rPr>
        <w:t>are being furnished under both Item 2.02 “Results of Operations and Financial Condition” and Item 7.01 “Regulation FD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520" w:firstLine="851"/>
        <w:spacing w:after="0" w:line="276" w:lineRule="auto"/>
        <w:rPr>
          <w:sz w:val="20"/>
          <w:szCs w:val="20"/>
          <w:color w:val="auto"/>
        </w:rPr>
      </w:pPr>
      <w:r>
        <w:rPr>
          <w:rFonts w:ascii="Times New Roman" w:cs="Times New Roman" w:eastAsia="Times New Roman" w:hAnsi="Times New Roman"/>
          <w:sz w:val="16"/>
          <w:szCs w:val="16"/>
          <w:color w:val="212529"/>
        </w:rPr>
        <w:t>On May 7, 2026, Ridgepost Capital announced that its Board of Directors declared a cash dividend of $0.04 per share of its outstanding Class A and Class B common stock, payable on June 18, 2026 to stockholders of record as of the close of business on May 29,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No.</w:t>
            </w: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5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May 7, 2026</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2</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5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 dated May 7, 2026</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0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22"/>
        </w:trPr>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4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Ridgepost Capital, Inc.</w:t>
            </w:r>
          </w:p>
        </w:tc>
      </w:tr>
      <w:tr>
        <w:trPr>
          <w:trHeight w:val="378"/>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Date: May 7, 2026</w:t>
            </w:r>
          </w:p>
        </w:tc>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 Amanda Coussens</w:t>
            </w:r>
          </w:p>
        </w:tc>
      </w:tr>
      <w:tr>
        <w:trPr>
          <w:trHeight w:val="165"/>
        </w:trPr>
        <w:tc>
          <w:tcPr>
            <w:tcW w:w="5040" w:type="dxa"/>
            <w:vAlign w:val="bottom"/>
          </w:tcPr>
          <w:p>
            <w:pPr>
              <w:spacing w:after="0"/>
              <w:rPr>
                <w:sz w:val="14"/>
                <w:szCs w:val="14"/>
                <w:color w:val="auto"/>
              </w:rPr>
            </w:pPr>
          </w:p>
        </w:tc>
        <w:tc>
          <w:tcPr>
            <w:tcW w:w="62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Amanda Coussens</w:t>
            </w:r>
          </w:p>
        </w:tc>
      </w:tr>
      <w:tr>
        <w:trPr>
          <w:trHeight w:val="206"/>
        </w:trPr>
        <w:tc>
          <w:tcPr>
            <w:tcW w:w="504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422"/>
        </w:trPr>
        <w:tc>
          <w:tcPr>
            <w:tcW w:w="504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3" w:name="page4"/>
    <w:bookmarkEnd w:id="3"/>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449580</wp:posOffset>
            </wp:positionV>
            <wp:extent cx="1464310" cy="443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64310" cy="4432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2F2F45"/>
        </w:rPr>
        <w:t>Ridgepost Capital Announces First Quarter 2026 Results</w:t>
      </w:r>
    </w:p>
    <w:p>
      <w:pPr>
        <w:spacing w:after="0" w:line="200" w:lineRule="exact"/>
        <w:rPr>
          <w:sz w:val="20"/>
          <w:szCs w:val="20"/>
          <w:color w:val="auto"/>
        </w:rPr>
      </w:pPr>
    </w:p>
    <w:p>
      <w:pPr>
        <w:spacing w:after="0" w:line="233" w:lineRule="exact"/>
        <w:rPr>
          <w:sz w:val="20"/>
          <w:szCs w:val="20"/>
          <w:color w:val="auto"/>
        </w:rPr>
      </w:pPr>
    </w:p>
    <w:p>
      <w:pPr>
        <w:jc w:val="both"/>
        <w:ind w:left="820" w:right="919"/>
        <w:spacing w:after="0" w:line="252" w:lineRule="auto"/>
        <w:rPr>
          <w:sz w:val="20"/>
          <w:szCs w:val="20"/>
          <w:color w:val="auto"/>
        </w:rPr>
      </w:pPr>
      <w:r>
        <w:rPr>
          <w:rFonts w:ascii="Arial" w:cs="Arial" w:eastAsia="Arial" w:hAnsi="Arial"/>
          <w:sz w:val="17"/>
          <w:szCs w:val="17"/>
          <w:color w:val="2F2F45"/>
        </w:rPr>
        <w:t xml:space="preserve">DALLAS, May 7, 2026 (GLOBE NEWSWIRE) – </w:t>
      </w:r>
      <w:r>
        <w:rPr>
          <w:rFonts w:ascii="Arial" w:cs="Arial" w:eastAsia="Arial" w:hAnsi="Arial"/>
          <w:sz w:val="17"/>
          <w:szCs w:val="17"/>
          <w:color w:val="000000"/>
        </w:rPr>
        <w:t>Ridgepost Capital, Inc</w:t>
      </w:r>
      <w:r>
        <w:rPr>
          <w:rFonts w:ascii="Arial" w:cs="Arial" w:eastAsia="Arial" w:hAnsi="Arial"/>
          <w:sz w:val="17"/>
          <w:szCs w:val="17"/>
          <w:color w:val="2F2F45"/>
        </w:rPr>
        <w:t xml:space="preserve"> (NYSE: RPC), a leading private markets solutions provider, today announced financial results for the first quarter ended March 31, 2026.</w:t>
      </w:r>
    </w:p>
    <w:p>
      <w:pPr>
        <w:spacing w:after="0" w:line="82" w:lineRule="exact"/>
        <w:rPr>
          <w:sz w:val="20"/>
          <w:szCs w:val="20"/>
          <w:color w:val="auto"/>
        </w:rPr>
      </w:pPr>
    </w:p>
    <w:p>
      <w:pPr>
        <w:ind w:left="820" w:right="1879"/>
        <w:spacing w:after="0" w:line="273" w:lineRule="auto"/>
        <w:rPr>
          <w:sz w:val="20"/>
          <w:szCs w:val="20"/>
          <w:color w:val="auto"/>
        </w:rPr>
      </w:pPr>
      <w:r>
        <w:rPr>
          <w:rFonts w:ascii="Arial" w:cs="Arial" w:eastAsia="Arial" w:hAnsi="Arial"/>
          <w:sz w:val="17"/>
          <w:szCs w:val="17"/>
          <w:color w:val="2F2F45"/>
        </w:rPr>
        <w:t xml:space="preserve">A presentation of the quarterly financials may be accessed </w:t>
      </w:r>
      <w:r>
        <w:rPr>
          <w:rFonts w:ascii="Arial" w:cs="Arial" w:eastAsia="Arial" w:hAnsi="Arial"/>
          <w:sz w:val="17"/>
          <w:szCs w:val="17"/>
          <w:color w:val="000000"/>
        </w:rPr>
        <w:t>here</w:t>
      </w:r>
      <w:r>
        <w:rPr>
          <w:rFonts w:ascii="Arial" w:cs="Arial" w:eastAsia="Arial" w:hAnsi="Arial"/>
          <w:sz w:val="17"/>
          <w:szCs w:val="17"/>
          <w:color w:val="2F2F45"/>
        </w:rPr>
        <w:t xml:space="preserve"> and is available at </w:t>
      </w:r>
      <w:r>
        <w:rPr>
          <w:rFonts w:ascii="Arial" w:cs="Arial" w:eastAsia="Arial" w:hAnsi="Arial"/>
          <w:sz w:val="17"/>
          <w:szCs w:val="17"/>
          <w:color w:val="000000"/>
        </w:rPr>
        <w:t>https://ir.ridgepostcapital.com/quarterly-results</w:t>
      </w:r>
      <w:r>
        <w:rPr>
          <w:rFonts w:ascii="Arial" w:cs="Arial" w:eastAsia="Arial" w:hAnsi="Arial"/>
          <w:sz w:val="17"/>
          <w:szCs w:val="17"/>
          <w:color w:val="2F2F45"/>
        </w:rPr>
        <w:t>.</w:t>
      </w:r>
    </w:p>
    <w:p>
      <w:pPr>
        <w:spacing w:after="0" w:line="59" w:lineRule="exact"/>
        <w:rPr>
          <w:sz w:val="20"/>
          <w:szCs w:val="20"/>
          <w:color w:val="auto"/>
        </w:rPr>
      </w:pPr>
    </w:p>
    <w:p>
      <w:pPr>
        <w:ind w:left="820" w:right="899"/>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7"/>
          <w:szCs w:val="17"/>
          <w:color w:val="2F2F45"/>
        </w:rPr>
        <w:t>Ridgepost Capital delivered record fundraising levels to start 2026,” said Luke Sarsfield,</w:t>
      </w:r>
      <w:r>
        <w:rPr>
          <w:rFonts w:ascii="Arial" w:cs="Arial" w:eastAsia="Arial" w:hAnsi="Arial"/>
          <w:sz w:val="19"/>
          <w:szCs w:val="19"/>
          <w:color w:val="auto"/>
        </w:rPr>
        <w:t xml:space="preserve"> </w:t>
      </w:r>
      <w:r>
        <w:rPr>
          <w:rFonts w:ascii="Arial" w:cs="Arial" w:eastAsia="Arial" w:hAnsi="Arial"/>
          <w:sz w:val="17"/>
          <w:szCs w:val="17"/>
          <w:color w:val="2F2F45"/>
        </w:rPr>
        <w:t>Ridgepost Capital Chairman and Chief Executive Officer. “Fee-paying assets under management stood at approximately $31 billion at quarter-end, surpassing $30 billion for the first time and representing 18% year-over-year growth. Growth in the first quarter was driven by nearly $2 billion of gross capital raised and deployed, in line with our expectations and demonstrating the growing demand for alternatives. This strong start to the year and the progress we’ve made on the vision outlined at our Investor Day underscores the strength of our differentiated private markets platform, with a unique focus on the middle and lower-middle markets and a diverse and durable LP base.”</w:t>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Stock Repurchase Program</w:t>
      </w:r>
    </w:p>
    <w:p>
      <w:pPr>
        <w:spacing w:after="0" w:line="126" w:lineRule="exact"/>
        <w:rPr>
          <w:sz w:val="20"/>
          <w:szCs w:val="20"/>
          <w:color w:val="auto"/>
        </w:rPr>
      </w:pPr>
    </w:p>
    <w:p>
      <w:pPr>
        <w:jc w:val="both"/>
        <w:ind w:left="820" w:right="839"/>
        <w:spacing w:after="0" w:line="252" w:lineRule="auto"/>
        <w:rPr>
          <w:sz w:val="20"/>
          <w:szCs w:val="20"/>
          <w:color w:val="auto"/>
        </w:rPr>
      </w:pPr>
      <w:r>
        <w:rPr>
          <w:rFonts w:ascii="Arial" w:cs="Arial" w:eastAsia="Arial" w:hAnsi="Arial"/>
          <w:sz w:val="17"/>
          <w:szCs w:val="17"/>
          <w:color w:val="2F2F45"/>
        </w:rPr>
        <w:t>During the first quarter, we repurchased 701,439 shares of our common stock at an average price of $8.55 per share, for approximately $6 million. Approximately $15 million remained available under our stock repurchase program as of the end of the first quarter.</w:t>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Declaration of Dividend</w:t>
      </w:r>
    </w:p>
    <w:p>
      <w:pPr>
        <w:spacing w:after="0" w:line="114" w:lineRule="exact"/>
        <w:rPr>
          <w:sz w:val="20"/>
          <w:szCs w:val="20"/>
          <w:color w:val="auto"/>
        </w:rPr>
      </w:pPr>
    </w:p>
    <w:p>
      <w:pPr>
        <w:ind w:left="820" w:right="899"/>
        <w:spacing w:after="0" w:line="273" w:lineRule="auto"/>
        <w:rPr>
          <w:sz w:val="20"/>
          <w:szCs w:val="20"/>
          <w:color w:val="auto"/>
        </w:rPr>
      </w:pPr>
      <w:r>
        <w:rPr>
          <w:rFonts w:ascii="Arial" w:cs="Arial" w:eastAsia="Arial" w:hAnsi="Arial"/>
          <w:sz w:val="17"/>
          <w:szCs w:val="17"/>
          <w:color w:val="2F2F45"/>
        </w:rPr>
        <w:t>Our Board of Directors has declared a cash dividend of $0.04 per share of Class A and Class B common stock, payable on June 18, 2026, to stockholders of record as of May 29, 2026.</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Conference Call Details</w:t>
      </w:r>
    </w:p>
    <w:p>
      <w:pPr>
        <w:spacing w:after="0" w:line="126" w:lineRule="exact"/>
        <w:rPr>
          <w:sz w:val="20"/>
          <w:szCs w:val="20"/>
          <w:color w:val="auto"/>
        </w:rPr>
      </w:pPr>
    </w:p>
    <w:p>
      <w:pPr>
        <w:jc w:val="both"/>
        <w:ind w:left="820" w:right="819"/>
        <w:spacing w:after="0" w:line="246" w:lineRule="auto"/>
        <w:rPr>
          <w:sz w:val="20"/>
          <w:szCs w:val="20"/>
          <w:color w:val="auto"/>
        </w:rPr>
      </w:pPr>
      <w:r>
        <w:rPr>
          <w:rFonts w:ascii="Arial" w:cs="Arial" w:eastAsia="Arial" w:hAnsi="Arial"/>
          <w:sz w:val="17"/>
          <w:szCs w:val="17"/>
          <w:color w:val="2F2F45"/>
        </w:rPr>
        <w:t>We will host a conference call to answer questions regarding our first quarter financial results at 8:30 a.m. Eastern Time on Thursday, May 7, 2026. This call will include the disclosure of certain information, including forward-looking information, which may be material to an investor’s understanding of our business. All participants must register prior to joining the event.</w:t>
      </w:r>
    </w:p>
    <w:p>
      <w:pPr>
        <w:spacing w:after="0" w:line="74" w:lineRule="exact"/>
        <w:rPr>
          <w:sz w:val="20"/>
          <w:szCs w:val="20"/>
          <w:color w:val="auto"/>
        </w:rPr>
      </w:pPr>
    </w:p>
    <w:p>
      <w:pPr>
        <w:ind w:left="1380" w:hanging="282"/>
        <w:spacing w:after="0"/>
        <w:tabs>
          <w:tab w:leader="none" w:pos="1380" w:val="left"/>
        </w:tabs>
        <w:numPr>
          <w:ilvl w:val="0"/>
          <w:numId w:val="2"/>
        </w:numPr>
        <w:rPr>
          <w:rFonts w:ascii="Times New Roman" w:cs="Times New Roman" w:eastAsia="Times New Roman" w:hAnsi="Times New Roman"/>
          <w:sz w:val="17"/>
          <w:szCs w:val="17"/>
          <w:color w:val="2F2F45"/>
        </w:rPr>
      </w:pPr>
      <w:r>
        <w:rPr>
          <w:rFonts w:ascii="Arial" w:cs="Arial" w:eastAsia="Arial" w:hAnsi="Arial"/>
          <w:sz w:val="17"/>
          <w:szCs w:val="17"/>
          <w:color w:val="2F2F45"/>
        </w:rPr>
        <w:t xml:space="preserve">To join and view the live webcast, please register </w:t>
      </w:r>
      <w:r>
        <w:rPr>
          <w:rFonts w:ascii="Arial" w:cs="Arial" w:eastAsia="Arial" w:hAnsi="Arial"/>
          <w:sz w:val="17"/>
          <w:szCs w:val="17"/>
          <w:color w:val="000000"/>
        </w:rPr>
        <w:t>here</w:t>
      </w:r>
      <w:r>
        <w:rPr>
          <w:rFonts w:ascii="Arial" w:cs="Arial" w:eastAsia="Arial" w:hAnsi="Arial"/>
          <w:sz w:val="17"/>
          <w:szCs w:val="17"/>
          <w:color w:val="2F2F45"/>
        </w:rPr>
        <w:t>.</w:t>
      </w:r>
    </w:p>
    <w:p>
      <w:pPr>
        <w:spacing w:after="0" w:line="20" w:lineRule="exact"/>
        <w:rPr>
          <w:rFonts w:ascii="Times New Roman" w:cs="Times New Roman" w:eastAsia="Times New Roman" w:hAnsi="Times New Roman"/>
          <w:sz w:val="17"/>
          <w:szCs w:val="17"/>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7"/>
          <w:szCs w:val="17"/>
          <w:color w:val="2F2F45"/>
        </w:rPr>
      </w:pPr>
      <w:r>
        <w:rPr>
          <w:rFonts w:ascii="Arial" w:cs="Arial" w:eastAsia="Arial" w:hAnsi="Arial"/>
          <w:sz w:val="17"/>
          <w:szCs w:val="17"/>
          <w:color w:val="2F2F45"/>
        </w:rPr>
        <w:t xml:space="preserve">To join by telephone, please register </w:t>
      </w:r>
      <w:r>
        <w:rPr>
          <w:rFonts w:ascii="Arial" w:cs="Arial" w:eastAsia="Arial" w:hAnsi="Arial"/>
          <w:sz w:val="17"/>
          <w:szCs w:val="17"/>
          <w:color w:val="000000"/>
        </w:rPr>
        <w:t>here</w:t>
      </w:r>
      <w:r>
        <w:rPr>
          <w:rFonts w:ascii="Arial" w:cs="Arial" w:eastAsia="Arial" w:hAnsi="Arial"/>
          <w:sz w:val="17"/>
          <w:szCs w:val="17"/>
          <w:color w:val="2F2F45"/>
        </w:rPr>
        <w:t>.</w:t>
      </w:r>
    </w:p>
    <w:p>
      <w:pPr>
        <w:spacing w:after="0" w:line="5" w:lineRule="exact"/>
        <w:rPr>
          <w:sz w:val="20"/>
          <w:szCs w:val="20"/>
          <w:color w:val="auto"/>
        </w:rPr>
      </w:pPr>
    </w:p>
    <w:p>
      <w:pPr>
        <w:ind w:left="820" w:right="1079"/>
        <w:spacing w:after="0" w:line="253" w:lineRule="auto"/>
        <w:rPr>
          <w:sz w:val="20"/>
          <w:szCs w:val="20"/>
          <w:color w:val="auto"/>
        </w:rPr>
      </w:pPr>
      <w:r>
        <w:rPr>
          <w:rFonts w:ascii="Arial" w:cs="Arial" w:eastAsia="Arial" w:hAnsi="Arial"/>
          <w:sz w:val="17"/>
          <w:szCs w:val="17"/>
          <w:color w:val="2F2F45"/>
        </w:rPr>
        <w:t xml:space="preserve">For those unable to participate in the live event, a replay will be made available on Ridgepost Capital’s investor relations page at </w:t>
      </w:r>
      <w:r>
        <w:rPr>
          <w:rFonts w:ascii="Arial" w:cs="Arial" w:eastAsia="Arial" w:hAnsi="Arial"/>
          <w:sz w:val="17"/>
          <w:szCs w:val="17"/>
          <w:color w:val="000000"/>
        </w:rPr>
        <w:t>www.ir.ridgepostcapital.com</w:t>
      </w:r>
      <w:r>
        <w:rPr>
          <w:rFonts w:ascii="Arial" w:cs="Arial" w:eastAsia="Arial" w:hAnsi="Arial"/>
          <w:sz w:val="17"/>
          <w:szCs w:val="17"/>
          <w:color w:val="2F2F45"/>
        </w:rPr>
        <w:t>.</w:t>
      </w:r>
    </w:p>
    <w:p>
      <w:pPr>
        <w:spacing w:after="0" w:line="7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About Ridgepost Capital</w:t>
      </w:r>
    </w:p>
    <w:p>
      <w:pPr>
        <w:spacing w:after="0" w:line="126" w:lineRule="exact"/>
        <w:rPr>
          <w:sz w:val="20"/>
          <w:szCs w:val="20"/>
          <w:color w:val="auto"/>
        </w:rPr>
      </w:pPr>
    </w:p>
    <w:p>
      <w:pPr>
        <w:ind w:left="820" w:right="819"/>
        <w:spacing w:after="0" w:line="246" w:lineRule="auto"/>
        <w:rPr>
          <w:sz w:val="20"/>
          <w:szCs w:val="20"/>
          <w:color w:val="auto"/>
        </w:rPr>
      </w:pPr>
      <w:r>
        <w:rPr>
          <w:rFonts w:ascii="Arial" w:cs="Arial" w:eastAsia="Arial" w:hAnsi="Arial"/>
          <w:sz w:val="17"/>
          <w:szCs w:val="17"/>
          <w:color w:val="302C45"/>
        </w:rPr>
        <w:t>Ridgepost Capital (NYSE: RPC) is a leading private markets solutions provider with over $45 billion in assets under management as of March 31, 2026. Ridgepost Capital invests across Private Equity, Private Credit, and Venture Capital in access-constrained strategies, with a focus on the middle and lower-middle market. Ridgepost Capital’s products have 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351790</wp:posOffset>
            </wp:positionV>
            <wp:extent cx="5917565" cy="97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7565" cy="97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Verdana" w:cs="Verdana" w:eastAsia="Verdana" w:hAnsi="Verdana"/>
          <w:sz w:val="14"/>
          <w:szCs w:val="14"/>
          <w:color w:val="302C45"/>
        </w:rPr>
        <w:t>RIDGEPOSTCAPITAL.COM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405130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820" w:right="1159"/>
        <w:spacing w:after="0" w:line="273" w:lineRule="auto"/>
        <w:rPr>
          <w:sz w:val="20"/>
          <w:szCs w:val="20"/>
          <w:color w:val="auto"/>
        </w:rPr>
      </w:pPr>
      <w:r>
        <w:rPr>
          <w:rFonts w:ascii="Arial" w:cs="Arial" w:eastAsia="Arial" w:hAnsi="Arial"/>
          <w:sz w:val="17"/>
          <w:szCs w:val="17"/>
          <w:color w:val="302C45"/>
        </w:rPr>
        <w:t xml:space="preserve">investor base and aim to deliver compelling risk-adjusted returns. For additional information, please visit </w:t>
      </w:r>
      <w:r>
        <w:rPr>
          <w:rFonts w:ascii="Arial" w:cs="Arial" w:eastAsia="Arial" w:hAnsi="Arial"/>
          <w:sz w:val="17"/>
          <w:szCs w:val="17"/>
          <w:color w:val="000000"/>
        </w:rPr>
        <w:t>www.ridgepostcapital.com</w:t>
      </w:r>
      <w:r>
        <w:rPr>
          <w:rFonts w:ascii="Arial" w:cs="Arial" w:eastAsia="Arial" w:hAnsi="Arial"/>
          <w:sz w:val="17"/>
          <w:szCs w:val="17"/>
          <w:color w:val="302C45"/>
        </w:rPr>
        <w:t>.</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Forward-Looking Statements</w:t>
      </w:r>
    </w:p>
    <w:p>
      <w:pPr>
        <w:spacing w:after="0" w:line="126" w:lineRule="exact"/>
        <w:rPr>
          <w:sz w:val="20"/>
          <w:szCs w:val="20"/>
          <w:color w:val="auto"/>
        </w:rPr>
      </w:pPr>
    </w:p>
    <w:p>
      <w:pPr>
        <w:ind w:left="820" w:right="859"/>
        <w:spacing w:after="0"/>
        <w:rPr>
          <w:sz w:val="20"/>
          <w:szCs w:val="20"/>
          <w:color w:val="auto"/>
        </w:rPr>
      </w:pPr>
      <w:r>
        <w:rPr>
          <w:rFonts w:ascii="Arial" w:cs="Arial" w:eastAsia="Arial" w:hAnsi="Arial"/>
          <w:sz w:val="17"/>
          <w:szCs w:val="17"/>
          <w:color w:val="302C45"/>
        </w:rPr>
        <w:t>Some of the statements in this release and our conference call, which will be held at 8:30 a.m. Eastern Time on May 7, 2026,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2025, filed with the U.S. Securities and Exchange Commission (“SEC”) on February 27, 2026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00" w:lineRule="exact"/>
        <w:rPr>
          <w:sz w:val="20"/>
          <w:szCs w:val="20"/>
          <w:color w:val="auto"/>
        </w:rPr>
      </w:pPr>
    </w:p>
    <w:p>
      <w:pPr>
        <w:spacing w:after="0" w:line="250"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Key Financial &amp; Operating Metrics</w:t>
      </w:r>
    </w:p>
    <w:p>
      <w:pPr>
        <w:spacing w:after="0" w:line="126" w:lineRule="exact"/>
        <w:rPr>
          <w:sz w:val="20"/>
          <w:szCs w:val="20"/>
          <w:color w:val="auto"/>
        </w:rPr>
      </w:pPr>
    </w:p>
    <w:p>
      <w:pPr>
        <w:ind w:left="820" w:right="839"/>
        <w:spacing w:after="0" w:line="242" w:lineRule="auto"/>
        <w:rPr>
          <w:sz w:val="20"/>
          <w:szCs w:val="20"/>
          <w:color w:val="auto"/>
        </w:rPr>
      </w:pPr>
      <w:r>
        <w:rPr>
          <w:rFonts w:ascii="Arial" w:cs="Arial" w:eastAsia="Arial" w:hAnsi="Arial"/>
          <w:sz w:val="17"/>
          <w:szCs w:val="17"/>
          <w:color w:val="302C45"/>
        </w:rPr>
        <w:t>Fee-paying assets under management reflect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Ridgepost Capital Investor Contact:</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7"/>
          <w:szCs w:val="17"/>
          <w:color w:val="467886"/>
        </w:rPr>
        <w:t>info@ridgepostcapital.com</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Ridgepost Capital Media Contact:</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7"/>
          <w:szCs w:val="17"/>
          <w:color w:val="2F2F45"/>
        </w:rPr>
        <w:t>Josh Clarkson</w:t>
      </w:r>
    </w:p>
    <w:p>
      <w:pPr>
        <w:ind w:left="820"/>
        <w:spacing w:after="0" w:line="232" w:lineRule="auto"/>
        <w:rPr>
          <w:sz w:val="20"/>
          <w:szCs w:val="20"/>
          <w:color w:val="auto"/>
        </w:rPr>
      </w:pPr>
      <w:r>
        <w:rPr>
          <w:rFonts w:ascii="Arial" w:cs="Arial" w:eastAsia="Arial" w:hAnsi="Arial"/>
          <w:sz w:val="17"/>
          <w:szCs w:val="17"/>
          <w:color w:val="2F2F45"/>
        </w:rPr>
        <w:t>Taylor Donahue</w:t>
      </w:r>
    </w:p>
    <w:p>
      <w:pPr>
        <w:ind w:left="820"/>
        <w:spacing w:after="0"/>
        <w:rPr>
          <w:sz w:val="20"/>
          <w:szCs w:val="20"/>
          <w:color w:val="auto"/>
        </w:rPr>
      </w:pPr>
      <w:r>
        <w:rPr>
          <w:rFonts w:ascii="Arial" w:cs="Arial" w:eastAsia="Arial" w:hAnsi="Arial"/>
          <w:sz w:val="17"/>
          <w:szCs w:val="17"/>
          <w:color w:val="467886"/>
        </w:rPr>
        <w:t>pro-ridgepost@prosek.com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351155</wp:posOffset>
            </wp:positionV>
            <wp:extent cx="6658610" cy="1019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8610" cy="1019175"/>
                    </a:xfrm>
                    <a:prstGeom prst="rect">
                      <a:avLst/>
                    </a:prstGeom>
                    <a:noFill/>
                  </pic:spPr>
                </pic:pic>
              </a:graphicData>
            </a:graphic>
          </wp:anchor>
        </w:drawing>
      </w:r>
    </w:p>
    <w:p>
      <w:pPr>
        <w:sectPr>
          <w:pgSz w:w="11900" w:h="16838" w:orient="portrait"/>
          <w:cols w:equalWidth="0" w:num="1">
            <w:col w:w="9019"/>
          </w:cols>
          <w:pgMar w:left="1440" w:top="1185"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2026-05-08T07:03:14Z</dcterms:created>
  <dcterms:modified xsi:type="dcterms:W3CDTF">2026-05-08T07:03:14Z</dcterms:modified>
</cp:coreProperties>
</file>