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23, 2009</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0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left="204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390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480" w:type="dxa"/>
            <w:vAlign w:val="bottom"/>
          </w:tcPr>
          <w:p>
            <w:pPr>
              <w:jc w:val="center"/>
              <w:ind w:left="20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00" w:type="dxa"/>
            <w:vAlign w:val="bottom"/>
          </w:tcPr>
          <w:p>
            <w:pPr>
              <w:jc w:val="center"/>
              <w:ind w:right="2066"/>
              <w:spacing w:after="0"/>
              <w:rPr>
                <w:sz w:val="20"/>
                <w:szCs w:val="20"/>
                <w:color w:val="auto"/>
              </w:rPr>
            </w:pPr>
            <w:r>
              <w:rPr>
                <w:rFonts w:ascii="Arial" w:cs="Arial" w:eastAsia="Arial" w:hAnsi="Arial"/>
                <w:sz w:val="14"/>
                <w:szCs w:val="14"/>
                <w:b w:val="1"/>
                <w:bCs w:val="1"/>
                <w:color w:val="auto"/>
                <w:w w:val="88"/>
              </w:rPr>
              <w:t>incorporation or organization)</w:t>
            </w:r>
          </w:p>
        </w:tc>
        <w:tc>
          <w:tcPr>
            <w:tcW w:w="3480" w:type="dxa"/>
            <w:vAlign w:val="bottom"/>
          </w:tcPr>
          <w:p>
            <w:pPr>
              <w:jc w:val="center"/>
              <w:ind w:left="206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 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165"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the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Large Accelerated filer</w:t>
            </w:r>
          </w:p>
        </w:tc>
        <w:tc>
          <w:tcPr>
            <w:tcW w:w="21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gridSpan w:val="5"/>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89"/>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80" w:type="dxa"/>
            <w:vAlign w:val="bottom"/>
            <w:gridSpan w:val="5"/>
          </w:tcPr>
          <w:p>
            <w:pPr>
              <w:ind w:left="4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4"/>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7"/>
              <w:spacing w:after="0" w:line="117" w:lineRule="exact"/>
              <w:rPr>
                <w:sz w:val="20"/>
                <w:szCs w:val="20"/>
                <w:color w:val="auto"/>
              </w:rPr>
            </w:pPr>
            <w:r>
              <w:rPr>
                <w:rFonts w:ascii="Arial" w:cs="Arial" w:eastAsia="Arial" w:hAnsi="Arial"/>
                <w:sz w:val="12"/>
                <w:szCs w:val="12"/>
                <w:b w:val="1"/>
                <w:bCs w:val="1"/>
                <w:color w:val="auto"/>
                <w:w w:val="97"/>
              </w:rPr>
              <w:t>Proposed</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b w:val="1"/>
                <w:bCs w:val="1"/>
                <w:color w:val="auto"/>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4"/>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9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w w:val="87"/>
              </w:rPr>
              <w:t>Title of Each Class of Securities to be Registered</w:t>
            </w: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Registered(1)(2)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Price per Unit</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0"/>
              </w:rPr>
              <w:t>Price(1)(2)</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Common Stock, $0.001 par value per share (3)(4)</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9"/>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220" w:type="dxa"/>
            <w:vAlign w:val="bottom"/>
            <w:tcBorders>
              <w:bottom w:val="single" w:sz="8" w:color="auto"/>
            </w:tcBorders>
          </w:tcPr>
          <w:p>
            <w:pPr>
              <w:spacing w:after="0"/>
              <w:rPr>
                <w:sz w:val="18"/>
                <w:szCs w:val="18"/>
                <w:color w:val="auto"/>
              </w:rPr>
            </w:pPr>
          </w:p>
        </w:tc>
      </w:tr>
    </w:tbl>
    <w:p>
      <w:pPr>
        <w:sectPr>
          <w:pgSz w:w="11900" w:h="16900" w:orient="portrait"/>
          <w:cols w:equalWidth="0" w:num="1">
            <w:col w:w="11420"/>
          </w:cols>
          <w:pgMar w:left="240" w:top="230"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 (5)</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top w:val="single" w:sz="8" w:color="auto"/>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top w:val="single" w:sz="8" w:color="auto"/>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9"/>
              </w:rPr>
              <w:t>—</w:t>
            </w:r>
          </w:p>
        </w:tc>
        <w:tc>
          <w:tcPr>
            <w:tcW w:w="156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9"/>
              </w:rPr>
              <w:t>—</w:t>
            </w:r>
          </w:p>
        </w:tc>
      </w:tr>
      <w:tr>
        <w:trPr>
          <w:trHeight w:val="210"/>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8"/>
                <w:szCs w:val="18"/>
                <w:color w:val="auto"/>
              </w:rPr>
              <w:t>$25,000,000 (6)</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93"/>
              </w:rPr>
              <w:t>— (7)</w:t>
            </w:r>
          </w:p>
        </w:tc>
        <w:tc>
          <w:tcPr>
            <w:tcW w:w="160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8"/>
                <w:szCs w:val="18"/>
                <w:color w:val="auto"/>
              </w:rPr>
              <w:t>$25,000,000</w:t>
            </w: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color w:val="auto"/>
              </w:rPr>
              <w:t>$1,395 (8)</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80" w:right="180" w:hanging="572"/>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Or if any securities are issued in an amount denominated in a foreign currency or composite currency, such amount as shall result in an aggregate initial offering price equivalent thereto in United States dollars at the time of initial offering.</w:t>
      </w:r>
    </w:p>
    <w:p>
      <w:pPr>
        <w:ind w:left="580" w:right="2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has estimated the amount to be registered and the proposed maximum offering price solely for the purpose of calculating the registration fee pursuant to Rule 457(o). The amount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jc w:val="both"/>
        <w:ind w:left="580" w:right="40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as may be issued upon conversion or exchange of the securities issued directly hereunder. No separate consideration will be received for any shares of common stock so issued upon conversion or exchange.</w:t>
      </w:r>
    </w:p>
    <w:p>
      <w:pPr>
        <w:spacing w:after="0" w:line="1"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is accompanied by a preferred share purchase right pursuant to the Rights Agreement, dated as of December 13, 2001, as may be amended from time to time, between Active Power and EquiServe Trust N.A., as Rights Agent.</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only warrants to purchase common stock.</w:t>
      </w:r>
    </w:p>
    <w:p>
      <w:pPr>
        <w:spacing w:after="0" w:line="9" w:lineRule="exact"/>
        <w:rPr>
          <w:rFonts w:ascii="Arial" w:cs="Arial" w:eastAsia="Arial" w:hAnsi="Arial"/>
          <w:sz w:val="18"/>
          <w:szCs w:val="18"/>
          <w:color w:val="auto"/>
        </w:rPr>
      </w:pPr>
    </w:p>
    <w:p>
      <w:pPr>
        <w:ind w:left="580" w:right="160" w:hanging="572"/>
        <w:spacing w:after="0" w:line="28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securities registered hereunder may be sold separately, or as units with other securities registered hereby. The proposed maximum offering price per unit will be determined by us in connection with the issuance of the securities. In no event will the aggregate offering price of all securities issued from time to time pursuant to this Registration Statement exceed $25,000,000 or the equivalent thereof in one or more foreign currencies, foreign currency units or composite currencies. The aggregate amount of common stock registered hereunder is further limited to that which is permissible under Rule 415(a)(4) under the Securities Act, to the extent applicable.</w:t>
      </w:r>
    </w:p>
    <w:p>
      <w:pPr>
        <w:spacing w:after="0" w:line="3" w:lineRule="exact"/>
        <w:rPr>
          <w:rFonts w:ascii="Arial" w:cs="Arial" w:eastAsia="Arial" w:hAnsi="Arial"/>
          <w:sz w:val="16"/>
          <w:szCs w:val="16"/>
          <w:color w:val="auto"/>
        </w:rPr>
      </w:pPr>
    </w:p>
    <w:p>
      <w:pPr>
        <w:ind w:left="580" w:right="18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determine the proposed maximum offering price per unit in connection with the issuance of the securities. Such price is not specified as to each class of security pursuant to General Instruction II.D. of Form S-3 under the Securities Act.</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NOVEMBER 23,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 —</w:t>
      </w:r>
    </w:p>
    <w:p>
      <w:pPr>
        <w:spacing w:after="0" w:line="218" w:lineRule="exact"/>
        <w:rPr>
          <w:sz w:val="20"/>
          <w:szCs w:val="20"/>
          <w:color w:val="auto"/>
        </w:rPr>
      </w:pPr>
    </w:p>
    <w:p>
      <w:pPr>
        <w:ind w:left="4720" w:hanging="282"/>
        <w:spacing w:after="0"/>
        <w:tabs>
          <w:tab w:leader="none" w:pos="4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4720" w:hanging="282"/>
        <w:spacing w:after="0"/>
        <w:tabs>
          <w:tab w:leader="none" w:pos="4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166"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See “</w:t>
      </w:r>
      <w:hyperlink w:anchor="page8">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5 for information you should consider before buying our securities.</w:t>
      </w:r>
    </w:p>
    <w:p>
      <w:pPr>
        <w:spacing w:after="0" w:line="1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we may offer and sell, in one or more offerings, in amounts, at prices and on terms determined at the time of any such offering, common stock, warrants, and any combination thereof, with a total value of up to $25,000,000.</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On November 20, 2009, the closing price of our common stock was $1.06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provide specific terms of these securities in supplements to this prospectus. You should read this prospectus and any supplement carefully before you purchase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offer and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tbl>
      <w:tblPr>
        <w:tblLayout w:type="fixed"/>
        <w:tblInd w:w="4320" w:type="dxa"/>
        <w:tblCellMar>
          <w:top w:w="0" w:type="dxa"/>
          <w:left w:w="0" w:type="dxa"/>
          <w:bottom w:w="0" w:type="dxa"/>
          <w:right w:w="0" w:type="dxa"/>
        </w:tblCellMar>
      </w:tblPr>
      <w:tr>
        <w:trPr>
          <w:trHeight w:val="228"/>
        </w:trPr>
        <w:tc>
          <w:tcPr>
            <w:tcW w:w="2080" w:type="dxa"/>
            <w:vAlign w:val="bottom"/>
          </w:tcPr>
          <w:p>
            <w:pPr>
              <w:spacing w:after="0"/>
              <w:rPr>
                <w:sz w:val="20"/>
                <w:szCs w:val="20"/>
                <w:color w:val="auto"/>
              </w:rPr>
            </w:pPr>
            <w:r>
              <w:rPr>
                <w:rFonts w:ascii="Arial" w:cs="Arial" w:eastAsia="Arial" w:hAnsi="Arial"/>
                <w:sz w:val="18"/>
                <w:szCs w:val="18"/>
                <w:b w:val="1"/>
                <w:bCs w:val="1"/>
                <w:color w:val="auto"/>
                <w:w w:val="97"/>
              </w:rPr>
              <w:t>This prospectus is dated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 2009</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80" w:type="dxa"/>
            <w:vAlign w:val="bottom"/>
            <w:gridSpan w:val="2"/>
          </w:tcPr>
          <w:p>
            <w:pPr>
              <w:jc w:val="right"/>
              <w:ind w:right="4972"/>
              <w:spacing w:after="0"/>
              <w:rPr>
                <w:sz w:val="20"/>
                <w:szCs w:val="20"/>
                <w:color w:val="auto"/>
              </w:rPr>
            </w:pPr>
            <w:r>
              <w:rPr>
                <w:rFonts w:ascii="Arial" w:cs="Arial" w:eastAsia="Arial" w:hAnsi="Arial"/>
                <w:sz w:val="18"/>
                <w:szCs w:val="18"/>
                <w:b w:val="1"/>
                <w:bCs w:val="1"/>
                <w:color w:val="auto"/>
              </w:rPr>
              <w:t>Table of Contents</w:t>
            </w:r>
          </w:p>
        </w:tc>
      </w:tr>
      <w:tr>
        <w:trPr>
          <w:trHeight w:val="35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41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1340" w:type="dxa"/>
            <w:vAlign w:val="bottom"/>
            <w:gridSpan w:val="3"/>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 Regarding Forward-Looking Statements</w:t>
              </w:r>
            </w:hyperlink>
          </w:p>
        </w:tc>
        <w:tc>
          <w:tcPr>
            <w:tcW w:w="900" w:type="dxa"/>
            <w:vAlign w:val="bottom"/>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240" w:type="dxa"/>
            <w:vAlign w:val="bottom"/>
            <w:gridSpan w:val="11"/>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14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Securities We May Offer</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380" w:type="dxa"/>
            <w:vAlign w:val="bottom"/>
            <w:gridSpan w:val="6"/>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2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Description of Common Stock</w:t>
              </w:r>
            </w:hyperlink>
          </w:p>
        </w:tc>
        <w:tc>
          <w:tcPr>
            <w:tcW w:w="1980" w:type="dxa"/>
            <w:vAlign w:val="bottom"/>
            <w:gridSpan w:val="4"/>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4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the Warrants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2200" w:type="dxa"/>
            <w:vAlign w:val="bottom"/>
            <w:gridSpan w:val="5"/>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2740" w:type="dxa"/>
            <w:vAlign w:val="bottom"/>
            <w:gridSpan w:val="8"/>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3160" w:type="dxa"/>
            <w:vAlign w:val="bottom"/>
            <w:gridSpan w:val="10"/>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4140" w:type="dxa"/>
            <w:vAlign w:val="bottom"/>
            <w:gridSpan w:val="1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Information Not Required in the Prospectus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accompanying prospectus supplement shall constitute an offer to sell or a solicitation of an offer to buy offered securities in any jurisdiction in which it is unlawful for such person to make such an offering or solicitation. Neither the delivery of this prospectus or any accompanying prospectus supplement nor any sale made hereunder shall under any circumstances imply that the information contained or incorporated by reference in this prospectus or in any accompanying prospectus supplement is correct as of any date subsequent to the date of this prospectus or any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reports, proxy statements and other information with the Securities and Exchange Commission, or the Commission, in accordance with the Securities Exchange Act of 1934, or the Exchange Act. You may read and copy our reports, proxy statements and other information filed by us at the Public Reference Room of the Commission at 100 F Street, N.E., Washington, D.C. 20549. Please call the Commission at 1-800-SEC-0330 for further information about the Public Reference Room. Our reports, proxy statements and other information filed with the Commission are available to the public over the Internet at the Commission’s website at www.sec.gov and on our Internet website at http://www.activepower.com.</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but before the end of any offering made under this prospectus and accompanying prospectus supplement (other than current reports or portions thereof furnished under Item 2.02, 7.01 or 8.01 of Form 8-K, unless such current reports or portions thereof specifically reference their contents as being filed):</w:t>
      </w:r>
    </w:p>
    <w:p>
      <w:pPr>
        <w:spacing w:after="0" w:line="39" w:lineRule="exact"/>
        <w:rPr>
          <w:sz w:val="20"/>
          <w:szCs w:val="20"/>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3, 2009, as amended by that certain Amendment No. 1 to Form 10-K filed with the SEC on October 28, 2009;</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March 17, 2009, May 14, 2009, June 1, 2009, July 6, 2009 and October 29, 2009.</w:t>
      </w:r>
    </w:p>
    <w:p>
      <w:pPr>
        <w:spacing w:after="0" w:line="19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580" w:hanging="415"/>
        <w:spacing w:after="0"/>
        <w:tabs>
          <w:tab w:leader="none" w:pos="5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836-6464</w:t>
      </w:r>
    </w:p>
    <w:p>
      <w:pPr>
        <w:spacing w:after="0" w:line="17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5"/>
          <w:szCs w:val="15"/>
          <w:color w:val="auto"/>
        </w:rPr>
        <w:t>This prospectus is part of a registration statement that we filed on Form S-3 with the Commission, using a “shelf” registration process. Under this shelf process, we may, from time to time, sell any combination of the securities described in this prospectus in one or more offerings up to a total dollar amount of $25,000,000. This prospectus provides you with a general description of the securities we may offer. Each time we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including the risk factors, together with the additional information described under the heading “Where You Can Find More Information.”</w:t>
      </w:r>
    </w:p>
    <w:p>
      <w:pPr>
        <w:spacing w:after="0" w:line="10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r>
        <w:rPr>
          <w:rFonts w:ascii="Arial" w:cs="Arial" w:eastAsia="Arial" w:hAnsi="Arial"/>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5, and the information to which we refer you and the information incorporated into this prospectus by reference, for a complete understanding of our business and this offering.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own the registered trademarks ACTIVE POWER, CLEANSOURCE and COOLAIR in the United States and abroad. The ACTIVE POWER logo is a trademark of Active Power. All other trademarks, service marks or trade names referred to in this report are the property of their respective owners.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Commission,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in our most recent Annual Report on Form 10-K and Quarterly Report on Form 10-Q and in our future filings made with the Commission. Readers are cautioned not to place undue reliance on any forward-looking statements contained herein, which reflect management’s opinions only as of the date hereof. Except as required by law, Active Power undertakes no obligation to revise or publicly release the results of any revisions to any forward-looking statements. You are advised, however, to consult any additional disclosures we have made or will make in our reports to the Commission on Forms 10-K, 10-Q and 8-K. All subsequent written and oral forward-looking statements attributable to us or persons acting on our behalf are expressly qualified in their entirety by the cautionary statements contained in this prospectus.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2008, and our Quarterly Reports for the quarterly periods ended March 31, 2009, June 30, 2009 and September 30, 2009, all of which are incorporated herein by reference, and may be amended, supplemented or superseded from time to time by other reports we file with the Commission in the future. The risks and uncertainties we have described are not the only ones we face. Additional risks and uncertainties not presently known to us or that we currently deem immaterial may also affect our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WE MAY OFFER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up to $25,000,000 of common stock and warrants in one or more offerings and in any combination thereof. A prospectus supplement, which we will provide each time we offer securities, will describe the specific amounts, prices and terms of these securities.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working capital requirements, general corporate purposes and investments in and acquisitions of complementary businesses. We may also use a portion of the net proceeds to fund possible partnerships, minority investments, products or technologies. Currently, there are no commitments or agreements regarding such acquisitions or investments that are material. Pending their ultimate use, we intend to invest the net proceeds in bank demand deposits, certificates of deposit, investments in debt securities with maturities of three months or less when purchased, and money market funds which invest primarily in U.S. government obligations and commercial paper.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As of the date of this prospectus, our authorized capital stock consists of 160,000,000 shares. Those shares consist of 150,000,000 shares designated as common stock, $0.001 par value per share, and 10,000,000 shares designated as preferred stock, $0.001 par value per share. The only equity securities currently outstanding are shares of common stock. As of November 20, 2009, there were approximately 66,478,623 shares of common stock issued and outstanding.</w:t>
      </w:r>
    </w:p>
    <w:p>
      <w:pPr>
        <w:spacing w:after="0" w:line="8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description summarizes the material terms of our common stock. This summary is, however, subject to the provisions of our restated certificate of incorporation and any applicable certificate of designation for a series of preferred stock, our amended bylaws, a rights agreement between us and EquiServe Trust N.A., and applicable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any dividends or other distributions that may be declared from time to time by the board of directors out of funds legally available for that purpose. However, we are not currently paying any dividends. 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outstanding shares of common stock are fully paid and nonassessable, and any shares of common stock to be issued upon an offering pursuant to this prospectus and the related prospectus supplement will be fully paid and nonassessable upon issuance.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The transfer agent and registrar for the common stock is American Stock Transfer &amp; Trust Company,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Provisions of Delaware law and our currently in effect restated certificate of incorporation and amended bylaws could make the acquisition of our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our company to first negotiate with our board of directors.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900" w:right="5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securities.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Documents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currently in effect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In accordance with our currently in effect restated certificate of incorporation, directors may be removed by the affirmative vote of the holders of the outstanding shares of common stock only with cause.</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currently in effect amended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amended bylaws do not give the board of directors the power to approve or disapprove stockholder nominations of candidates or proposals regarding other business to be conducted at a special or annual meeting of the stockholders. However, our amended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amended bylaws provide that only our board of directors may call a special meeting of stockholders. Because our stockholders do not have the right to call a special meeting, a stockholder could not force stockholder consideration of a proposal over the opposition of the board of directors by calling a special meeting of stockholders prior to such time as a majority of the board of directors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currently in effect restated certificate of incorporation does not allow stockholders to act by written consent without a meeting. Without the availability of stockholder’s actions by written consent, a holder controlling a majority of our capital stock would not be able to amend our amended bylaws or remove directors without holding a stockholders’ meeting. The holder would have to obtain the consent of a majority of the board of directors to call a stockholders’ meeting and satisfy the notice periods determined by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Its address is 59 Maiden Lane, Plaza Level, New York, New York 10038.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trading symbol ACPW.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will describe the terms of the warrants, including the following:</w:t>
      </w:r>
    </w:p>
    <w:p>
      <w:pPr>
        <w:spacing w:after="0" w:line="51"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common stock that may be purchased upon exercise of the warrants;</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common stock that may be purchased upon exercise of a warrant and the exercise price for the warrants;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warrants upon a change in control or similar event; and</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additional terms of the warrants, including procedures and limitations relating to the exchange, exercise and settlement of the warrants.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equity warrants will not be entitled to:</w:t>
      </w:r>
    </w:p>
    <w:p>
      <w:pPr>
        <w:spacing w:after="0" w:line="90"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receive notice as stockholders with respect to any meeting of stockholders for the election of our directors or any other matter; or</w:t>
      </w:r>
    </w:p>
    <w:p>
      <w:pPr>
        <w:spacing w:after="0" w:line="124" w:lineRule="exact"/>
        <w:rPr>
          <w:rFonts w:ascii="Arial" w:cs="Arial" w:eastAsia="Arial" w:hAnsi="Arial"/>
          <w:sz w:val="15"/>
          <w:szCs w:val="15"/>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rights as stockholders of Active Power.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240" w:top="459" w:right="11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securities:</w:t>
      </w:r>
    </w:p>
    <w:p>
      <w:pPr>
        <w:spacing w:after="0" w:line="51"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or through one or more underwriters or dealers;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distribute the securities from time to time in one or more transactions:</w:t>
      </w:r>
    </w:p>
    <w:p>
      <w:pPr>
        <w:spacing w:after="0" w:line="90"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prices related to prevailing market prices;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the method of distribution of each series of securities in the applicable prospectus supplement.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our without the involvement of agents, underwriters or dealers, utilizing the Internet (sometimes referred to as the “world wide web”) or other forms of electronic bidding or ordering systems for the pricing and allocation of such securities, you will want to pay particular attention to the description of that system we will provide in a prospectus supplement.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1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Many variations of Internet or other electronic auction or pricing and allocation systems are likely to be developed in the future as new technology evolves, and we may utilize such systems in connection with the sale of securities. The specific rules of such an auction would be described to potential bidders in a prospectus supplement. You should review carefully the auction and other rules we will describe in a prospectus supplement in order to understand and participate intelligently in the applicable offering.</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connection with underwritten offerings of securities,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59" w:lineRule="exact"/>
        <w:rPr>
          <w:sz w:val="20"/>
          <w:szCs w:val="20"/>
          <w:color w:val="auto"/>
        </w:rPr>
      </w:pPr>
    </w:p>
    <w:p>
      <w:pPr>
        <w:ind w:left="148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50" w:lineRule="exact"/>
        <w:rPr>
          <w:rFonts w:ascii="Arial" w:cs="Arial" w:eastAsia="Arial" w:hAnsi="Arial"/>
          <w:sz w:val="18"/>
          <w:szCs w:val="18"/>
          <w:color w:val="auto"/>
        </w:rPr>
      </w:pPr>
    </w:p>
    <w:p>
      <w:pPr>
        <w:ind w:left="1480" w:right="400" w:hanging="446"/>
        <w:spacing w:after="0" w:line="259"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transactions may be effected on The Nasdaq Global Market, in the over-the-counter markets or otherwise. Underwriters are not required to engage in any of these activities, or to continue the activities if commenced.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grant underwriters who participate in the distribution of securities an option to purchase additional securities to cover over-allotments, if any, in connection with the distribution.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Some securities which we may issue under this prospectus may be new issues of securities with no established trading market. Underwriters involved in the public offering and sale of these series of securities may make a market in the securities. However, they are not obligated to make a market and may discontinue market making activity at any time. No assurance can be given as to the liquidity of the trading market for any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Underwriters or agents and their associates may be customers of, engage in transactions with or perform services for us in the ordinary course of business.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required, this prospectus may be amended and supplemented from time to time to describe a specific plan of distribution.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validity of the securities offered by this prospectus will be passed upon by Wilson Sonsini Goodrich &amp; Rosati, Professional Corporation, Austin,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estimated (other than the registration fee) expenses to be paid in connection with this offering are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Printing and engraving</w:t>
            </w:r>
          </w:p>
        </w:tc>
        <w:tc>
          <w:tcPr>
            <w:tcW w:w="1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Miscellaneous</w:t>
            </w:r>
          </w:p>
        </w:tc>
        <w:tc>
          <w:tcPr>
            <w:tcW w:w="1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62,395</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restated certificate of incorporation contains provisions that eliminate, to the maximum extent permitted by the Delaware General Corporation Law, the personal liability of directors and executive officers for monetary damages for breach of their fiduciary duties as a director or officer. Our restated certificate of incorporation and amended bylaws provide that we shall indemnify our directors and executive officers and may indemnify our employees and other agents to the fullest extent permitted by the Delaware General Corporation Law.</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Sections 145 and 102(b)(7) of the Delaware General Corporation Law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entered into indemnification agreements with our directors and executive officers, in addition to the indemnification provided for in our restated certificate of incorporation and amended bylaws, and intend to enter into indemnification agreements with any new directors and executive officers in the future.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80" w:type="dxa"/>
            <w:vAlign w:val="bottom"/>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Exhibit Title</w:t>
            </w:r>
          </w:p>
        </w:tc>
      </w:tr>
      <w:tr>
        <w:trPr>
          <w:trHeight w:val="322"/>
        </w:trPr>
        <w:tc>
          <w:tcPr>
            <w:tcW w:w="52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6160" w:type="dxa"/>
            <w:vAlign w:val="bottom"/>
            <w:gridSpan w:val="2"/>
          </w:tcPr>
          <w:p>
            <w:pPr>
              <w:ind w:left="640"/>
              <w:spacing w:after="0"/>
              <w:rPr>
                <w:sz w:val="20"/>
                <w:szCs w:val="20"/>
                <w:color w:val="auto"/>
              </w:rPr>
            </w:pPr>
            <w:r>
              <w:rPr>
                <w:rFonts w:ascii="Arial" w:cs="Arial" w:eastAsia="Arial" w:hAnsi="Arial"/>
                <w:sz w:val="18"/>
                <w:szCs w:val="18"/>
                <w:color w:val="auto"/>
              </w:rPr>
              <w:t>Form of Underwriting Agreement</w:t>
            </w:r>
          </w:p>
        </w:tc>
      </w:tr>
      <w:tr>
        <w:trPr>
          <w:trHeight w:val="365"/>
        </w:trPr>
        <w:tc>
          <w:tcPr>
            <w:tcW w:w="520" w:type="dxa"/>
            <w:vAlign w:val="bottom"/>
          </w:tcPr>
          <w:p>
            <w:pPr>
              <w:spacing w:after="0"/>
              <w:rPr>
                <w:sz w:val="24"/>
                <w:szCs w:val="24"/>
                <w:color w:val="auto"/>
              </w:rPr>
            </w:pPr>
          </w:p>
        </w:tc>
        <w:tc>
          <w:tcPr>
            <w:tcW w:w="53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Exhibit Title</w:t>
            </w:r>
          </w:p>
        </w:tc>
        <w:tc>
          <w:tcPr>
            <w:tcW w:w="4580" w:type="dxa"/>
            <w:vAlign w:val="bottom"/>
          </w:tcPr>
          <w:p>
            <w:pPr>
              <w:spacing w:after="0"/>
              <w:rPr>
                <w:sz w:val="14"/>
                <w:szCs w:val="14"/>
                <w:color w:val="auto"/>
              </w:rPr>
            </w:pPr>
          </w:p>
        </w:tc>
      </w:tr>
      <w:tr>
        <w:trPr>
          <w:trHeight w:val="322"/>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Subscription Agreement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7"/>
              </w:rPr>
              <w:t>Restated Certificate of Incorporation (filed as Exhibit 3.1 to Active Power’s Quarterly Report on Form 10-Q filed on July 28, 2006)</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4"/>
              </w:rPr>
              <w:t>Second Amended and Restated Bylaws (filed as Exhibit 3.2 to Active Power’s Current Report on Form 8-K filed on February 2,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0"/>
              </w:rPr>
              <w:t>Amendment to Second Amended and Restated Bylaws (filed as Exhibit 3.01 to Active Power’s Current Report on 8-K filed on December 7,</w:t>
            </w:r>
          </w:p>
        </w:tc>
      </w:tr>
      <w:tr>
        <w:trPr>
          <w:trHeight w:val="222"/>
        </w:trPr>
        <w:tc>
          <w:tcPr>
            <w:tcW w:w="520" w:type="dxa"/>
            <w:vAlign w:val="bottom"/>
          </w:tcPr>
          <w:p>
            <w:pPr>
              <w:spacing w:after="0"/>
              <w:rPr>
                <w:sz w:val="19"/>
                <w:szCs w:val="19"/>
                <w:color w:val="auto"/>
              </w:rPr>
            </w:pPr>
          </w:p>
        </w:tc>
        <w:tc>
          <w:tcPr>
            <w:tcW w:w="5440" w:type="dxa"/>
            <w:vAlign w:val="bottom"/>
          </w:tcPr>
          <w:p>
            <w:pPr>
              <w:ind w:left="760"/>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No. 333-36946))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8"/>
              </w:rPr>
              <w:t>Rights Agreement, dated as of December 13, 2001, between Active Power and EquiServe Trust N.A., which includes the form of Certificate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9"/>
              </w:rPr>
              <w:t>Designation for the Series A Junior Participating Preferred Stock as Exhibit A, the form of Rights Certificate as Exhibit B and the Summary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5"/>
              </w:rPr>
              <w:t>Rights to Purchase Series A Preferred Stock as Exhibit C (filed as Exhibit 4.1 to Active Power’s Current Report on Form 8-K filed on</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December 14,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common stock</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4.5*</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Certificate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Power of Attorney (see page 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be filed by amendment or as an exhibit to a report pursuant to Section 13(a) or 15(d) of the Securities Exchange Act of 1934, as amended,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incorporated herein by reference.</w:t>
      </w:r>
    </w:p>
    <w:p>
      <w:pPr>
        <w:spacing w:after="0" w:line="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Active Power hereby undertakes: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480" w:hanging="567"/>
        <w:spacing w:after="0" w:line="290" w:lineRule="auto"/>
        <w:tabs>
          <w:tab w:leader="none" w:pos="14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2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150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1"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480" w:right="20" w:hanging="567"/>
        <w:spacing w:after="0" w:line="286"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46"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be the undersigned registrant;</w:t>
      </w:r>
    </w:p>
    <w:p>
      <w:pPr>
        <w:spacing w:after="0" w:line="5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1"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23rd day of November,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tabs>
          <w:tab w:leader="none" w:pos="826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the undersigned officers and directors of Active Power, Inc., and each of us, do hereby constitute and appoint each and any of James A. Clishem and John K. Penver, our true and lawful attorney and agent, with full power of substitution and resubstitution, to do any and all acts and things in our name and behalf in any and all capacities and to execute any and all instruments for us in our names, in connection with this registration statement or any registration statement for the same offering that is to be effective upon filing under the Securities Act of 1933, as amended, and to file the same, with all exhibits thereto and other documents in connection therewith, with the Securities and Exchange Commission, including specifically, but without limitation, power and authority to sign for us or any of us in our names in the capacities indicated below, any and all amendments (including post-effective amendments) hereto; and we hereby ratify and confirm all that said attorney and agent, or his substitute, shall do or cause to be done by virtue thereof.</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580" w:type="dxa"/>
            <w:vAlign w:val="bottom"/>
          </w:tcPr>
          <w:p>
            <w:pPr>
              <w:spacing w:after="0"/>
              <w:rPr>
                <w:sz w:val="14"/>
                <w:szCs w:val="14"/>
                <w:color w:val="auto"/>
              </w:rPr>
            </w:pPr>
          </w:p>
        </w:tc>
        <w:tc>
          <w:tcPr>
            <w:tcW w:w="4300" w:type="dxa"/>
            <w:vAlign w:val="bottom"/>
            <w:gridSpan w:val="3"/>
          </w:tcPr>
          <w:p>
            <w:pPr>
              <w:ind w:left="1860"/>
              <w:spacing w:after="0"/>
              <w:rPr>
                <w:sz w:val="20"/>
                <w:szCs w:val="20"/>
                <w:color w:val="auto"/>
              </w:rPr>
            </w:pPr>
            <w:r>
              <w:rPr>
                <w:rFonts w:ascii="Arial" w:cs="Arial" w:eastAsia="Arial" w:hAnsi="Arial"/>
                <w:sz w:val="14"/>
                <w:szCs w:val="14"/>
                <w:b w:val="1"/>
                <w:bCs w:val="1"/>
                <w:color w:val="auto"/>
              </w:rPr>
              <w:t>Title</w:t>
            </w:r>
          </w:p>
        </w:tc>
        <w:tc>
          <w:tcPr>
            <w:tcW w:w="136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4"/>
        </w:trPr>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C</w:t>
            </w:r>
            <w:r>
              <w:rPr>
                <w:rFonts w:ascii="Arial" w:cs="Arial" w:eastAsia="Arial" w:hAnsi="Arial"/>
                <w:sz w:val="14"/>
                <w:szCs w:val="14"/>
                <w:color w:val="auto"/>
                <w:w w:val="99"/>
              </w:rPr>
              <w:t>LISHEM</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26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5"/>
              </w:rPr>
              <w:t>James A. Clishem</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 (Principal</w:t>
            </w:r>
          </w:p>
        </w:tc>
        <w:tc>
          <w:tcPr>
            <w:tcW w:w="222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November 23, 2009</w:t>
            </w:r>
          </w:p>
        </w:tc>
      </w:tr>
      <w:tr>
        <w:trPr>
          <w:trHeight w:val="222"/>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color w:val="auto"/>
              </w:rPr>
              <w:t>Executive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K. P</w:t>
            </w:r>
            <w:r>
              <w:rPr>
                <w:rFonts w:ascii="Arial" w:cs="Arial" w:eastAsia="Arial" w:hAnsi="Arial"/>
                <w:sz w:val="14"/>
                <w:szCs w:val="14"/>
                <w:color w:val="auto"/>
                <w:w w:val="97"/>
              </w:rPr>
              <w:t>ENVER</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26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8"/>
              </w:rPr>
              <w:t>John K. Penver</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222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November 23, 2009</w:t>
            </w:r>
          </w:p>
        </w:tc>
      </w:tr>
      <w:tr>
        <w:trPr>
          <w:trHeight w:val="222"/>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color w:val="auto"/>
              </w:rPr>
              <w:t>Accounting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ENJAMIN</w:t>
            </w:r>
            <w:r>
              <w:rPr>
                <w:rFonts w:ascii="Arial" w:cs="Arial" w:eastAsia="Arial" w:hAnsi="Arial"/>
                <w:sz w:val="18"/>
                <w:szCs w:val="18"/>
                <w:color w:val="auto"/>
                <w:w w:val="99"/>
              </w:rPr>
              <w:t xml:space="preserve"> L. S</w:t>
            </w:r>
            <w:r>
              <w:rPr>
                <w:rFonts w:ascii="Arial" w:cs="Arial" w:eastAsia="Arial" w:hAnsi="Arial"/>
                <w:sz w:val="14"/>
                <w:szCs w:val="14"/>
                <w:color w:val="auto"/>
                <w:w w:val="99"/>
              </w:rPr>
              <w:t>COTT</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6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9"/>
              </w:rPr>
              <w:t>Benjamin L. Scott</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222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November 23, 2009</w:t>
            </w:r>
          </w:p>
        </w:tc>
      </w:tr>
      <w:tr>
        <w:trPr>
          <w:trHeight w:val="432"/>
        </w:trPr>
        <w:tc>
          <w:tcPr>
            <w:tcW w:w="378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6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0"/>
              </w:rPr>
              <w:t>Ake Almgren</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November 23, 2009</w:t>
            </w:r>
          </w:p>
        </w:tc>
      </w:tr>
      <w:tr>
        <w:trPr>
          <w:trHeight w:val="432"/>
        </w:trPr>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ODNEY</w:t>
            </w:r>
            <w:r>
              <w:rPr>
                <w:rFonts w:ascii="Arial" w:cs="Arial" w:eastAsia="Arial" w:hAnsi="Arial"/>
                <w:sz w:val="18"/>
                <w:szCs w:val="18"/>
                <w:color w:val="auto"/>
                <w:w w:val="96"/>
              </w:rPr>
              <w:t xml:space="preserve"> S. B</w:t>
            </w:r>
            <w:r>
              <w:rPr>
                <w:rFonts w:ascii="Arial" w:cs="Arial" w:eastAsia="Arial" w:hAnsi="Arial"/>
                <w:sz w:val="14"/>
                <w:szCs w:val="14"/>
                <w:color w:val="auto"/>
                <w:w w:val="96"/>
              </w:rPr>
              <w:t>OND</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6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6"/>
              </w:rPr>
              <w:t>Rodney S. Bond</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November 23, 2009</w:t>
            </w:r>
          </w:p>
        </w:tc>
      </w:tr>
      <w:tr>
        <w:trPr>
          <w:trHeight w:val="432"/>
        </w:trPr>
        <w:tc>
          <w:tcPr>
            <w:tcW w:w="378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w:t>
            </w:r>
            <w:r>
              <w:rPr>
                <w:rFonts w:ascii="Arial" w:cs="Arial" w:eastAsia="Arial" w:hAnsi="Arial"/>
                <w:sz w:val="14"/>
                <w:szCs w:val="14"/>
                <w:color w:val="auto"/>
              </w:rPr>
              <w:t>DE</w:t>
            </w:r>
            <w:r>
              <w:rPr>
                <w:rFonts w:ascii="Arial" w:cs="Arial" w:eastAsia="Arial" w:hAnsi="Arial"/>
                <w:sz w:val="18"/>
                <w:szCs w:val="18"/>
                <w:color w:val="auto"/>
              </w:rPr>
              <w:t>V</w:t>
            </w:r>
            <w:r>
              <w:rPr>
                <w:rFonts w:ascii="Arial" w:cs="Arial" w:eastAsia="Arial" w:hAnsi="Arial"/>
                <w:sz w:val="14"/>
                <w:szCs w:val="14"/>
                <w:color w:val="auto"/>
              </w:rPr>
              <w:t>ENNY</w:t>
            </w:r>
            <w:r>
              <w:rPr>
                <w:rFonts w:ascii="Arial" w:cs="Arial" w:eastAsia="Arial" w:hAnsi="Arial"/>
                <w:sz w:val="18"/>
                <w:szCs w:val="18"/>
                <w:color w:val="auto"/>
              </w:rPr>
              <w:t xml:space="preserve"> III</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6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9"/>
              </w:rPr>
              <w:t>James E. deVenny III</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November 23, 2009</w:t>
            </w:r>
          </w:p>
        </w:tc>
      </w:tr>
      <w:tr>
        <w:trPr>
          <w:trHeight w:val="365"/>
        </w:trPr>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gridSpan w:val="2"/>
          </w:tcPr>
          <w:p>
            <w:pPr>
              <w:ind w:left="1840"/>
              <w:spacing w:after="0"/>
              <w:rPr>
                <w:sz w:val="20"/>
                <w:szCs w:val="20"/>
                <w:color w:val="auto"/>
              </w:rPr>
            </w:pPr>
            <w:r>
              <w:rPr>
                <w:rFonts w:ascii="Arial" w:cs="Arial" w:eastAsia="Arial" w:hAnsi="Arial"/>
                <w:sz w:val="18"/>
                <w:szCs w:val="18"/>
                <w:color w:val="auto"/>
              </w:rPr>
              <w:t>18</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620"/>
        <w:spacing w:after="0"/>
        <w:tabs>
          <w:tab w:leader="none" w:pos="5620" w:val="left"/>
          <w:tab w:leader="none" w:pos="94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22"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S. G</w:t>
      </w:r>
      <w:r>
        <w:rPr>
          <w:rFonts w:ascii="Arial" w:cs="Arial" w:eastAsia="Arial" w:hAnsi="Arial"/>
          <w:sz w:val="13"/>
          <w:szCs w:val="13"/>
          <w:color w:val="auto"/>
        </w:rPr>
        <w:t>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926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6380" w:val="left"/>
          <w:tab w:leader="none" w:pos="1380" w:val="left"/>
        </w:tabs>
        <w:rPr>
          <w:sz w:val="20"/>
          <w:szCs w:val="20"/>
          <w:color w:val="auto"/>
        </w:rPr>
      </w:pPr>
      <w:r>
        <w:rPr>
          <w:rFonts w:ascii="Arial" w:cs="Arial" w:eastAsia="Arial" w:hAnsi="Arial"/>
          <w:sz w:val="27"/>
          <w:szCs w:val="27"/>
          <w:b w:val="1"/>
          <w:bCs w:val="1"/>
          <w:color w:val="auto"/>
          <w:vertAlign w:val="superscript"/>
        </w:rPr>
        <w:t>Robert S. Greenberg</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November 23, 2009</w:t>
      </w:r>
    </w:p>
    <w:p>
      <w:pPr>
        <w:spacing w:after="0" w:line="126"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926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6380" w:val="left"/>
          <w:tab w:leader="none" w:pos="1380" w:val="left"/>
        </w:tabs>
        <w:rPr>
          <w:sz w:val="20"/>
          <w:szCs w:val="20"/>
          <w:color w:val="auto"/>
        </w:rPr>
      </w:pPr>
      <w:r>
        <w:rPr>
          <w:rFonts w:ascii="Arial" w:cs="Arial" w:eastAsia="Arial" w:hAnsi="Arial"/>
          <w:sz w:val="27"/>
          <w:szCs w:val="27"/>
          <w:b w:val="1"/>
          <w:bCs w:val="1"/>
          <w:color w:val="auto"/>
          <w:vertAlign w:val="superscript"/>
        </w:rPr>
        <w:t>Jan H. Lindelow</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November 23, 2009</w:t>
      </w:r>
    </w:p>
    <w:p>
      <w:pPr>
        <w:spacing w:after="0" w:line="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00"/>
          </w:cols>
          <w:pgMar w:left="240" w:top="459" w:right="1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00" w:type="dxa"/>
            <w:vAlign w:val="bottom"/>
            <w:gridSpan w:val="3"/>
          </w:tcPr>
          <w:p>
            <w:pPr>
              <w:ind w:left="46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Exhibit Title</w:t>
            </w:r>
          </w:p>
        </w:tc>
        <w:tc>
          <w:tcPr>
            <w:tcW w:w="4580" w:type="dxa"/>
            <w:vAlign w:val="bottom"/>
          </w:tcPr>
          <w:p>
            <w:pPr>
              <w:spacing w:after="0"/>
              <w:rPr>
                <w:sz w:val="14"/>
                <w:szCs w:val="14"/>
                <w:color w:val="auto"/>
              </w:rPr>
            </w:pPr>
          </w:p>
        </w:tc>
      </w:tr>
      <w:tr>
        <w:trPr>
          <w:trHeight w:val="322"/>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Subscription Agreement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7"/>
              </w:rPr>
              <w:t>Restated Certificate of Incorporation (filed as Exhibit 3.1 to Active Power’s Quarterly Report on Form 10-Q filed on July 28, 2006)</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4"/>
              </w:rPr>
              <w:t>Second Amended and Restated Bylaws (filed as Exhibit 3.2 to Active Power’s Current Report on Form 8-K filed on February 2,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0"/>
              </w:rPr>
              <w:t>Amendment to Second Amended and Restated Bylaws (filed as Exhibit 3.01 to Active Power’s Current Report on 8-K filed on December 7,</w:t>
            </w:r>
          </w:p>
        </w:tc>
      </w:tr>
      <w:tr>
        <w:trPr>
          <w:trHeight w:val="222"/>
        </w:trPr>
        <w:tc>
          <w:tcPr>
            <w:tcW w:w="520" w:type="dxa"/>
            <w:vAlign w:val="bottom"/>
          </w:tcPr>
          <w:p>
            <w:pPr>
              <w:spacing w:after="0"/>
              <w:rPr>
                <w:sz w:val="19"/>
                <w:szCs w:val="19"/>
                <w:color w:val="auto"/>
              </w:rPr>
            </w:pPr>
          </w:p>
        </w:tc>
        <w:tc>
          <w:tcPr>
            <w:tcW w:w="5440" w:type="dxa"/>
            <w:vAlign w:val="bottom"/>
          </w:tcPr>
          <w:p>
            <w:pPr>
              <w:ind w:left="760"/>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No. 333-36946))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8"/>
              </w:rPr>
              <w:t>Rights Agreement, dated as of December 13, 2001, between Active Power and EquiServe Trust N.A., which includes the form of Certificate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9"/>
              </w:rPr>
              <w:t>Designation for the Series A Junior Participating Preferred Stock as Exhibit A, the form of Rights Certificate as Exhibit B and the Summary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5"/>
              </w:rPr>
              <w:t>Rights to Purchase Series A Preferred Stock as Exhibit C (filed as Exhibit 4.1 to Active Power’s Current Report on Form 8-K filed on</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December 14,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common stock</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4.5*</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Certificate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Power of Attorney (see page 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be filed by amendment or as an exhibit to a report pursuant to Section 13(a) or 15(d) of the Securities Exchange Act of 1934, as amended,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incorporated herein by reference.</w:t>
      </w:r>
    </w:p>
    <w:p>
      <w:pPr>
        <w:spacing w:after="0" w:line="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ectPr>
          <w:pgSz w:w="11900" w:h="16838" w:orient="portrait"/>
          <w:cols w:equalWidth="0" w:num="1">
            <w:col w:w="11320"/>
          </w:cols>
          <w:pgMar w:left="240" w:top="459"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23,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Active Power, Inc. — Registration Statement on Form S-3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At your request, we have examined the Registration Statement on Form S-3 (the “Registration Statement”) filed or to be filed by Active Power, Inc., a Delaware corporation (the “Company”), with the Securities and Exchange Commission (the “Commission”) in connection with the registration pursuant to the Securities Act of 1933, as amended (the “Act”). The Registration Statement relates to the proposed issuance and sale, from time to time, pursuant to Rule 415 under the Act, as set forth in the Registration Statement, the prospectus contained therein (the “Prospectus”) and the supplements to the Prospectus referred to therein (each a “Prospectus Supplement”), of up to an aggregate offering price of $25,000,000, or the equivalent thereof, of shares of the Company’s common stock, $0.001 par value per share (the “Common Stock”) and warrants to purchase shares of Common Stock (the “Warrants”). The Common Stock and the Warrants are collectively referred to herein as the “Securities.”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Securities are to be sold from time to time as set forth in the Registration Statement, the Prospectus contained therein and the Prospectus Supplements. The Securities are to be sold pursuant to a purchase, underwriting or similar agreement in substantially the form to be filed as exhibits to, or incorporated by reference in, the Registration Statement.</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examined instruments, documents, certificates and records which we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 Prospectus Supplement will have been filed with the Commission describing the securities offered thereby; (f) all securities will be issued and sold in compliance with applicable federal and state securities laws and in the manner stated in the Registration Statement and the applicable prospectus supplement; (g) a definitive purchase,</w:t>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underwriting or similar agreement with respect to any securities offered will have been duly authorized and validly executed and delivered by the Company and the other parties thereto; (h) any securities issuable upon conversion, exchange or exercise of any securities being offered will be duly authorized, created and, if appropriate, reserved for issuance upon such conversion, exchange or exercise; and (i) with respect to shares of Common Stock offered, there will be sufficient shares of Common Stock authorized under the Company’s organizational documents and not otherwise reserved for issuance.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such examination, we are of the opinion that:</w:t>
      </w:r>
    </w:p>
    <w:p>
      <w:pPr>
        <w:spacing w:after="0" w:line="90" w:lineRule="exact"/>
        <w:rPr>
          <w:sz w:val="20"/>
          <w:szCs w:val="20"/>
          <w:color w:val="auto"/>
        </w:rPr>
      </w:pPr>
    </w:p>
    <w:p>
      <w:pPr>
        <w:ind w:firstLine="464"/>
        <w:spacing w:after="0" w:line="253"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shares of Common Stock, when both: (a) the Board of Directors of the Company or a duly constituted and acting committee thereof (such Board of Directors or committee being hereinafter referred to as the “Board”) has taken all necessary corporate action to approve the issuance of and the terms of the offering of the shares of Common Stock and related matters; and (b) shares of Common Stock have been duly issued, sold and delivered in accordance with the applicable definitive purchase, underwriting or similar agreement approved by the Board, or upon the exercise of Warrants, upon payment of the consideration therefor (not less than the par value of the Common Stock) provided for therein, in each case as described in the Registration Statement, any amendment thereto, the Prospectus and any Prospectus Supplement relating thereto, then the shares of Common Stock will be validly issued, fully paid and nonassessable; and</w:t>
      </w:r>
    </w:p>
    <w:p>
      <w:pPr>
        <w:spacing w:after="0" w:line="147" w:lineRule="exact"/>
        <w:rPr>
          <w:rFonts w:ascii="Arial" w:cs="Arial" w:eastAsia="Arial" w:hAnsi="Arial"/>
          <w:sz w:val="18"/>
          <w:szCs w:val="18"/>
          <w:color w:val="auto"/>
        </w:rPr>
      </w:pPr>
    </w:p>
    <w:p>
      <w:pPr>
        <w:ind w:right="20" w:firstLine="464"/>
        <w:spacing w:after="0" w:line="291"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respect to the Warrants, when both: (a) the Board has taken all necessary corporate action to approve the issuance of and the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in each case as described in the Registration Statement, any amendment thereto, the Prospectus and any Prospectus Supplement relating thereto, then the Warrants will be validly issued and will constitute valid and binding obligations of the Company, enforceable against the Company in accordance with their terms.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90" w:lineRule="exact"/>
        <w:rPr>
          <w:sz w:val="20"/>
          <w:szCs w:val="20"/>
          <w:color w:val="auto"/>
        </w:rPr>
      </w:pPr>
    </w:p>
    <w:p>
      <w:pPr>
        <w:ind w:right="340" w:firstLine="921"/>
        <w:spacing w:after="0" w:line="268"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ectPr>
          <w:pgSz w:w="11900" w:h="16838" w:orient="portrait"/>
          <w:cols w:equalWidth="0" w:num="1">
            <w:col w:w="11340"/>
          </w:cols>
          <w:pgMar w:left="240" w:top="28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1160" w:hanging="2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90" w:lineRule="exact"/>
        <w:rPr>
          <w:rFonts w:ascii="Arial" w:cs="Arial" w:eastAsia="Arial" w:hAnsi="Arial"/>
          <w:sz w:val="18"/>
          <w:szCs w:val="18"/>
          <w:color w:val="auto"/>
        </w:rPr>
      </w:pPr>
    </w:p>
    <w:p>
      <w:pPr>
        <w:jc w:val="both"/>
        <w:ind w:right="280" w:firstLine="921"/>
        <w:spacing w:after="0" w:line="259" w:lineRule="auto"/>
        <w:tabs>
          <w:tab w:leader="none" w:pos="11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Attorneys at our Firm are admitted to the practice of law in the State of Texas, and we express no opinion as to the laws of any other jurisdiction, other than the Federal laws of the United States of America and the General Corporation Law of the State of Delaware (the “DGCL”). We are not licensed to practice law in the State of Delaware and, accordingly, our opinions as to the DGCL are based solely on a review of the official statutes of the State of Delaware and the applicable provisions of the Delaware Constitution and the reported judicial decisions interpreting such statutes and provisions.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00"/>
          </w:cols>
          <w:pgMar w:left="240" w:top="280" w:right="259" w:bottom="1440" w:gutter="0" w:footer="0" w:header="0"/>
        </w:sectPr>
      </w:pPr>
    </w:p>
    <w:bookmarkStart w:id="26" w:name="page27"/>
    <w:bookmarkEnd w:id="26"/>
    <w:p>
      <w:pPr>
        <w:ind w:left="10320"/>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Preliminary Prospectus of Active Power, Inc. for the registration of common stock and warrants and to the incorporation by reference therein of our reports dated February 27, 2009, with respect to the consolidated financial statements of Active Power, Inc., and the effectiveness of internal control over financial reporting of Active Power, Inc., included in its Annual Report (Form 10-K) for the year ended December 31, 2008, filed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51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62BBD95A"/>
    <w:multiLevelType w:val="hybridMultilevel"/>
    <w:lvl w:ilvl="0">
      <w:lvlJc w:val="left"/>
      <w:lvlText w:val="%1"/>
      <w:numFmt w:val="decimal"/>
      <w:start w:val="1"/>
    </w:lvl>
    <w:lvl w:ilvl="1">
      <w:lvlJc w:val="left"/>
      <w:lvlText w:val="(%2)"/>
      <w:numFmt w:val="lowerRoman"/>
      <w:start w:val="3"/>
    </w:lvl>
  </w:abstractNum>
  <w:abstractNum w:abstractNumId="16">
    <w:nsid w:val="436C6125"/>
    <w:multiLevelType w:val="hybridMultilevel"/>
    <w:lvl w:ilvl="0">
      <w:lvlJc w:val="left"/>
      <w:lvlText w:val="(%1)"/>
      <w:numFmt w:val="decimal"/>
      <w:start w:val="2"/>
    </w:lvl>
    <w:lvl w:ilvl="1">
      <w:lvlJc w:val="left"/>
      <w:lvlText w:val="(%2)"/>
      <w:numFmt w:val="lowerRoman"/>
      <w:start w:val="1"/>
    </w:lvl>
  </w:abstractNum>
  <w:abstractNum w:abstractNumId="17">
    <w:nsid w:val="628C895D"/>
    <w:multiLevelType w:val="hybridMultilevel"/>
    <w:lvl w:ilvl="0">
      <w:lvlJc w:val="left"/>
      <w:lvlText w:val="%1"/>
      <w:numFmt w:val="lowerLetter"/>
      <w:start w:val="1"/>
    </w:lvl>
    <w:lvl w:ilvl="1">
      <w:lvlJc w:val="left"/>
      <w:lvlText w:val="(%2)"/>
      <w:numFmt w:val="lowerRoman"/>
      <w:start w:val="2"/>
    </w:lvl>
  </w:abstractNum>
  <w:abstractNum w:abstractNumId="18">
    <w:nsid w:val="333AB105"/>
    <w:multiLevelType w:val="hybridMultilevel"/>
    <w:lvl w:ilvl="0">
      <w:lvlJc w:val="left"/>
      <w:lvlText w:val="(%1)"/>
      <w:numFmt w:val="lowerLetter"/>
      <w:start w:val="2"/>
    </w:lvl>
    <w:lvl w:ilvl="1">
      <w:lvlJc w:val="left"/>
      <w:lvlText w:val="%2"/>
      <w:numFmt w:val="lowerRoman"/>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2019-12-10T16:16:23Z</dcterms:created>
  <dcterms:modified xsi:type="dcterms:W3CDTF">2019-12-10T16:16:23Z</dcterms:modified>
</cp:coreProperties>
</file>