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15,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P10,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001-40937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87-2908160</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2699 Howell Street, Suite 1000, Dallas, Texas 75204</w:t>
      </w:r>
    </w:p>
    <w:p>
      <w:pPr>
        <w:spacing w:after="0" w:line="3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(214) 865-7998</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34"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5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or to be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05"/>
        </w:trPr>
        <w:tc>
          <w:tcPr>
            <w:tcW w:w="37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Class A Common Stock, $0.001 par value per share</w:t>
            </w:r>
          </w:p>
        </w:tc>
        <w:tc>
          <w:tcPr>
            <w:tcW w:w="120" w:type="dxa"/>
            <w:vAlign w:val="bottom"/>
          </w:tcPr>
          <w:p>
            <w:pPr>
              <w:spacing w:after="0"/>
              <w:rPr>
                <w:sz w:val="17"/>
                <w:szCs w:val="17"/>
                <w:color w:val="auto"/>
              </w:rPr>
            </w:pPr>
          </w:p>
        </w:tc>
        <w:tc>
          <w:tcPr>
            <w:tcW w:w="352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PX</w:t>
            </w:r>
          </w:p>
        </w:tc>
        <w:tc>
          <w:tcPr>
            <w:tcW w:w="100" w:type="dxa"/>
            <w:vAlign w:val="bottom"/>
          </w:tcPr>
          <w:p>
            <w:pPr>
              <w:spacing w:after="0"/>
              <w:rPr>
                <w:sz w:val="17"/>
                <w:szCs w:val="17"/>
                <w:color w:val="auto"/>
              </w:rPr>
            </w:pPr>
          </w:p>
        </w:tc>
        <w:tc>
          <w:tcPr>
            <w:tcW w:w="35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NYSE Texas</w:t>
            </w:r>
          </w:p>
        </w:tc>
        <w:tc>
          <w:tcPr>
            <w:tcW w:w="0" w:type="dxa"/>
            <w:vAlign w:val="bottom"/>
          </w:tcPr>
          <w:p>
            <w:pPr>
              <w:spacing w:after="0"/>
              <w:rPr>
                <w:sz w:val="1"/>
                <w:szCs w:val="1"/>
                <w:color w:val="auto"/>
              </w:rPr>
            </w:pPr>
          </w:p>
        </w:tc>
      </w:tr>
    </w:tbl>
    <w:p>
      <w:pPr>
        <w:spacing w:after="0" w:line="144"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876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2.03. Creation of a Direct Financial Obligation or an Obligation under an Off-Balance Sheet Arrangement of a Registrant.</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On September 15, 2025, P10, Inc. (the “Company”) and East West Bank (“EWB”) entered into an interest rate collar hedging transaction (the “Collar”) with a USD 3-month term SOFR floor of 2.310% (sold by the Company) and a cap of 4.250% (purchased by the Company), having a notional amount of $211,250,000, to manage the variable interest rate risk associated with the Company’s borrowings under its Amended and Restated Credit Agreement, dated as of August 1, 2024, among the Company, P10 Intermediate Holdings LLC, the other guarantors part thereto, the lenders party thereto (including EWB), and JPMorgan Chase Bank, N.A., as administrative agent and collateral agent.</w:t>
      </w:r>
    </w:p>
    <w:p>
      <w:pPr>
        <w:spacing w:after="0" w:line="183" w:lineRule="exact"/>
        <w:rPr>
          <w:sz w:val="20"/>
          <w:szCs w:val="20"/>
          <w:color w:val="auto"/>
        </w:rPr>
      </w:pPr>
    </w:p>
    <w:p>
      <w:pPr>
        <w:ind w:right="340" w:firstLine="440"/>
        <w:spacing w:after="0" w:line="312" w:lineRule="auto"/>
        <w:rPr>
          <w:sz w:val="20"/>
          <w:szCs w:val="20"/>
          <w:color w:val="auto"/>
        </w:rPr>
      </w:pPr>
      <w:r>
        <w:rPr>
          <w:rFonts w:ascii="Times New Roman" w:cs="Times New Roman" w:eastAsia="Times New Roman" w:hAnsi="Times New Roman"/>
          <w:sz w:val="17"/>
          <w:szCs w:val="17"/>
          <w:color w:val="auto"/>
        </w:rPr>
        <w:t>The Collar has an effective date of September 30, 2025 and a termination date of August 1, 2028, and was confirmed under an existing ISDA Master Agreement including the Schedule thereto and related documentation containing customary representations, warranties and covenants.</w:t>
      </w:r>
    </w:p>
    <w:p>
      <w:pPr>
        <w:sectPr>
          <w:pgSz w:w="11900" w:h="16838" w:orient="portrait"/>
          <w:cols w:equalWidth="0" w:num="1">
            <w:col w:w="10960"/>
          </w:cols>
          <w:pgMar w:left="440" w:top="293" w:right="49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P10, INC.</w:t>
      </w:r>
    </w:p>
    <w:p>
      <w:pPr>
        <w:spacing w:after="0" w:line="221"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September 18,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b w:val="1"/>
          <w:bCs w:val="1"/>
          <w:color w:val="auto"/>
        </w:rPr>
        <w:t>/s/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19685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Amanda Coussens</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0700"/>
      </w:cols>
      <w:pgMar w:left="440" w:top="293"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2025-09-19T05:20:18Z</dcterms:created>
  <dcterms:modified xsi:type="dcterms:W3CDTF">2025-09-19T05:20:18Z</dcterms:modified>
</cp:coreProperties>
</file>