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September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P10,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001-40937</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87-2908160</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71"/>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7"/>
              </w:rPr>
              <w:t>4514 Cole Avenue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1"/>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Suite 1600</w:t>
            </w:r>
          </w:p>
        </w:tc>
        <w:tc>
          <w:tcPr>
            <w:tcW w:w="3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7"/>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6"/>
              </w:rPr>
              <w:t>Dallas, Texas</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75205</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214 865-7998</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85"/>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Class A Common Stock, $0.001 par value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PX</w:t>
            </w: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New York Stock Exchange</w:t>
            </w: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Series A Junior Participating Preferred Stock Purchase Rights</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184"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3.02 Unregistered Sales of Equity Securities.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September 16, 2024, P10 Intermediate Holdings LLC, a Delaware limited liability company (“</w:t>
      </w:r>
      <w:r>
        <w:rPr>
          <w:rFonts w:ascii="Times New Roman" w:cs="Times New Roman" w:eastAsia="Times New Roman" w:hAnsi="Times New Roman"/>
          <w:sz w:val="16"/>
          <w:szCs w:val="16"/>
          <w:b w:val="1"/>
          <w:bCs w:val="1"/>
          <w:color w:val="auto"/>
        </w:rPr>
        <w:t>Buyer</w:t>
      </w:r>
      <w:r>
        <w:rPr>
          <w:rFonts w:ascii="Times New Roman" w:cs="Times New Roman" w:eastAsia="Times New Roman" w:hAnsi="Times New Roman"/>
          <w:sz w:val="16"/>
          <w:szCs w:val="16"/>
          <w:color w:val="auto"/>
        </w:rPr>
        <w:t>”) and a subsidiary of P10, Inc., a Delaware corporation (the</w:t>
      </w:r>
    </w:p>
    <w:p>
      <w:pPr>
        <w:spacing w:after="0" w:line="24"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entered into an equity purchase agreement (the “</w:t>
      </w:r>
      <w:r>
        <w:rPr>
          <w:rFonts w:ascii="Times New Roman" w:cs="Times New Roman" w:eastAsia="Times New Roman" w:hAnsi="Times New Roman"/>
          <w:sz w:val="16"/>
          <w:szCs w:val="16"/>
          <w:b w:val="1"/>
          <w:bCs w:val="1"/>
          <w:color w:val="auto"/>
        </w:rPr>
        <w:t>Purchase Agreement</w:t>
      </w:r>
      <w:r>
        <w:rPr>
          <w:rFonts w:ascii="Times New Roman" w:cs="Times New Roman" w:eastAsia="Times New Roman" w:hAnsi="Times New Roman"/>
          <w:sz w:val="16"/>
          <w:szCs w:val="16"/>
          <w:color w:val="auto"/>
        </w:rPr>
        <w:t>”) with Qualitas Equity Funds SGEIC, S.A. (“</w:t>
      </w:r>
      <w:r>
        <w:rPr>
          <w:rFonts w:ascii="Times New Roman" w:cs="Times New Roman" w:eastAsia="Times New Roman" w:hAnsi="Times New Roman"/>
          <w:sz w:val="16"/>
          <w:szCs w:val="16"/>
          <w:b w:val="1"/>
          <w:bCs w:val="1"/>
          <w:color w:val="auto"/>
        </w:rPr>
        <w:t>Qualitas Funds</w:t>
      </w:r>
      <w:r>
        <w:rPr>
          <w:rFonts w:ascii="Times New Roman" w:cs="Times New Roman" w:eastAsia="Times New Roman" w:hAnsi="Times New Roman"/>
          <w:sz w:val="16"/>
          <w:szCs w:val="16"/>
          <w:color w:val="auto"/>
        </w:rPr>
        <w:t>”), Qualitas Funds Holdco, S.L. (“</w:t>
      </w:r>
      <w:r>
        <w:rPr>
          <w:rFonts w:ascii="Times New Roman" w:cs="Times New Roman" w:eastAsia="Times New Roman" w:hAnsi="Times New Roman"/>
          <w:sz w:val="16"/>
          <w:szCs w:val="16"/>
          <w:b w:val="1"/>
          <w:bCs w:val="1"/>
          <w:color w:val="auto"/>
        </w:rPr>
        <w:t>Seller</w:t>
      </w:r>
      <w:r>
        <w:rPr>
          <w:rFonts w:ascii="Times New Roman" w:cs="Times New Roman" w:eastAsia="Times New Roman" w:hAnsi="Times New Roman"/>
          <w:sz w:val="16"/>
          <w:szCs w:val="16"/>
          <w:color w:val="auto"/>
        </w:rPr>
        <w:t>”), Sergio Garcia Huertas and Eric Todd Halverson, pursuant to which, subject to the satisfaction or waiver of specified conditions, Buyer would acquire all of the issued and outstanding equity interests of Qualitas Funds (the “</w:t>
      </w:r>
      <w:r>
        <w:rPr>
          <w:rFonts w:ascii="Times New Roman" w:cs="Times New Roman" w:eastAsia="Times New Roman" w:hAnsi="Times New Roman"/>
          <w:sz w:val="16"/>
          <w:szCs w:val="16"/>
          <w:b w:val="1"/>
          <w:bCs w:val="1"/>
          <w:color w:val="auto"/>
        </w:rPr>
        <w:t>Transaction</w:t>
      </w:r>
      <w:r>
        <w:rPr>
          <w:rFonts w:ascii="Times New Roman" w:cs="Times New Roman" w:eastAsia="Times New Roman" w:hAnsi="Times New Roman"/>
          <w:sz w:val="16"/>
          <w:szCs w:val="16"/>
          <w:color w:val="auto"/>
        </w:rPr>
        <w:t>”).</w:t>
      </w:r>
    </w:p>
    <w:p>
      <w:pPr>
        <w:spacing w:after="0" w:line="6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6"/>
          <w:szCs w:val="16"/>
          <w:color w:val="auto"/>
        </w:rPr>
        <w:t>The consideration payable to complete the Transaction consists of $42,250,000 in cash and a number of shares of Class A Common Stock, par value $0.001 per share (“</w:t>
      </w:r>
      <w:r>
        <w:rPr>
          <w:rFonts w:ascii="Times New Roman" w:cs="Times New Roman" w:eastAsia="Times New Roman" w:hAnsi="Times New Roman"/>
          <w:sz w:val="16"/>
          <w:szCs w:val="16"/>
          <w:b w:val="1"/>
          <w:bCs w:val="1"/>
          <w:color w:val="auto"/>
        </w:rPr>
        <w:t>Class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of the Company equal in value to $20,750,000. Of this amount of Class A Common Stock, $16,750,000 will be delivered at closing, with $4,000,000 being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a five-year holdback to cover certain indemnification obligations of the Seller during the holdback period. The number of shares of Class A Common Stock to be delivered was calculated based on the daily volume weighted averages of the Class A Common Stock for the 20 consecutive trading days ending on September 11, 2024 which was $10.03 per share. Based upon this share price calculation, the Company will deliver 1,669,990 shares of Class A Common Stock to the Seller on the Closing Date, and up to an additional 398,804 shares by the lapse of the holdback period, as partial consideration for the Transaction.</w:t>
      </w:r>
    </w:p>
    <w:p>
      <w:pPr>
        <w:spacing w:after="0" w:line="66"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5"/>
          <w:szCs w:val="15"/>
          <w:color w:val="auto"/>
        </w:rPr>
        <w:t>Up to an additional €31,738,000 in consideration (an “</w:t>
      </w:r>
      <w:r>
        <w:rPr>
          <w:rFonts w:ascii="Times New Roman" w:cs="Times New Roman" w:eastAsia="Times New Roman" w:hAnsi="Times New Roman"/>
          <w:sz w:val="15"/>
          <w:szCs w:val="15"/>
          <w:b w:val="1"/>
          <w:bCs w:val="1"/>
          <w:color w:val="auto"/>
        </w:rPr>
        <w:t>Earn-Out Payment</w:t>
      </w:r>
      <w:r>
        <w:rPr>
          <w:rFonts w:ascii="Times New Roman" w:cs="Times New Roman" w:eastAsia="Times New Roman" w:hAnsi="Times New Roman"/>
          <w:sz w:val="15"/>
          <w:szCs w:val="15"/>
          <w:color w:val="auto"/>
        </w:rPr>
        <w:t>”) may be payable based on the run-rate net revenue as of December 31, 2027 from new funds for Qualitas Funds raised after closing. Any Earn-Out Payment will be paid in a mix of cash and Class A Common Stock at Seller’s election, with no more than 65% payable in cash.</w:t>
      </w:r>
    </w:p>
    <w:p>
      <w:pPr>
        <w:spacing w:after="0" w:line="25"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All shares of Class A Common Stock to be delivered in connection with the Transaction will be placed pursuant to an exemption from registration under Section 4(a)(2) of the Securities Act of 1933, as amended.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Transaction is expected to close in the first quarter of 2025, subject to customary closing conditions.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620"/>
        <w:spacing w:after="0" w:line="276" w:lineRule="auto"/>
        <w:rPr>
          <w:sz w:val="20"/>
          <w:szCs w:val="20"/>
          <w:color w:val="auto"/>
        </w:rPr>
      </w:pPr>
      <w:r>
        <w:rPr>
          <w:rFonts w:ascii="Times New Roman" w:cs="Times New Roman" w:eastAsia="Times New Roman" w:hAnsi="Times New Roman"/>
          <w:sz w:val="16"/>
          <w:szCs w:val="16"/>
          <w:color w:val="auto"/>
        </w:rPr>
        <w:t xml:space="preserve">On September 17, 2024, the Company issued a press release announcing the execution of the Purchase Agreement. A copy of the press release issued by the Company is furnished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to this Current Report on Form 8-K.</w:t>
      </w:r>
    </w:p>
    <w:p>
      <w:pPr>
        <w:spacing w:after="0" w:line="50"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 xml:space="preserve">Additionally, on September 17, 2024, the Company posted an investor presentation to its website, a copy of which is furnished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Current Report on Form 8-K. The Company undertakes no obligation to update, supplement or amend the materials attached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 xml:space="preserve">The information in this Item 7.01 of this Current Report on Form 8-K, including </w:t>
      </w:r>
      <w:r>
        <w:rPr>
          <w:rFonts w:ascii="Times New Roman" w:cs="Times New Roman" w:eastAsia="Times New Roman" w:hAnsi="Times New Roman"/>
          <w:sz w:val="16"/>
          <w:szCs w:val="16"/>
          <w:u w:val="single" w:color="auto"/>
          <w:color w:val="auto"/>
        </w:rPr>
        <w:t>Exhibits 99.1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99.2</w:t>
      </w:r>
      <w:r>
        <w:rPr>
          <w:rFonts w:ascii="Times New Roman" w:cs="Times New Roman" w:eastAsia="Times New Roman" w:hAnsi="Times New Roman"/>
          <w:sz w:val="16"/>
          <w:szCs w:val="16"/>
          <w:color w:val="auto"/>
        </w:rPr>
        <w:t xml:space="preserve"> attached hereto, is being furnished and shall not be deemed “filed” for the purposes of Section 18of the Exchange,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Exhibit No.</w:t>
            </w: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170"/>
        </w:trPr>
        <w:tc>
          <w:tcPr>
            <w:tcW w:w="18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99.1</w:t>
            </w:r>
          </w:p>
        </w:tc>
        <w:tc>
          <w:tcPr>
            <w:tcW w:w="942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0000FF"/>
              </w:rPr>
              <w:t>Press Release, dated September 17, 2024</w:t>
            </w:r>
          </w:p>
        </w:tc>
      </w:tr>
      <w:tr>
        <w:trPr>
          <w:trHeight w:val="20"/>
        </w:trPr>
        <w:tc>
          <w:tcPr>
            <w:tcW w:w="1840" w:type="dxa"/>
            <w:vAlign w:val="bottom"/>
            <w:tcBorders>
              <w:right w:val="single" w:sz="8" w:color="0000EE"/>
            </w:tcBorders>
          </w:tcPr>
          <w:p>
            <w:pPr>
              <w:spacing w:after="0" w:line="20" w:lineRule="exact"/>
              <w:rPr>
                <w:sz w:val="1"/>
                <w:szCs w:val="1"/>
                <w:color w:val="auto"/>
              </w:rPr>
            </w:pPr>
          </w:p>
        </w:tc>
        <w:tc>
          <w:tcPr>
            <w:tcW w:w="258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181"/>
        </w:trPr>
        <w:tc>
          <w:tcPr>
            <w:tcW w:w="18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99.2</w:t>
            </w:r>
          </w:p>
        </w:tc>
        <w:tc>
          <w:tcPr>
            <w:tcW w:w="942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0000FF"/>
              </w:rPr>
              <w:t>Investor Presentation, dated September 17, 2024</w:t>
            </w:r>
          </w:p>
        </w:tc>
      </w:tr>
      <w:tr>
        <w:trPr>
          <w:trHeight w:val="20"/>
        </w:trPr>
        <w:tc>
          <w:tcPr>
            <w:tcW w:w="1840" w:type="dxa"/>
            <w:vAlign w:val="bottom"/>
            <w:tcBorders>
              <w:right w:val="single" w:sz="8" w:color="0000EE"/>
            </w:tcBorders>
          </w:tcPr>
          <w:p>
            <w:pPr>
              <w:spacing w:after="0" w:line="20" w:lineRule="exact"/>
              <w:rPr>
                <w:sz w:val="1"/>
                <w:szCs w:val="1"/>
                <w:color w:val="auto"/>
              </w:rPr>
            </w:pPr>
          </w:p>
        </w:tc>
        <w:tc>
          <w:tcPr>
            <w:tcW w:w="3060" w:type="dxa"/>
            <w:vAlign w:val="bottom"/>
            <w:tcBorders>
              <w:right w:val="single" w:sz="8" w:color="0000EE"/>
            </w:tcBorders>
            <w:gridSpan w:val="2"/>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17"/>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866"/>
        </w:trPr>
        <w:tc>
          <w:tcPr>
            <w:tcW w:w="18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P10,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September 17,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Amanda Coussens</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479425</wp:posOffset>
            </wp:positionV>
            <wp:extent cx="1006475" cy="473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479425</wp:posOffset>
            </wp:positionV>
            <wp:extent cx="1201420" cy="278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01420" cy="278130"/>
                    </a:xfrm>
                    <a:prstGeom prst="rect">
                      <a:avLst/>
                    </a:prstGeom>
                    <a:noFill/>
                  </pic:spPr>
                </pic:pic>
              </a:graphicData>
            </a:graphic>
          </wp:anchor>
        </w:drawing>
      </w:r>
    </w:p>
    <w:p>
      <w:pPr>
        <w:jc w:val="center"/>
        <w:ind w:right="-19"/>
        <w:spacing w:after="0"/>
        <w:rPr>
          <w:sz w:val="20"/>
          <w:szCs w:val="20"/>
          <w:color w:val="auto"/>
        </w:rPr>
      </w:pPr>
      <w:r>
        <w:rPr>
          <w:rFonts w:ascii="Calibri" w:cs="Calibri" w:eastAsia="Calibri" w:hAnsi="Calibri"/>
          <w:sz w:val="19"/>
          <w:szCs w:val="19"/>
          <w:b w:val="1"/>
          <w:bCs w:val="1"/>
          <w:color w:val="2F2F45"/>
        </w:rPr>
        <w:t>P10 Announces Agreement to Acquire Qualitas Funds, a Leading European Lower-Middle Market</w:t>
      </w:r>
    </w:p>
    <w:p>
      <w:pPr>
        <w:spacing w:after="0" w:line="5"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b w:val="1"/>
          <w:bCs w:val="1"/>
          <w:color w:val="2F2F45"/>
        </w:rPr>
        <w:t>Alternatve Investment Solutons Provider</w:t>
      </w:r>
    </w:p>
    <w:p>
      <w:pPr>
        <w:spacing w:after="0" w:line="241"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i w:val="1"/>
          <w:iCs w:val="1"/>
          <w:color w:val="2F2F45"/>
        </w:rPr>
        <w:t xml:space="preserve">Establishes European presence and will add approximately </w:t>
      </w:r>
      <w:r>
        <w:rPr>
          <w:rFonts w:ascii="Calibri" w:cs="Calibri" w:eastAsia="Calibri" w:hAnsi="Calibri"/>
          <w:sz w:val="19"/>
          <w:szCs w:val="19"/>
          <w:color w:val="2F2F45"/>
        </w:rPr>
        <w:t>$</w:t>
      </w:r>
      <w:r>
        <w:rPr>
          <w:rFonts w:ascii="Calibri" w:cs="Calibri" w:eastAsia="Calibri" w:hAnsi="Calibri"/>
          <w:sz w:val="19"/>
          <w:szCs w:val="19"/>
          <w:i w:val="1"/>
          <w:iCs w:val="1"/>
          <w:color w:val="2F2F45"/>
        </w:rPr>
        <w:t>1 billion in fee-paying assets under management</w:t>
      </w:r>
    </w:p>
    <w:p>
      <w:pPr>
        <w:spacing w:after="0" w:line="241"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i w:val="1"/>
          <w:iCs w:val="1"/>
          <w:color w:val="2F2F45"/>
        </w:rPr>
        <w:t>Expands P10’s global client base by over 1,300 LPs</w:t>
      </w:r>
    </w:p>
    <w:p>
      <w:pPr>
        <w:spacing w:after="0" w:line="241"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i w:val="1"/>
          <w:iCs w:val="1"/>
          <w:color w:val="2F2F45"/>
        </w:rPr>
        <w:t>Expected to be modestly accretve to fully-taxed ANI per share in 2025</w:t>
      </w:r>
    </w:p>
    <w:p>
      <w:pPr>
        <w:spacing w:after="0" w:line="247" w:lineRule="exact"/>
        <w:rPr>
          <w:sz w:val="20"/>
          <w:szCs w:val="20"/>
          <w:color w:val="auto"/>
        </w:rPr>
      </w:pPr>
    </w:p>
    <w:p>
      <w:pPr>
        <w:ind w:right="220"/>
        <w:spacing w:after="0" w:line="241" w:lineRule="auto"/>
        <w:rPr>
          <w:sz w:val="20"/>
          <w:szCs w:val="20"/>
          <w:color w:val="auto"/>
        </w:rPr>
      </w:pPr>
      <w:r>
        <w:rPr>
          <w:rFonts w:ascii="Calibri" w:cs="Calibri" w:eastAsia="Calibri" w:hAnsi="Calibri"/>
          <w:sz w:val="19"/>
          <w:szCs w:val="19"/>
          <w:color w:val="2F2F45"/>
        </w:rPr>
        <w:t xml:space="preserve">DALLAS, September 17, 2024 (GLOBE NEWSWIRE) - </w:t>
      </w:r>
      <w:r>
        <w:rPr>
          <w:rFonts w:ascii="Calibri" w:cs="Calibri" w:eastAsia="Calibri" w:hAnsi="Calibri"/>
          <w:sz w:val="19"/>
          <w:szCs w:val="19"/>
          <w:color w:val="000000"/>
        </w:rPr>
        <w:t>P10, Inc.</w:t>
      </w:r>
      <w:r>
        <w:rPr>
          <w:rFonts w:ascii="Calibri" w:cs="Calibri" w:eastAsia="Calibri" w:hAnsi="Calibri"/>
          <w:sz w:val="19"/>
          <w:szCs w:val="19"/>
          <w:color w:val="2F2F45"/>
        </w:rPr>
        <w:t xml:space="preserve"> (NYSE: PX) (“P10” or the “Company”), a leading private markets solutons provider, today announced that it has entered into a defnitve agreement to acquire Qualitas Equity Funds SGEIC, S.A. (“Qualitas Funds”) for an inital purchase price of $63 million with the potental for additonal earnout consideraton.</w:t>
      </w:r>
    </w:p>
    <w:p>
      <w:pPr>
        <w:spacing w:after="0" w:line="247" w:lineRule="exact"/>
        <w:rPr>
          <w:sz w:val="20"/>
          <w:szCs w:val="20"/>
          <w:color w:val="auto"/>
        </w:rPr>
      </w:pPr>
    </w:p>
    <w:p>
      <w:pPr>
        <w:ind w:right="140"/>
        <w:spacing w:after="0" w:line="242" w:lineRule="auto"/>
        <w:rPr>
          <w:sz w:val="20"/>
          <w:szCs w:val="20"/>
          <w:color w:val="auto"/>
        </w:rPr>
      </w:pPr>
      <w:r>
        <w:rPr>
          <w:rFonts w:ascii="Calibri" w:cs="Calibri" w:eastAsia="Calibri" w:hAnsi="Calibri"/>
          <w:sz w:val="19"/>
          <w:szCs w:val="19"/>
          <w:color w:val="2F2F45"/>
        </w:rPr>
        <w:t>Qualitas Funds is a Madrid-based private equity investng platorm that provides fund-of-funds, direct co-investng and NAV fnancing opportunites in the European lower-middle market to more than 1,300 limited partners across the ultra-high-net-worth (UHNW), family ofce, and insttutonal channels. The frm has approximately $1 billion in fee-paying assets under management (FPAUM) and a strong expected growth trajectory. The frm was founded in 2014 and is wholly owned by co-founders and co-managing partners, Eric Halverson and Sergio Garcia.</w:t>
      </w:r>
    </w:p>
    <w:p>
      <w:pPr>
        <w:spacing w:after="0" w:line="247" w:lineRule="exact"/>
        <w:rPr>
          <w:sz w:val="20"/>
          <w:szCs w:val="20"/>
          <w:color w:val="auto"/>
        </w:rPr>
      </w:pPr>
    </w:p>
    <w:p>
      <w:pPr>
        <w:ind w:right="60"/>
        <w:spacing w:after="0" w:line="243" w:lineRule="auto"/>
        <w:rPr>
          <w:sz w:val="20"/>
          <w:szCs w:val="20"/>
          <w:color w:val="auto"/>
        </w:rPr>
      </w:pPr>
      <w:r>
        <w:rPr>
          <w:rFonts w:ascii="Calibri" w:cs="Calibri" w:eastAsia="Calibri" w:hAnsi="Calibri"/>
          <w:sz w:val="19"/>
          <w:szCs w:val="19"/>
          <w:color w:val="2F2F45"/>
        </w:rPr>
        <w:t>“The Qualitas Funds acquisiton establishes a European presence and meaningfully grows P10’s investor base, positoning us as a leading global, mult-strategy private markets frm focused on the middle and lower-middle markets,” said Luke Sarsfeld, P10 Chairman and Chief Executve Ofcer. “Eric, Sergio, and their talented team have built an incredible frm with strong performance and a loyal investor base. Our strategy leaders have known and worked alongside the Qualitas Funds team for over a decade. They share our client-centric culture and dedicaton to serving clients with elite, access constrained investment opportunites in the middle and lower-middle markets.”</w:t>
      </w:r>
    </w:p>
    <w:p>
      <w:pPr>
        <w:spacing w:after="0" w:line="245" w:lineRule="exact"/>
        <w:rPr>
          <w:sz w:val="20"/>
          <w:szCs w:val="20"/>
          <w:color w:val="auto"/>
        </w:rPr>
      </w:pPr>
    </w:p>
    <w:p>
      <w:pPr>
        <w:spacing w:after="0" w:line="243" w:lineRule="auto"/>
        <w:rPr>
          <w:sz w:val="20"/>
          <w:szCs w:val="20"/>
          <w:color w:val="auto"/>
        </w:rPr>
      </w:pPr>
      <w:r>
        <w:rPr>
          <w:rFonts w:ascii="Calibri" w:cs="Calibri" w:eastAsia="Calibri" w:hAnsi="Calibri"/>
          <w:sz w:val="19"/>
          <w:szCs w:val="19"/>
          <w:color w:val="2F2F45"/>
        </w:rPr>
        <w:t>“We are thrilled to join P10’s diversifed private markets ecosystem,” said Halverson and Garcia. “Luke and his team are building the preeminent global middle and lower-middle market private markets frm, and we look forward to working closely with them to generate accelerated growth and deliver contnued value for our clients. Specifcally, this transacton strengthens our existng relatonships with RCP Advisors and Hark Capital as we seek to launch additonal strategies and vehicles that meet the demands of global investors seeking to access a full range of opportunites in the middle and lower-middle markets.”</w:t>
      </w:r>
    </w:p>
    <w:p>
      <w:pPr>
        <w:spacing w:after="0" w:line="23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Transacton Overview</w:t>
      </w:r>
    </w:p>
    <w:p>
      <w:pPr>
        <w:spacing w:after="0" w:line="11" w:lineRule="exact"/>
        <w:rPr>
          <w:sz w:val="20"/>
          <w:szCs w:val="20"/>
          <w:color w:val="auto"/>
        </w:rPr>
      </w:pPr>
    </w:p>
    <w:p>
      <w:pPr>
        <w:ind w:right="640"/>
        <w:spacing w:after="0" w:line="239" w:lineRule="auto"/>
        <w:rPr>
          <w:sz w:val="20"/>
          <w:szCs w:val="20"/>
          <w:color w:val="auto"/>
        </w:rPr>
      </w:pPr>
      <w:r>
        <w:rPr>
          <w:rFonts w:ascii="Calibri" w:cs="Calibri" w:eastAsia="Calibri" w:hAnsi="Calibri"/>
          <w:sz w:val="19"/>
          <w:szCs w:val="19"/>
          <w:color w:val="2F2F45"/>
        </w:rPr>
        <w:t>P10 has agreed to acquire 100% of the issued and outstanding equity interests of Qualitas Funds and 100% of its fee-related earnings. The transacton does not include any carried interest for legacy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784225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276860</wp:posOffset>
            </wp:positionV>
            <wp:extent cx="1006475" cy="473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100"/>
        <w:spacing w:after="0" w:line="242" w:lineRule="auto"/>
        <w:rPr>
          <w:sz w:val="20"/>
          <w:szCs w:val="20"/>
          <w:color w:val="auto"/>
        </w:rPr>
      </w:pPr>
      <w:r>
        <w:rPr>
          <w:rFonts w:ascii="Calibri" w:cs="Calibri" w:eastAsia="Calibri" w:hAnsi="Calibri"/>
          <w:sz w:val="19"/>
          <w:szCs w:val="19"/>
          <w:color w:val="2F2F45"/>
        </w:rPr>
        <w:t>The inital consideraton of $63 million is composed of $42.25 million in cash and $20.75 million in P10 stock. The stock consideraton is subject to a three-year lock-up period. Additonally, up to $35 million in earnout consideraton may be payable based on the revenue associated with new funds Qualitas Funds raises afer closing through December 31, 2027. The earnout consideraton will be a mix of cash and P10 stock at the seller’s electon, with no more than 65% payable in cash.</w:t>
      </w:r>
    </w:p>
    <w:p>
      <w:pPr>
        <w:spacing w:after="0" w:line="247" w:lineRule="exact"/>
        <w:rPr>
          <w:sz w:val="20"/>
          <w:szCs w:val="20"/>
          <w:color w:val="auto"/>
        </w:rPr>
      </w:pPr>
    </w:p>
    <w:p>
      <w:pPr>
        <w:ind w:right="640"/>
        <w:spacing w:after="0" w:line="265" w:lineRule="auto"/>
        <w:rPr>
          <w:sz w:val="20"/>
          <w:szCs w:val="20"/>
          <w:color w:val="auto"/>
        </w:rPr>
      </w:pPr>
      <w:r>
        <w:rPr>
          <w:rFonts w:ascii="Calibri" w:cs="Calibri" w:eastAsia="Calibri" w:hAnsi="Calibri"/>
          <w:sz w:val="18"/>
          <w:szCs w:val="18"/>
          <w:color w:val="2F2F45"/>
        </w:rPr>
        <w:t>Qualitas Funds will contnue to be managed by its current managing partners who will retain control of its day-to-day operatons, including investment and investment commitee processes, and there are employment agreements with each managing partner being put in place.</w:t>
      </w:r>
    </w:p>
    <w:p>
      <w:pPr>
        <w:spacing w:after="0" w:line="224" w:lineRule="exact"/>
        <w:rPr>
          <w:sz w:val="20"/>
          <w:szCs w:val="20"/>
          <w:color w:val="auto"/>
        </w:rPr>
      </w:pPr>
    </w:p>
    <w:p>
      <w:pPr>
        <w:jc w:val="both"/>
        <w:ind w:right="580"/>
        <w:spacing w:after="0" w:line="241" w:lineRule="auto"/>
        <w:rPr>
          <w:sz w:val="20"/>
          <w:szCs w:val="20"/>
          <w:color w:val="auto"/>
        </w:rPr>
      </w:pPr>
      <w:r>
        <w:rPr>
          <w:rFonts w:ascii="Calibri" w:cs="Calibri" w:eastAsia="Calibri" w:hAnsi="Calibri"/>
          <w:sz w:val="19"/>
          <w:szCs w:val="19"/>
          <w:color w:val="2F2F45"/>
        </w:rPr>
        <w:t>The transacton is expected to close in the frst quarter of 2025, subject to customary closing conditons and regulatory approvals, including Spanish regulatory approval. For more informaton on the transacton, please visit the investor relatons secton of P10’s website, where an investor presentaton is available, or access the Company’s flings on the SEC website.</w:t>
      </w:r>
    </w:p>
    <w:p>
      <w:pPr>
        <w:spacing w:after="0" w:line="247" w:lineRule="exact"/>
        <w:rPr>
          <w:sz w:val="20"/>
          <w:szCs w:val="20"/>
          <w:color w:val="auto"/>
        </w:rPr>
      </w:pPr>
    </w:p>
    <w:p>
      <w:pPr>
        <w:ind w:right="220"/>
        <w:spacing w:after="0" w:line="239" w:lineRule="auto"/>
        <w:rPr>
          <w:sz w:val="20"/>
          <w:szCs w:val="20"/>
          <w:color w:val="auto"/>
        </w:rPr>
      </w:pPr>
      <w:r>
        <w:rPr>
          <w:rFonts w:ascii="Calibri" w:cs="Calibri" w:eastAsia="Calibri" w:hAnsi="Calibri"/>
          <w:sz w:val="19"/>
          <w:szCs w:val="19"/>
          <w:color w:val="2F2F45"/>
        </w:rPr>
        <w:t>Kirkland &amp; Ellis LLP and Pérez-Llorca Abogados, S.L.P. are serving as legal advisors to P10. Cuatrecasas, Gonçalves Pereira, S.L.P. is serving as legal advisor to Qualitas Funds.</w:t>
      </w:r>
    </w:p>
    <w:p>
      <w:pPr>
        <w:spacing w:after="0" w:line="24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About P10</w:t>
      </w:r>
    </w:p>
    <w:p>
      <w:pPr>
        <w:spacing w:after="0" w:line="11" w:lineRule="exact"/>
        <w:rPr>
          <w:sz w:val="20"/>
          <w:szCs w:val="20"/>
          <w:color w:val="auto"/>
        </w:rPr>
      </w:pPr>
    </w:p>
    <w:p>
      <w:pPr>
        <w:ind w:right="100"/>
        <w:spacing w:after="0" w:line="242" w:lineRule="auto"/>
        <w:rPr>
          <w:sz w:val="20"/>
          <w:szCs w:val="20"/>
          <w:color w:val="auto"/>
        </w:rPr>
      </w:pPr>
      <w:r>
        <w:rPr>
          <w:rFonts w:ascii="Calibri" w:cs="Calibri" w:eastAsia="Calibri" w:hAnsi="Calibri"/>
          <w:sz w:val="19"/>
          <w:szCs w:val="19"/>
          <w:color w:val="302C45"/>
        </w:rPr>
        <w:t xml:space="preserve">P10 is a leading mult-asset class private markets solutons provider in the alternatve asset management industry. P10’s mission is to provide its investors diferentated access to a broad set of investment solutons that address their diverse investment needs within private markets. As of June 30, 2024, P10 has a global investor base of more than 3,700 investors across 50 states, 60 countries, and six contnents, which includes some of the world’s largest pension funds, endowments, foundatons, corporate pensions, and fnancial insttutons. Visit </w:t>
      </w:r>
      <w:r>
        <w:rPr>
          <w:rFonts w:ascii="Calibri" w:cs="Calibri" w:eastAsia="Calibri" w:hAnsi="Calibri"/>
          <w:sz w:val="19"/>
          <w:szCs w:val="19"/>
          <w:color w:val="000000"/>
        </w:rPr>
        <w:t>www.p10alts.com</w:t>
      </w:r>
      <w:r>
        <w:rPr>
          <w:rFonts w:ascii="Calibri" w:cs="Calibri" w:eastAsia="Calibri" w:hAnsi="Calibri"/>
          <w:sz w:val="19"/>
          <w:szCs w:val="19"/>
          <w:color w:val="302C45"/>
        </w:rPr>
        <w:t>.</w:t>
      </w:r>
    </w:p>
    <w:p>
      <w:pPr>
        <w:spacing w:after="0" w:line="24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About Qualitas Funds</w:t>
      </w:r>
    </w:p>
    <w:p>
      <w:pPr>
        <w:spacing w:after="0" w:line="11" w:lineRule="exact"/>
        <w:rPr>
          <w:sz w:val="20"/>
          <w:szCs w:val="20"/>
          <w:color w:val="auto"/>
        </w:rPr>
      </w:pPr>
    </w:p>
    <w:p>
      <w:pPr>
        <w:spacing w:after="0" w:line="241" w:lineRule="auto"/>
        <w:rPr>
          <w:sz w:val="20"/>
          <w:szCs w:val="20"/>
          <w:color w:val="auto"/>
        </w:rPr>
      </w:pPr>
      <w:r>
        <w:rPr>
          <w:rFonts w:ascii="Calibri" w:cs="Calibri" w:eastAsia="Calibri" w:hAnsi="Calibri"/>
          <w:sz w:val="19"/>
          <w:szCs w:val="19"/>
          <w:color w:val="2F2F45"/>
        </w:rPr>
        <w:t xml:space="preserve">Qualitas Funds is a Madrid-based private markets investng platorm that provides fund-of-funds and direct co-investng opportunites in the lower-middle market to more than 1,300 limited partners across the UHNW, family ofce, and insttutonal channels. </w:t>
      </w:r>
      <w:r>
        <w:rPr>
          <w:rFonts w:ascii="Calibri" w:cs="Calibri" w:eastAsia="Calibri" w:hAnsi="Calibri"/>
          <w:sz w:val="19"/>
          <w:szCs w:val="19"/>
          <w:color w:val="302C45"/>
        </w:rPr>
        <w:t>As of June 30, 2024, t</w:t>
      </w:r>
      <w:r>
        <w:rPr>
          <w:rFonts w:ascii="Calibri" w:cs="Calibri" w:eastAsia="Calibri" w:hAnsi="Calibri"/>
          <w:sz w:val="19"/>
          <w:szCs w:val="19"/>
          <w:color w:val="2F2F45"/>
        </w:rPr>
        <w:t xml:space="preserve">he frm has approximately $1 billion in fee-paying assets under management. Visit </w:t>
      </w:r>
      <w:r>
        <w:rPr>
          <w:rFonts w:ascii="Calibri" w:cs="Calibri" w:eastAsia="Calibri" w:hAnsi="Calibri"/>
          <w:sz w:val="19"/>
          <w:szCs w:val="19"/>
          <w:color w:val="000000"/>
        </w:rPr>
        <w:t>www.qualitasfunds.com</w:t>
      </w:r>
      <w:r>
        <w:rPr>
          <w:rFonts w:ascii="Calibri" w:cs="Calibri" w:eastAsia="Calibri" w:hAnsi="Calibri"/>
          <w:sz w:val="19"/>
          <w:szCs w:val="19"/>
          <w:color w:val="2F2F45"/>
        </w:rPr>
        <w:t>.</w:t>
      </w:r>
    </w:p>
    <w:p>
      <w:pPr>
        <w:spacing w:after="0" w:line="24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P10 Investor Contact:</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0563C1"/>
        </w:rPr>
        <w:t>info@p10alts.com</w:t>
      </w:r>
    </w:p>
    <w:p>
      <w:pPr>
        <w:spacing w:after="0" w:line="24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P10 Media Contact:</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2F2F45"/>
        </w:rPr>
        <w:t>Taylor Donahue</w:t>
      </w:r>
    </w:p>
    <w:p>
      <w:pPr>
        <w:spacing w:after="0" w:line="20" w:lineRule="exact"/>
        <w:rPr>
          <w:sz w:val="20"/>
          <w:szCs w:val="20"/>
          <w:color w:val="auto"/>
        </w:rPr>
      </w:pPr>
    </w:p>
    <w:p>
      <w:pPr>
        <w:spacing w:after="0"/>
        <w:rPr>
          <w:sz w:val="20"/>
          <w:szCs w:val="20"/>
          <w:color w:val="auto"/>
        </w:rPr>
      </w:pPr>
      <w:r>
        <w:rPr>
          <w:rFonts w:ascii="Verdana" w:cs="Verdana" w:eastAsia="Verdana" w:hAnsi="Verdana"/>
          <w:sz w:val="16"/>
          <w:szCs w:val="16"/>
          <w:color w:val="0563C1"/>
        </w:rPr>
        <w:t>pro-p10@prosek.com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1188720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276860</wp:posOffset>
            </wp:positionV>
            <wp:extent cx="1006475" cy="473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Forward-Looking Statements</w:t>
      </w:r>
    </w:p>
    <w:p>
      <w:pPr>
        <w:spacing w:after="0" w:line="11" w:lineRule="exact"/>
        <w:rPr>
          <w:sz w:val="20"/>
          <w:szCs w:val="20"/>
          <w:color w:val="auto"/>
        </w:rPr>
      </w:pPr>
    </w:p>
    <w:p>
      <w:pPr>
        <w:spacing w:after="0" w:line="244" w:lineRule="auto"/>
        <w:rPr>
          <w:sz w:val="20"/>
          <w:szCs w:val="20"/>
          <w:color w:val="auto"/>
        </w:rPr>
      </w:pPr>
      <w:r>
        <w:rPr>
          <w:rFonts w:ascii="Calibri" w:cs="Calibri" w:eastAsia="Calibri" w:hAnsi="Calibri"/>
          <w:sz w:val="19"/>
          <w:szCs w:val="19"/>
          <w:color w:val="2F2F45"/>
        </w:rPr>
        <w:t>Some of the statements in this release may consttute “forward-looking statements” within the meaning of Secton 27A of the Securites Act of 1933, Secton 21E of the Securites Exchange Act of 1934 and the Private Securites Litgaton Reform Act of 1995. Words such as “will,” “expect,” “believe,” “estmate,” “contnue,” “antcipate,” “intend,” “plan” and similar expressions are intended to identfy these forward-looking statements. Forward-looking statements discuss management’s current expectatons and projectons relatng to our fnancial positon, results of operatons, plans, objectves, future performance, and business. The inclusion of any forward-looking informaton in this release should not be regarded as a representaton that the future plans, estmates, or expectatons contemplated will be achieved. Forward-looking statements refect management’s current plans, estmates, and expectatons, and are inherently uncertain. All forward-looking statements are subject to known and unknown risks, uncertaintes, assumptons and other important factors that may cause actual results to be materially diferent; global and domestc market and business conditons; successful executon of business and growth strategies and regulatory factors relevant to our business; changes in our tax status; our ability to maintain our fee structure; our ability to atract and retain key employees; our ability to manage our obligatons under our debt agreements; our ability to make acquisitons and successfully integrate the businesses we acquire; assumptons relatng to our operatons, fnancial results, fnancial conditon, business prospects and growth strategy; and our ability to manage the efects of events outside of our control. The foregoing list of factors is not exhaustve. For more informaton regarding these risks and uncertaintes as well as additonal risks that we face, you should refer to the “Risk Factors” included in our annual report on Form 10-K for the year ended December 31, 2023, fled with the U.S. Securites and Exchange Commission (“SEC”) on March 13, 2024, and in our subsequent reports fled from tme to tme with the SEC. The forward-looking statements included in this release are made only as of the date hereof. We undertake no obligaton to update or revise any forward-looking statement as a result of new informaton or future events, except as otherwise required by law.</w:t>
      </w:r>
    </w:p>
    <w:p>
      <w:pPr>
        <w:spacing w:after="0" w:line="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Key Financial &amp; Operatng Metrics</w:t>
      </w:r>
    </w:p>
    <w:p>
      <w:pPr>
        <w:spacing w:after="0" w:line="11" w:lineRule="exact"/>
        <w:rPr>
          <w:sz w:val="20"/>
          <w:szCs w:val="20"/>
          <w:color w:val="auto"/>
        </w:rPr>
      </w:pPr>
    </w:p>
    <w:p>
      <w:pPr>
        <w:ind w:right="160"/>
        <w:spacing w:after="0" w:line="241" w:lineRule="auto"/>
        <w:rPr>
          <w:sz w:val="20"/>
          <w:szCs w:val="20"/>
          <w:color w:val="auto"/>
        </w:rPr>
      </w:pPr>
      <w:r>
        <w:rPr>
          <w:rFonts w:ascii="Calibri" w:cs="Calibri" w:eastAsia="Calibri" w:hAnsi="Calibri"/>
          <w:sz w:val="19"/>
          <w:szCs w:val="19"/>
          <w:color w:val="2F2F45"/>
        </w:rPr>
        <w:t>Fee-paying assets under management refects the assets from which we earn management and advisory fees. Our vehicles typically earn management and advisory fees based on commited capital, and in certain cases, net invested capital, depending on the fee terms. Management and advisory fees based on commited capital are not afected by market appreciaton or depreciaton.</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Ownership Limitatons</w:t>
      </w:r>
    </w:p>
    <w:p>
      <w:pPr>
        <w:spacing w:after="0" w:line="11" w:lineRule="exact"/>
        <w:rPr>
          <w:sz w:val="20"/>
          <w:szCs w:val="20"/>
          <w:color w:val="auto"/>
        </w:rPr>
      </w:pPr>
    </w:p>
    <w:p>
      <w:pPr>
        <w:ind w:right="780"/>
        <w:spacing w:after="0" w:line="241" w:lineRule="auto"/>
        <w:rPr>
          <w:sz w:val="20"/>
          <w:szCs w:val="20"/>
          <w:color w:val="auto"/>
        </w:rPr>
      </w:pPr>
      <w:r>
        <w:rPr>
          <w:rFonts w:ascii="Calibri" w:cs="Calibri" w:eastAsia="Calibri" w:hAnsi="Calibri"/>
          <w:sz w:val="19"/>
          <w:szCs w:val="19"/>
          <w:color w:val="2F2F45"/>
        </w:rPr>
        <w:t>P10’s Certfcate of Incorporaton contains certain provisions for the protecton of tax benefts relatng to P10’s net operatng losses. Such provisions generally void transfers of shares that would result in the creaton of a new 4.99% shareholder or result in an existng 4.99% shareholder acquiring additonal shares of P10.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904240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2024-09-17T07:12:11Z</dcterms:created>
  <dcterms:modified xsi:type="dcterms:W3CDTF">2024-09-17T07:12:11Z</dcterms:modified>
</cp:coreProperties>
</file>