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October 27, 2009</w:t>
      </w:r>
    </w:p>
    <w:p>
      <w:pPr>
        <w:spacing w:after="0" w:line="15"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333-161608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900" w:orient="portrait"/>
          <w:cols w:equalWidth="0" w:num="1">
            <w:col w:w="11420"/>
          </w:cols>
          <w:pgMar w:left="240" w:top="230" w:right="239" w:bottom="0" w:gutter="0" w:footer="0" w:header="0"/>
        </w:sectPr>
      </w:pPr>
    </w:p>
    <w:p>
      <w:pPr>
        <w:spacing w:after="0" w:line="273"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56" w:lineRule="exact"/>
        <w:rPr>
          <w:sz w:val="24"/>
          <w:szCs w:val="24"/>
          <w:color w:val="auto"/>
        </w:rPr>
      </w:pPr>
    </w:p>
    <w:p>
      <w:pPr>
        <w:sectPr>
          <w:pgSz w:w="11900" w:h="16900" w:orient="portrait"/>
          <w:cols w:equalWidth="0" w:num="2">
            <w:col w:w="7540" w:space="720"/>
            <w:col w:w="3160"/>
          </w:cols>
          <w:pgMar w:left="240" w:top="230" w:right="239" w:bottom="0"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900" w:orient="portrait"/>
          <w:cols w:equalWidth="0" w:num="2">
            <w:col w:w="6800" w:space="720"/>
            <w:col w:w="3900"/>
          </w:cols>
          <w:pgMar w:left="240" w:top="23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2128 W. Braker Lane, BK 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00"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20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1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9"/>
        </w:trPr>
        <w:tc>
          <w:tcPr>
            <w:tcW w:w="1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40" w:type="dxa"/>
            <w:vAlign w:val="bottom"/>
            <w:gridSpan w:val="5"/>
          </w:tcPr>
          <w:p>
            <w:pPr>
              <w:ind w:left="320"/>
              <w:spacing w:after="0"/>
              <w:rPr>
                <w:sz w:val="20"/>
                <w:szCs w:val="20"/>
                <w:color w:val="auto"/>
              </w:rPr>
            </w:pPr>
            <w:r>
              <w:rPr>
                <w:rFonts w:ascii="Arial" w:cs="Arial" w:eastAsia="Arial" w:hAnsi="Arial"/>
                <w:sz w:val="18"/>
                <w:szCs w:val="18"/>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3"/>
        </w:trPr>
        <w:tc>
          <w:tcPr>
            <w:tcW w:w="38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r>
      <w:tr>
        <w:trPr>
          <w:trHeight w:val="20"/>
        </w:trPr>
        <w:tc>
          <w:tcPr>
            <w:tcW w:w="38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6"/>
        </w:trPr>
        <w:tc>
          <w:tcPr>
            <w:tcW w:w="3820" w:type="dxa"/>
            <w:vAlign w:val="bottom"/>
            <w:gridSpan w:val="2"/>
          </w:tcPr>
          <w:p>
            <w:pPr>
              <w:jc w:val="center"/>
              <w:ind w:left="1141"/>
              <w:spacing w:after="0" w:line="117" w:lineRule="exact"/>
              <w:rPr>
                <w:sz w:val="20"/>
                <w:szCs w:val="20"/>
                <w:color w:val="auto"/>
              </w:rPr>
            </w:pPr>
            <w:r>
              <w:rPr>
                <w:rFonts w:ascii="Arial" w:cs="Arial" w:eastAsia="Arial" w:hAnsi="Arial"/>
                <w:sz w:val="12"/>
                <w:szCs w:val="12"/>
                <w:b w:val="1"/>
                <w:bCs w:val="1"/>
                <w:color w:val="auto"/>
                <w:w w:val="99"/>
              </w:rPr>
              <w:t>Title of Each Class of Securities to</w:t>
            </w:r>
          </w:p>
        </w:tc>
        <w:tc>
          <w:tcPr>
            <w:tcW w:w="7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ind w:left="440"/>
              <w:spacing w:after="0" w:line="117" w:lineRule="exact"/>
              <w:rPr>
                <w:sz w:val="20"/>
                <w:szCs w:val="20"/>
                <w:color w:val="auto"/>
              </w:rPr>
            </w:pPr>
            <w:r>
              <w:rPr>
                <w:rFonts w:ascii="Arial" w:cs="Arial" w:eastAsia="Arial" w:hAnsi="Arial"/>
                <w:sz w:val="12"/>
                <w:szCs w:val="12"/>
                <w:b w:val="1"/>
                <w:bCs w:val="1"/>
                <w:color w:val="auto"/>
              </w:rPr>
              <w:t>Amount to be</w:t>
            </w: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95"/>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4"/>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0"/>
                <w:szCs w:val="10"/>
                <w:color w:val="auto"/>
              </w:rPr>
            </w:pPr>
          </w:p>
        </w:tc>
      </w:tr>
      <w:tr>
        <w:trPr>
          <w:trHeight w:val="174"/>
        </w:trPr>
        <w:tc>
          <w:tcPr>
            <w:tcW w:w="1760" w:type="dxa"/>
            <w:vAlign w:val="bottom"/>
          </w:tcPr>
          <w:p>
            <w:pPr>
              <w:spacing w:after="0"/>
              <w:rPr>
                <w:sz w:val="15"/>
                <w:szCs w:val="15"/>
                <w:color w:val="auto"/>
              </w:rPr>
            </w:pPr>
          </w:p>
        </w:tc>
        <w:tc>
          <w:tcPr>
            <w:tcW w:w="2060" w:type="dxa"/>
            <w:vAlign w:val="bottom"/>
          </w:tcPr>
          <w:p>
            <w:pPr>
              <w:jc w:val="center"/>
              <w:ind w:right="459"/>
              <w:spacing w:after="0"/>
              <w:rPr>
                <w:sz w:val="20"/>
                <w:szCs w:val="20"/>
                <w:color w:val="auto"/>
              </w:rPr>
            </w:pPr>
            <w:r>
              <w:rPr>
                <w:rFonts w:ascii="Arial" w:cs="Arial" w:eastAsia="Arial" w:hAnsi="Arial"/>
                <w:sz w:val="14"/>
                <w:szCs w:val="14"/>
                <w:b w:val="1"/>
                <w:bCs w:val="1"/>
                <w:color w:val="auto"/>
                <w:w w:val="86"/>
              </w:rPr>
              <w:t>be Registered</w:t>
            </w:r>
          </w:p>
        </w:tc>
        <w:tc>
          <w:tcPr>
            <w:tcW w:w="70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Registered(1)</w:t>
            </w:r>
          </w:p>
        </w:tc>
        <w:tc>
          <w:tcPr>
            <w:tcW w:w="240" w:type="dxa"/>
            <w:vAlign w:val="bottom"/>
          </w:tcPr>
          <w:p>
            <w:pPr>
              <w:spacing w:after="0"/>
              <w:rPr>
                <w:sz w:val="15"/>
                <w:szCs w:val="15"/>
                <w:color w:val="auto"/>
              </w:rPr>
            </w:pPr>
          </w:p>
        </w:tc>
        <w:tc>
          <w:tcPr>
            <w:tcW w:w="1360" w:type="dxa"/>
            <w:vAlign w:val="bottom"/>
            <w:tcBorders>
              <w:right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Pr>
          <w:p>
            <w:pPr>
              <w:spacing w:after="0"/>
              <w:rPr>
                <w:sz w:val="15"/>
                <w:szCs w:val="15"/>
                <w:color w:val="auto"/>
              </w:rPr>
            </w:pPr>
          </w:p>
        </w:tc>
      </w:tr>
      <w:tr>
        <w:trPr>
          <w:trHeight w:val="84"/>
        </w:trPr>
        <w:tc>
          <w:tcPr>
            <w:tcW w:w="17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ectPr>
          <w:pgSz w:w="11900" w:h="16900" w:orient="portrait"/>
          <w:cols w:equalWidth="0" w:num="1">
            <w:col w:w="11420"/>
          </w:cols>
          <w:pgMar w:left="240" w:top="23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87"/>
              </w:rPr>
              <w:t>Per Share(2)</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Price(2)</w:t>
            </w:r>
          </w:p>
        </w:tc>
        <w:tc>
          <w:tcPr>
            <w:tcW w:w="156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6,000,000</w:t>
            </w:r>
          </w:p>
        </w:tc>
        <w:tc>
          <w:tcPr>
            <w:tcW w:w="1600" w:type="dxa"/>
            <w:vAlign w:val="bottom"/>
            <w:tcBorders>
              <w:bottom w:val="single" w:sz="8" w:color="auto"/>
              <w:right w:val="single" w:sz="8" w:color="auto"/>
            </w:tcBorders>
          </w:tcPr>
          <w:p>
            <w:pPr>
              <w:jc w:val="right"/>
              <w:ind w:right="482"/>
              <w:spacing w:after="0"/>
              <w:rPr>
                <w:sz w:val="20"/>
                <w:szCs w:val="20"/>
                <w:color w:val="auto"/>
              </w:rPr>
            </w:pPr>
            <w:r>
              <w:rPr>
                <w:rFonts w:ascii="Arial" w:cs="Arial" w:eastAsia="Arial" w:hAnsi="Arial"/>
                <w:sz w:val="18"/>
                <w:szCs w:val="18"/>
                <w:color w:val="auto"/>
              </w:rPr>
              <w:t>$0.76</w:t>
            </w:r>
          </w:p>
        </w:tc>
        <w:tc>
          <w:tcPr>
            <w:tcW w:w="160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8"/>
                <w:szCs w:val="18"/>
                <w:color w:val="auto"/>
              </w:rPr>
              <w:t>$4,560,000</w:t>
            </w: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$254.45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jc w:val="both"/>
        <w:ind w:left="460" w:right="360" w:hanging="452"/>
        <w:spacing w:after="0" w:line="303"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Consists entirely of 6,000,000 shares of common stock outstanding. Pursuant to Rule 416 under the Securities Act of 1933, this Registration Statement shall also cover any additional shares of common stock which become issuable by reason of any stock dividend, stock split or other similar transaction effected without the receipt of consideration that results in an increase in the number of the outstanding shares of common stock of the registrant.</w:t>
      </w:r>
    </w:p>
    <w:p>
      <w:pPr>
        <w:spacing w:after="0" w:line="1" w:lineRule="exact"/>
        <w:rPr>
          <w:rFonts w:ascii="Arial" w:cs="Arial" w:eastAsia="Arial" w:hAnsi="Arial"/>
          <w:sz w:val="15"/>
          <w:szCs w:val="15"/>
          <w:color w:val="auto"/>
        </w:rPr>
      </w:pPr>
    </w:p>
    <w:p>
      <w:pPr>
        <w:jc w:val="both"/>
        <w:ind w:left="460" w:right="38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457(c) under the Securities Act of 1933, the aggregate offering price of our stock is estimated solely for the calculating of the registration fees due for this filing. For the initial filing of this Registration Statement, this estimate was based on the average of the high and low sales price of our stock reported by The NASDAQ Global Market on August 26, 2009, which was $0.76.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21665"/>
                    </a:xfrm>
                    <a:prstGeom prst="rect">
                      <a:avLst/>
                    </a:prstGeom>
                    <a:noFill/>
                  </pic:spPr>
                </pic:pic>
              </a:graphicData>
            </a:graphic>
          </wp:anchor>
        </w:drawing>
      </w:r>
    </w:p>
    <w:p>
      <w:pPr>
        <w:spacing w:after="0" w:line="350" w:lineRule="exact"/>
        <w:rPr>
          <w:sz w:val="20"/>
          <w:szCs w:val="20"/>
          <w:color w:val="auto"/>
        </w:rPr>
      </w:pPr>
    </w:p>
    <w:p>
      <w:pPr>
        <w:ind w:left="140" w:right="120"/>
        <w:spacing w:after="0" w:line="256"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October 27, 2009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6,000,000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120650</wp:posOffset>
            </wp:positionV>
            <wp:extent cx="185229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Active Power,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Common Stock</w:t>
      </w:r>
    </w:p>
    <w:p>
      <w:pPr>
        <w:spacing w:after="0" w:line="1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29, 2009, the selling stockholder set forth in the section starting on page 15 of this prospectus acquired 6,000,000 shares of our common stock directly from us in a private placement that was exempt from the registration requirements of the securities laws. This prospectus relates to the resale of up to all 6,000,000 of such shares of common stock by such selling stockholder. We are not selling any securities under this prospectus and will not receive any of the proceeds from the sale of shares by the selling stockholder.</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selling stockholder may sell the shares of common stock described in this prospectus in a number of different ways and at varying prices. We provide more information about how the selling stockholder may sell shares of common stock in the section titled “Plan of Distribution” on page 17. We will not be paying any underwriting discounts or commissions in this offering. We will pay the expenses incurred in registering the shares, including legal and accounting fees.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“ACPW.” The last reported sale price for our common stock on October 26, 2009 was $1.31 per share.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in our common stock involves a high degree of risk.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“Risk Factors” beginning on page 3 of this prospectus.</w:t>
      </w:r>
    </w:p>
    <w:p>
      <w:pPr>
        <w:spacing w:after="0" w:line="159" w:lineRule="exact"/>
        <w:rPr>
          <w:sz w:val="20"/>
          <w:szCs w:val="20"/>
          <w:color w:val="auto"/>
        </w:rPr>
      </w:pPr>
    </w:p>
    <w:p>
      <w:pPr>
        <w:jc w:val="center"/>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the accompanying prospectus are truthful or complete. Any representation to the contrary is a criminal offense.</w:t>
      </w:r>
    </w:p>
    <w:p>
      <w:pPr>
        <w:spacing w:after="0" w:line="80"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0" w:type="dxa"/>
            <w:vAlign w:val="bottom"/>
            <w:gridSpan w:val="3"/>
          </w:tcPr>
          <w:p>
            <w:pPr>
              <w:jc w:val="right"/>
              <w:ind w:right="484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53"/>
        </w:trPr>
        <w:tc>
          <w:tcPr>
            <w:tcW w:w="1500" w:type="dxa"/>
            <w:vAlign w:val="bottom"/>
            <w:gridSpan w:val="6"/>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2740" w:type="dxa"/>
            <w:vAlign w:val="bottom"/>
            <w:gridSpan w:val="5"/>
            <w:vMerge w:val="restart"/>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6"/>
            <w:vMerge w:val="continue"/>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69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340" w:type="dxa"/>
            <w:vAlign w:val="bottom"/>
            <w:gridSpan w:val="9"/>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Disclosure Regarding Forward-Looking Statements</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600" w:type="dxa"/>
            <w:vAlign w:val="bottom"/>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Selling Stockholder</w:t>
              </w:r>
            </w:hyperlink>
          </w:p>
        </w:tc>
        <w:tc>
          <w:tcPr>
            <w:tcW w:w="2840" w:type="dxa"/>
            <w:vAlign w:val="bottom"/>
            <w:gridSpan w:val="6"/>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Description of Capital Stock</w:t>
              </w:r>
            </w:hyperlink>
          </w:p>
        </w:tc>
        <w:tc>
          <w:tcPr>
            <w:tcW w:w="2220" w:type="dxa"/>
            <w:vAlign w:val="bottom"/>
            <w:gridSpan w:val="3"/>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3260" w:type="dxa"/>
            <w:vAlign w:val="bottom"/>
            <w:gridSpan w:val="8"/>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7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CONTAINED IN THIS PROSPECTUS</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prospectus supplement. We have not, and the selling stockholder has not, authorized anyone to provide you with additional or different information. These securities are not being offered in any jurisdiction where the offer is not permitted.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of any sale of our common stock.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6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36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3, and the information to which we refer you and the information incorporated into this prospectus by reference, for a complete understanding of our business and this offering. References in this prospectus to “our company,” “we,” “our,” “Active Power” and “us” refer to Active Power, Inc. References to “selling stockholder” refers to the stockholder listed herein under the heading “Selling Stockholder” on page 15, who may sell shares from time to time as described in this prospectus.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This prospectus is part of a registration statement on Form S-3 filed by us with the Securities and Exchange Commission, or the Commission, to register 6,000,000 shares of our common stock, which shares are referred to in this prospectus as the “Shares.” The Shares were sold in connection with our private placement that closed on May 29, 2009, as described in the Current Report on Form 8-K filed by us with the Commission on June 1, 2009. The Shares are being registered for resale or other disposition by the selling stockholder or its transferees. We will not receive any proceeds from the sale or other disposition of the Shares registered hereunder, or interests therein.</w:t>
      </w: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left="200" w:right="80" w:firstLine="443"/>
        <w:spacing w:after="0" w:line="289" w:lineRule="auto"/>
        <w:rPr>
          <w:sz w:val="20"/>
          <w:szCs w:val="20"/>
          <w:color w:val="auto"/>
        </w:rPr>
      </w:pPr>
      <w:r>
        <w:rPr>
          <w:rFonts w:ascii="Arial" w:cs="Arial" w:eastAsia="Arial" w:hAnsi="Arial"/>
          <w:sz w:val="16"/>
          <w:szCs w:val="16"/>
          <w:color w:val="auto"/>
        </w:rPr>
        <w:t>We are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September 30, 2009, we have shipped more than 2,400 flywheels in UPS system installations, delivering more than 600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electricity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 majority of customers in this market segment have backup generators. Our flywheel products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 Our continuous power systems are marketed under the name PowerHouse and combine our UPS system with switchgear and a generator to provide complete short- and long-term protection in the event of a power disturbance.</w:t>
      </w:r>
    </w:p>
    <w:p>
      <w:pPr>
        <w:spacing w:after="0" w:line="163"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53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7538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left="200" w:right="140" w:firstLine="443"/>
        <w:spacing w:after="0" w:line="332" w:lineRule="auto"/>
        <w:rPr>
          <w:sz w:val="20"/>
          <w:szCs w:val="20"/>
          <w:color w:val="auto"/>
        </w:rPr>
      </w:pPr>
      <w:r>
        <w:rPr>
          <w:rFonts w:ascii="Arial" w:cs="Arial" w:eastAsia="Arial" w:hAnsi="Arial"/>
          <w:sz w:val="16"/>
          <w:szCs w:val="16"/>
          <w:color w:val="auto"/>
        </w:rPr>
        <w:t>We were founded as a Texas corporation in 1992 and reincorporated in Delaware in 2000 prior to our initial public offering. Our principal executive offices are located at 2128 W. Braker Lane, BK12, Austin, Texas 78758 and our telephone number at that address is (512) 836-6464.</w:t>
      </w:r>
    </w:p>
    <w:p>
      <w:pPr>
        <w:spacing w:after="0" w:line="193"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own the registered trademarks ACTIVE POWER, CLEANSOURCE and COOLAIR in the United States and abroad. The ACTIVE POWER logo is a trademark of Active Power. All other trademarks, service marks or trade names referred to in this report are the property of their respective owners.</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 factors described below, and all other information contained in or incorporated by reference in this prospectus, before deciding to invest in our common stock. If any of the following risks actually occur, they may materially harm our business, financial condition, operating results or cash flows. As a result, the market price of our common stock could decline, and you could lose all or part of your investment. Additional risks and uncertainties that are not yet identified or that we think are immaterial may also materially harm our business, operating results or financial condition and could result in a complete loss of your investment.</w:t>
      </w: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year. As of December 31, 2008 and September 30, 2009, we had an accumulated deficit of $238.8 million and $247.7 million, respectively.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third quarter of 2009, our five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Recent economic difficulties in the Unites States credit markets and certain international markets has led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supports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21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significant increase in sales of our PowerHouse product may materially increase the amount of liquidity required to fund the Company’s operations.</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significant increase in sales of our PowerHouse product may materially increase the amount of liquidity required to fund out operations. The amount of time between the receipt of payment from our customers and our expenditures for raw materials, manufacturer and shipment of products (the sales cycle) for sales of our standard UPS product can be as short as 45 days, and is typically 60 days. However, this cash cycle on a PowerHouse sale can be as much as 210 days, depending 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to fund these sales opportunities. These larger investments may require us to obtain additional sources of working capital, debt or equity financing in order to fund this business. If we are unsuccessful at obtaining additional sources of working capital, we may be required to curtail our level of PowerHouse sales or we may lose potential customers, both of which may cause our financial results to not meet the expectations of public market analysts or investors and adversely impact our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The sales price of our common stock ranged from $.22 to $2.60 in 2008 and from $.30 to $.92 during the first nine months of 2009. In addition to those risks described earlier in this section, the market price of our common stock can be expected to fluctuate significantly in response to numerous other factors, many of which are beyond our control, including the following:</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experiences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NASDAQ’s Marketplace Rule 4450(a)(5), or the Rule, because the closing bid price for our Common Stock had, for the preceding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consecutive business days, closed below the minimum $1.00 per share requirement for continued listing. In accordance with Marketplace Rule 4450(e)(2)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provided a period of 180 calendar days, or until February 17, 2009, to regain compliance. On October 16, 2008, NASDAQ announced that they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suspended the enforcement of the Rule until January 19, 2009. NASDAQ subsequently extended the suspension of enforcement of the Rule in December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again in March 2009. On July 14, 2009, NASDAQ informed us that the temporary suspension of enforcement of the Rule would remain in effect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2009. As a result, the period during which we must regain compliance has been extended to December 2, 2009. If at any time before December 2,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bid price of our Common Stock closes at or above $1.00 per share for a minimum of 10 consecutive business days, NASDAQ will provide written notification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have achieved compliance with the Rule. If compliance with the Rule cannot be demonstrated by December 2, 2009, our Common Stock will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delisting from The NASDAQ Global Market.</w:t>
      </w:r>
    </w:p>
    <w:p>
      <w:pPr>
        <w:spacing w:after="0" w:line="165"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18"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Because we do not expect to pay dividends on our common stock, stockholders will benefit from an investment in our common stock only if it appreciates in value.</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never paid cash dividends on our common stock and have no present intention to pay any dividends in the future. Any future determination about the payment of dividends will be made at the discretion of our board of directors and will depend upon our earnings, if any, our capital requirements, our operating and financial conditions and on such other factors as our board of directors may deem relevant. As a result, the success of an investment in our common stock will depend upon any future appreciation in its value. There is no guarantee that our common stock will appreciate in value or even maintain the price at which stockholders have purchased their shares.</w:t>
      </w:r>
    </w:p>
    <w:p>
      <w:pPr>
        <w:spacing w:after="0" w:line="218" w:lineRule="exact"/>
        <w:rPr>
          <w:sz w:val="20"/>
          <w:szCs w:val="20"/>
          <w:color w:val="auto"/>
        </w:rPr>
      </w:pPr>
    </w:p>
    <w:p>
      <w:pPr>
        <w:spacing w:after="0" w:line="338" w:lineRule="auto"/>
        <w:rPr>
          <w:sz w:val="20"/>
          <w:szCs w:val="20"/>
          <w:color w:val="auto"/>
        </w:rPr>
      </w:pPr>
      <w:r>
        <w:rPr>
          <w:rFonts w:ascii="Arial" w:cs="Arial" w:eastAsia="Arial" w:hAnsi="Arial"/>
          <w:sz w:val="16"/>
          <w:szCs w:val="16"/>
          <w:b w:val="1"/>
          <w:bCs w:val="1"/>
          <w:color w:val="auto"/>
        </w:rPr>
        <w:t>Future sales of a substantial number of shares of our common stock in the public market, including the shares offered pursuant to this prospectus, could adversely affect the trading price of our common stock and impair our ability to raise funds in future stock offerings.</w:t>
      </w:r>
    </w:p>
    <w:p>
      <w:pPr>
        <w:spacing w:after="0" w:line="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Future sales of a substantial number of shares of our common stock in the public market, including the shares to be offered pursuant to this prospectus and other resale prospectuses and shares available for resale under Rule 144 under the Securities Act, or the perception that such sales could occur, could adversely affect the prevailing market price of our common stock and could make it more difficult for us to raise additional capital through the sale of equity securities.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This prospectus and the Commission filings that are incorporated by reference into this prospectus contain or incorporate by reference forward-looking statements. The Private Securities Litigation Reform Act of 1995 has established that these statements qualify for safe harbors from liability. You can identify these statements by forward-looking words such as “may,” “expect,” “anticipate,” “contemplate,” “believe,” “estimate,” “intend,” “project,” and “continue” or similar words. You should read statements that contain these words carefully because they discuss future expectations, contain projections of future results of operations or financial condition, or state other “forward-looking” information.</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believe it is important to communicate our expectations to our stockholders. However, there may be events in the future that we are not able to predict accurately or over which we have no control. Actual results or events could differ materially from the plans, intentions and expectations disclosed in the forward-looking statements that we make.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such forward-looking statements include, but are not limited to, statements regarding:</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costs and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current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in our industry and innovation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products to meet those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growth and to expand our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anticipated cash needs and our estimates regarding our capital requirements and our need for additional financing.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believe that the forward-looking statements contained herein are reasonable, we can give no assurance that our plans, intentions or expectations will be met. The risk factors and cautionary language discussed in this prospectus provide examples of risks, uncertainties and events that may cause actual results to differ materially from the expectations described in the forward-looking statements.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cautioned not to place undue reliance on our forward-looking statements, which speak only of that date of this prospectus. Except to the extent required by applicable laws and regulations, we do not assume any obligation to update these forward-looking statements to reflect events or circumstances after the date of this prospectus or to reflect the occurrence of unanticipated events.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proceeds from the sale of the Shares offered pursuant to this prospectus are solely for the account of the selling stockholder. Accordingly, we will not receive any of the proceeds from the sale of Shares offered by this prospectus. See “Selling Stockholder” and “Plan of Distribution” described below.</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table provides information regarding the selling stockholder and the number of Shares the selling stockholder is offering. We have prepared this table based on information furnished to us by or on behalf of the selling stockholder. Under the rules of the Commission, beneficial ownership includes shares over which the indicated beneficial owner exercises voting or investment power. Beneficial ownership is determined under Section 13(d) of the Securities Exchange Act of 1934, as amended, or the Exchange Act, and generally includes voting or investment power with respect to securities, including any securities that grant the selling stockholder the right to acquire common stock within 60 days of October 26, 2009. Unless otherwise indicated in the footnotes below, we believe that the selling stockholder has sole voting and investment power with respect to all shares beneficially owned. The percentage ownership data is based on 66,478,623 shares of our common stock issued and outstanding as of October 26, 2009. Since the date on which it provided us with the information below, the selling stockholder may have sold, transferred or otherwise disposed of some or all of its Shares in transactions exempt from the registration requirements of the Securities Act of 1933, as amended, or the Securities Act.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Shares may be sold by the selling stockholder, by those persons or entities to whom it transfers, donates, devises, pledges or distributes its Shares or by other successors in interest. The information regarding shares beneficially owned after this offering assumes the sale of all Shares offered by the selling stockholder. The selling stockholder may sell less than all of the Shares listed in the table. In addition, the Shares listed below may be sold pursuant to this prospectus or in privately negotiated transactions. Accordingly, we cannot estimate the number of Shares the selling stockholder will sell under this prospectus.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stockholder has not held any position or office or had any other material relationship with us or any of our predecessors or affiliates within the past three years.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selling stockholder has represented to us that it purchased the Common Shares for its own account, in the ordinary course of business and not with a view toward selling or distributing them in violation of the Securities Act, except in sales either registered under the Securities Act, or sales that are exempt from registration. In recognition of the fact that the selling stockholder, even though purchasing its shares for investment, may wish to be legally permitted to sell its Shares when it deems appropriate, we agreed with the selling stockholder to file a registration statement to register the resale of the Shares. We have also agreed to prepare and file all amendments and supplements necessary to keep the registration statement effective until the earliest of (i) May 29, 2010, (ii) such time as all of the Shares have been sold pursuant to this registration statement, or (iii) such time as the Shares become eligible for resale by non-affiliates pursuant to Rule 144 under the Securities Act or any other rule of similar effect without any volume or manner of sale restrictions or any need for us to be current in our Exchange Act reporting obligations.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Shares Beneficially</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Owned before Offering</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Owned 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Offered</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stockholder</w:t>
            </w:r>
          </w:p>
        </w:tc>
        <w:tc>
          <w:tcPr>
            <w:tcW w:w="2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Hereby (1)</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Kinderhook Partners, L.P. (2)</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6,000,000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8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do not know when or in what amounts the selling stockholder may offer Shares for sale. The selling stockholder may not sell any or all of the Shares offered by this prospectus. Because the selling stockholder may offer all or some of the Shares pursuant to this offering and because there are currently no agreements, arrangements or undertakings with respect to the sale of any of the Shares, we cannot estimate the number of Shares that will be held by the selling stockholder after completion of this offering. However, for purposes of this table, we have assumed that, after completion of this offering, none of the Shares covered by this prospectus will be held by the selling stockholder.</w:t>
      </w:r>
    </w:p>
    <w:p>
      <w:pPr>
        <w:spacing w:after="0" w:line="2"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Kinderhook Partners, L.P., Kinderhook GP, LLC, Stephen J. Clearman and Tushar Shah may be deemed to share dispositive and voting power over the shares held by Kinderhook Partners, L.P.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registering the shares offered by this prospectus for resale on behalf of the selling stockholder. The selling stockholder, which as used herein includes donees, pledgees, transferees or other successors-in-interest selling Shares or interests in Shares received after the date of this prospectus from the selling stockholder as a gift, pledge, partnership distribution or other transfer, may, from time to time, sell, transfer or otherwise dispose of any or all of their Shares or interests in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To the extent the selling stockholder gifts, pledges or otherwise transfers the shares offered hereby, such transferee may offer and sell the shares from time to time under this prospectus, provided this prospectus has been amended under Rule 424(b) or under any applicable provision of the Securities Act to include the name of such transferee in the list of selling stockholders under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NASDAQ Global Market (or any other exchange on which the shares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selling stockholder may, from time to time, pledge or grant a security interest in some or all of the Shares owned by it and, if it defaults in the performance of its secured obligations, the pledgees or secured parties may offer and sell the Shares, from time to time, under this prospectus, or under an amendment to this prospectus under Rule 424(b) or under any applicable provision of the Securities Act amending the list of selling stockholders to include the pledgee, transferee or other successors in interest as selling stockholders under this prospectus. The selling stockholder also may transfer the Shares in other circumstances, in which case the transferees, pledgees or other successors in interest will be the selling beneficial owners for purposes of this prospectus. To the extent required, this prospectus may be amended or supplemented under Rule 424(b) or under any applicable provision of the Securities act from time to time to describe a specific plan of distribution.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sale of the Shares or interests therein, the selling stockholder may enter into hedging transactions with broker-dealers or other financial institutions, which may, in turn, engage in short sales of the Shares in the course of hedging the positions they assume. The selling stockholder may also sell Shares short and deliver these securities to close out their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The aggregate proceeds to the selling stockholder from the sale of the Shares offered by it will be the purchase price of the Shares less discounts or commissions, if any. The selling stockholder reserves the right to accept and, together with its agents from time to time, to reject, in whole or in part, any proposed purchase of Shares to be made directly or through agents. We will not receive any of the proceeds from this offering.</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provided that they meet the criteria and conform to the requirements of that rule.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selling stockholder and any underwriters, broker-dealers or agents that participate in the sale of Shares or interests therein may be “underwriters” within the meaning of Section 2(11) of the Securities Act. Any discounts, commissions, concessions or profit they earn on any resale of the Shares may be underwriting discounts and commissions under the Securities Act. If the selling stockholder is an “underwriter” within the meaning of Section 2(11) of the Securities Act, it will be subject to the prospectus delivery requirements of the Securities Act. The selling stockholder may indemnify any broker-dealer that participates in transactions involving the sale of the Shares against certain liabilities, including liabilities arising under the Securities Act. To the extent required, the shares to be sold, the name of the selling stockholder, the respective purchase prices and public offering prices, the names of any agents, dealer or underwriter, and any applicable commissions or discounts with respect to a particular offer will be set forth in an accompanying prospectus, supplement or, if appropriate, a post effective amendment to the registration statement that includes this prospectus.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borne and will bear substantially all of the expenses in connection with the registration of the Shares, other than any fees and expenses, if any, of counsel or other advisors to the selling stockholder or any commissions, discounts or other fees payable to broker-dealers in connection with any sale of Shares, which will be borne by the selling stockholder selling such Shares. We have agreed to indemnify the selling stockholder against certain liabilities, including liabilities under the Securities Act and state securities laws, relating to the registration of the Shares offered by this prospectus.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is complied with.</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selling stockholder may be subject to the anti-manipulation rules of Regulation M, which may limit the timing of purchases and sales of Shares by such selling stockholder.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will make copies of this prospectus (as it may be supplemented or amended from time to time) available to the selling stockholder for the purpose of satisfying the prospectus delivery requirements of the Securities Act.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with respect to its Shares until the earliest of (i) May 29, 2010, (ii) such time as all of the Shares have been sold pursuant to this registration statement, or (iii) such time as the Shares become eligible for resale by non-affiliates pursuant to Rule 144 under the Securities Act or any other rule of similar effect without any volume or manner of sale restrictions or any need for us to be current in our Exchange Act reporting obligations.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As of the date of this prospectus, our authorized capital stock consists of 160,000,000 shares. Those shares consist of 150,000,000 shares designated as common stock, $0.001 par value per share, and 10,000,000 shares designated as preferred stock, $0.001 par value per share. The only equity securities currently outstanding are shares of common stock. As of October 26, 2009, there were approximately 66,478,623 shares of common stock issued and outstanding.</w:t>
      </w:r>
    </w:p>
    <w:p>
      <w:pPr>
        <w:spacing w:after="0" w:line="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description summarizes the material terms of our capital stock. This summary is, however, subject to the provisions of our restated certificate of incorporation and any applicable certificate of designation for a series of preferred stock, our amended bylaws, a rights agreement between us and EquiSave Trust N.A. and applicable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Subject to preferences that may be applicable to any outstanding preferred stock, the holders of common stock are entitled to receive ratably any dividends or other distributions that may be declared from time to time by the board of directors out of funds legally available for that purpose. However, we are not currently paying any dividends. 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outstanding shares of common stock are fully paid and non-assessable, and all Shares offered by this prospectus are validly issued and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action by our stockholders, to designate and issue up to 10,000,000 shares of preferred stock in one or more series. Of these authorized shares of preferred stock, 400,000 shares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summary and form of which can be found in our Form 8-K filed December 14, 2001, which is incorporated herein by reference. The board of directors may also designate the rights, preferences and privileges of each series of preferred stock, any or all of which may be greater than the rights of the common stock.</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holders of the common stock until the board of directors determines the specific rights of the holders of the preferred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these effects might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delaying or preventing a change in control of our company without further action by the stockholders.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description of the terms of the preferred stock is not complete and will be subject to and qualified by the certificate of designation relating to any applicable series of preferred stock. We have no present plans to issue any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Provisions of Delaware law and our currently in effect amended and restated certificate of incorporation and amended bylaws could make the acquisition of our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our company to first negotiate with our board of directors.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900" w:right="5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securities.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Documents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currently in effect amended and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In accordance with our currently in effect amended and restated certificate of incorporation, directors may be removed by the affirmative vote of the holders of the outstanding shares of common stock only with cause.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currently in effect amended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amended bylaws do not give the board of directors the power to approve or disapprove stockholder nominations of candidates or proposals regarding other business to be conducted at a special or annual meeting of the stockholders. However, our amended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amended bylaws provide that only our board of directors may call a special meeting of stockholders. Because our stockholders do not have the right to call a special meeting, a stockholder could not force stockholder consideration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of a proposal over the opposition of the board of directors by calling a special meeting of stockholders prior to such time as a majority of the board of directors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currently in effect amended and restated certificate of incorporation does not allow stockholders to act by written consent without a meeting. Without the availability of stockholder’s actions by written consent, a holder controlling a majority of our capital stock would not be able to amend our amended bylaws or remove directors without holding a stockholders’ meeting. The holder would have to obtain the consent of a majority of the board of directors to call a stockholders’ meeting and satisfy the notice periods determined by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Its address is 59 Maiden Lane, Plaza Level, New York, New York 10038.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trading symbol ACPW.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validity of the Shares being offered by this prospectus will be passed upon for us by Wilson Sonsini Goodrich &amp; Rosati, Professional Corporation, of Austin, Texas.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2008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reporting company and file annual, quarterly and current reports, proxy statements and other information with the Commission. You may read and copy these reports, proxy statements and other information at the Commission’s public reference rooms at 100 F Street, N.E., Washington, D.C. 20549. You can request copies of these documents by writing to the Commission and paying a fee for the copying cost. Please call the Commission at 1-800-SEC-0330 for more information about the operation of the public reference rooms. Our Commission filings are also available at the Commission’s web site at www.sec.gov and our website at www.activepower.com. We have not incorporated by reference into this prospectus the information contained on our website and you should not consider it to be part of this prospectus.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we will make with the Commission under Section 13(a), 13(c), 14 or 15(d) of the Exchange Act, after the date of this prospectus but before the end of any offering made under this prospectus and accompanying prospectus (other than current reports or portions thereof furnished under Item 2.02, 7.01 or 8.01 of Form 8-K, unless such current reports or portions thereof specifically reference their contents as being filed):</w:t>
      </w:r>
    </w:p>
    <w:p>
      <w:pPr>
        <w:spacing w:after="0" w:line="39" w:lineRule="exact"/>
        <w:rPr>
          <w:sz w:val="20"/>
          <w:szCs w:val="20"/>
          <w:color w:val="auto"/>
        </w:rPr>
      </w:pPr>
    </w:p>
    <w:p>
      <w:pPr>
        <w:ind w:left="900" w:right="2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December 31, 2008, filed with the SEC on March 4, 2009, as amended by that certain Amendment No. 1 to Form 10-K filed with the SEC on October 27,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2009, filed with the SEC on April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2009, filed with the SEC on July 28,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2009, filed with the SEC on October 27,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stockholders, filed with the SEC on April 10,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17, 2009, May 14, 2009, June 1, 2009 and July 6, 2009.</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Copies of documents incorporated by reference, excluding exhibits except to the extent such exhibits are specifically incorporated by reference, are available from us without charge, upon oral or written request to: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John K. Penver, Chief Financial Officer</w:t>
      </w:r>
    </w:p>
    <w:p>
      <w:pPr>
        <w:spacing w:after="0" w:line="9" w:lineRule="exact"/>
        <w:rPr>
          <w:sz w:val="20"/>
          <w:szCs w:val="20"/>
          <w:color w:val="auto"/>
        </w:rPr>
      </w:pPr>
    </w:p>
    <w:p>
      <w:pPr>
        <w:ind w:left="5560" w:right="5140" w:hanging="395"/>
        <w:spacing w:after="0" w:line="517" w:lineRule="auto"/>
        <w:tabs>
          <w:tab w:leader="none" w:pos="55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836-6464 -21-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securities being registered. All the amounts shown are estimates except for the registration fee.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Amount</w:t>
            </w:r>
          </w:p>
        </w:tc>
      </w:t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to be Paid</w:t>
            </w: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254.45</w:t>
            </w:r>
          </w:p>
        </w:tc>
        <w:tc>
          <w:tcPr>
            <w:tcW w:w="20" w:type="dxa"/>
            <w:vAlign w:val="bottom"/>
          </w:tcPr>
          <w:p>
            <w:pPr>
              <w:spacing w:after="0"/>
              <w:rPr>
                <w:sz w:val="18"/>
                <w:szCs w:val="18"/>
                <w:color w:val="auto"/>
              </w:rPr>
            </w:pP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20,000.00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0" w:type="dxa"/>
            <w:vAlign w:val="bottom"/>
          </w:tcPr>
          <w:p>
            <w:pPr>
              <w:spacing w:after="0"/>
              <w:rPr>
                <w:sz w:val="18"/>
                <w:szCs w:val="18"/>
                <w:color w:val="auto"/>
              </w:rPr>
            </w:pP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5,000.00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5,000.00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40,254.45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amended bylaws provide that we shall indemnify our directors and executive officers and may indemnify our employees and other agents to the fullest extent permitted by the General Corporation Law of the State of Delaware.</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in addition to the indemnification provided for in our amended and restated certificate of incorporation and amended bylaws, and intend to enter into indemnification agreements with any new directors and executive officers in the future.</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9"/>
              </w:rPr>
              <w:t>Restated Certificate of Incorporation (filed as Exhibit 3.1 to Active Power’s Quarterly Report on Form 10-Q filed on July 28, 2006)</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6"/>
              </w:rPr>
              <w:t>Second Amended and Restated Bylaws (filed as Exhibit 3.2 to Active Power’s Current Report on Form 8-K filed on February 2, 2007)</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Amendment to Second Amended and Restated Bylaws (filed as Exhibit 3.01 to Active Power’s Current Report on 8-K filed on December 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Specimen certificate for shares of Common Stock (filed as Exhibit 4.1 to Active Power’s IPO Registration Statement on Form S-l (SEC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333-36946))</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Rights Agreement, dated as of December 13, 2001, between the Active Power and EquiServe Trust N.A., which includes the form of Certificate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filed on December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14, 2001)</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4"/>
              </w:rPr>
              <w:t>See Exhibits 3.1, 3.2 and 3.3 for provisions of the Certificate of Incorporation and Bylaws of the registrant defining the rights of holders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Opinion of Wilson Sonsini Goodrich &amp; Rosati, Professional Corporation (filed as Exhibit 5.1 to Active Power’s Registration Statement on Form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S-3 filed on August 28, 2009)</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Securities Purchase Agreement by and between Active Power, Inc. and certain investors, dated as of May 29, 2009 (filed as Exhibit 10.1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Active Power’s Current Report on Form 8-K filed on June 1, 2009)</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Power of Attorney (filed as Exhibit 24.1 to Active Power’s Registration Statement on Form S-3 filed on August 28, 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sz w:val="20"/>
          <w:szCs w:val="20"/>
          <w:color w:val="auto"/>
        </w:rPr>
      </w:pPr>
    </w:p>
    <w:p>
      <w:pPr>
        <w:ind w:left="680" w:hanging="21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71" w:lineRule="exact"/>
        <w:rPr>
          <w:rFonts w:ascii="Arial" w:cs="Arial" w:eastAsia="Arial" w:hAnsi="Arial"/>
          <w:sz w:val="18"/>
          <w:szCs w:val="18"/>
          <w:color w:val="auto"/>
        </w:rPr>
      </w:pPr>
    </w:p>
    <w:p>
      <w:pPr>
        <w:ind w:right="20" w:firstLine="464"/>
        <w:spacing w:after="0" w:line="291" w:lineRule="auto"/>
        <w:tabs>
          <w:tab w:leader="none" w:pos="7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64"/>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20" w:firstLine="464"/>
        <w:spacing w:after="0" w:line="370" w:lineRule="auto"/>
        <w:tabs>
          <w:tab w:leader="none" w:pos="70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right="220" w:firstLine="464"/>
        <w:spacing w:after="0" w:line="268"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If the registrant is relying on Rule 430B:</w:t>
      </w:r>
    </w:p>
    <w:p>
      <w:pPr>
        <w:spacing w:after="0" w:line="171" w:lineRule="exact"/>
        <w:rPr>
          <w:sz w:val="20"/>
          <w:szCs w:val="20"/>
          <w:color w:val="auto"/>
        </w:rPr>
      </w:pPr>
    </w:p>
    <w:p>
      <w:pPr>
        <w:ind w:right="560" w:firstLine="464"/>
        <w:spacing w:after="0" w:line="268" w:lineRule="auto"/>
        <w:tabs>
          <w:tab w:leader="none" w:pos="7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right="60" w:firstLine="464"/>
        <w:spacing w:after="0" w:line="287" w:lineRule="auto"/>
        <w:tabs>
          <w:tab w:leader="none" w:pos="7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a prospectus that is part of the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this registration statement or prospectus that was part of the registration statement or made in any such document immediately prior to such effective date; or</w:t>
      </w:r>
    </w:p>
    <w:p>
      <w:pPr>
        <w:spacing w:after="0" w:line="123" w:lineRule="exact"/>
        <w:rPr>
          <w:sz w:val="20"/>
          <w:szCs w:val="20"/>
          <w:color w:val="auto"/>
        </w:rPr>
      </w:pPr>
    </w:p>
    <w:p>
      <w:pPr>
        <w:ind w:right="20" w:firstLine="464"/>
        <w:spacing w:after="0" w:line="291" w:lineRule="auto"/>
        <w:tabs>
          <w:tab w:leader="none" w:pos="715"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0"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0"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27th day of October,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Director</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A. Clishem</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Chief Executive Officer and Director (Principal Executive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October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John K. Penver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October 27, 2009</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John K. Penver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8"/>
                <w:szCs w:val="18"/>
                <w:color w:val="auto"/>
              </w:rPr>
              <w:t>II-5</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jc w:val="center"/>
              <w:ind w:right="496"/>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r>
      <w:tr>
        <w:trPr>
          <w:trHeight w:val="425"/>
        </w:trPr>
        <w:tc>
          <w:tcPr>
            <w:tcW w:w="4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3660" w:type="dxa"/>
            <w:vAlign w:val="bottom"/>
          </w:tcPr>
          <w:p>
            <w:pPr>
              <w:jc w:val="center"/>
              <w:ind w:right="496"/>
              <w:spacing w:after="0"/>
              <w:rPr>
                <w:sz w:val="20"/>
                <w:szCs w:val="20"/>
                <w:color w:val="auto"/>
              </w:rPr>
            </w:pPr>
            <w:r>
              <w:rPr>
                <w:rFonts w:ascii="Arial" w:cs="Arial" w:eastAsia="Arial" w:hAnsi="Arial"/>
                <w:sz w:val="18"/>
                <w:szCs w:val="18"/>
                <w:color w:val="auto"/>
                <w:w w:val="86"/>
              </w:rPr>
              <w:t>Robert S. Greenberg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3660" w:type="dxa"/>
            <w:vAlign w:val="bottom"/>
          </w:tcPr>
          <w:p>
            <w:pPr>
              <w:jc w:val="center"/>
              <w:ind w:right="496"/>
              <w:spacing w:after="0"/>
              <w:rPr>
                <w:sz w:val="20"/>
                <w:szCs w:val="20"/>
                <w:color w:val="auto"/>
              </w:rPr>
            </w:pPr>
            <w:r>
              <w:rPr>
                <w:rFonts w:ascii="Arial" w:cs="Arial" w:eastAsia="Arial" w:hAnsi="Arial"/>
                <w:sz w:val="18"/>
                <w:szCs w:val="18"/>
                <w:color w:val="auto"/>
                <w:w w:val="90"/>
              </w:rPr>
              <w:t>Jan H. Lindelow</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25"/>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 By:  /s/James A. Clishem</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ind w:left="400"/>
              <w:spacing w:after="0"/>
              <w:rPr>
                <w:sz w:val="20"/>
                <w:szCs w:val="20"/>
                <w:color w:val="auto"/>
              </w:rPr>
            </w:pPr>
            <w:r>
              <w:rPr>
                <w:rFonts w:ascii="Arial" w:cs="Arial" w:eastAsia="Arial" w:hAnsi="Arial"/>
                <w:sz w:val="18"/>
                <w:szCs w:val="18"/>
                <w:color w:val="auto"/>
                <w:w w:val="91"/>
              </w:rPr>
              <w:t>October 27, 2009</w:t>
            </w:r>
          </w:p>
        </w:tc>
      </w:tr>
      <w:tr>
        <w:trPr>
          <w:trHeight w:val="216"/>
        </w:trPr>
        <w:tc>
          <w:tcPr>
            <w:tcW w:w="580" w:type="dxa"/>
            <w:vAlign w:val="bottom"/>
          </w:tcPr>
          <w:p>
            <w:pPr>
              <w:spacing w:after="0"/>
              <w:rPr>
                <w:sz w:val="18"/>
                <w:szCs w:val="18"/>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A. Clishem</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Attorney in Fact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78"/>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II-6</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24"/>
                <w:szCs w:val="24"/>
                <w:color w:val="auto"/>
              </w:rPr>
            </w:pPr>
          </w:p>
        </w:tc>
        <w:tc>
          <w:tcPr>
            <w:tcW w:w="1012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0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12"/>
              <w:spacing w:after="0" w:line="201" w:lineRule="exact"/>
              <w:rPr>
                <w:sz w:val="20"/>
                <w:szCs w:val="20"/>
                <w:color w:val="auto"/>
              </w:rPr>
            </w:pPr>
            <w:r>
              <w:rPr>
                <w:rFonts w:ascii="Arial" w:cs="Arial" w:eastAsia="Arial" w:hAnsi="Arial"/>
                <w:sz w:val="18"/>
                <w:szCs w:val="18"/>
                <w:color w:val="auto"/>
              </w:rPr>
              <w:t>3.1*</w:t>
            </w:r>
          </w:p>
        </w:tc>
        <w:tc>
          <w:tcPr>
            <w:tcW w:w="800" w:type="dxa"/>
            <w:vAlign w:val="bottom"/>
          </w:tcPr>
          <w:p>
            <w:pPr>
              <w:spacing w:after="0"/>
              <w:rPr>
                <w:sz w:val="17"/>
                <w:szCs w:val="17"/>
                <w:color w:val="auto"/>
              </w:rPr>
            </w:pPr>
          </w:p>
        </w:tc>
        <w:tc>
          <w:tcPr>
            <w:tcW w:w="10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Restated Certificate of Incorporation (filed as Exhibit 3.1 to Active Power’s Quarterly Report on Form 10-Q filed on July 28, 2006)</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5"/>
              </w:rPr>
              <w:t>Second Amended and Restated Bylaws (filed as Exhibit 3.2 to Active Power’s Current Report on Form 8-K filed on February 2, 2007)</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3.3*</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Amendment to Second Amended and Restated Bylaws (filed as Exhibit 3.01 to Active Power’s Current Report on 8-K filed on December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Specimen certificate for shares of Common Stock (filed as Exhibit 4.1 to Active Power’s IPO Registration Statement on Form S-l (SEC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No. 333-36946))</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88"/>
              </w:rPr>
              <w:t>Rights Agreement, dated as of December 13, 2001, between the Active Power and EquiServe Trust N.A., which includes the form of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4"/>
              </w:rPr>
              <w:t>of Rights to Purchase Series A Preferred Stock as Exhibit C (filed as Exhibit 4.1 to Active Power’s Current Report on Form 8-K 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December 14, 2001)</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2"/>
              </w:rPr>
              <w:t>See Exhibits 3.1, 3.2 and 3.3 for provisions of the Certificate of Incorporation and Bylaws of the registrant defining the rights of holders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5.1*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3"/>
              </w:rPr>
              <w:t>Opinion of Wilson Sonsini Goodrich &amp; Rosati, Professional Corporation (filed as Exhibit 5.1 to Active Power’s Registration Statement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Form S-3 filed on August 28, 2009)</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w w:val="91"/>
              </w:rPr>
              <w:t>Securities Purchase Agreement by and between Active Power, Inc. and certain investors, dated as of May 29, 2009 (filed as Exhibit 10.1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Active Power’s Current Report on Form 8-K filed on June 1, 2009)</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23.1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23.2</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222"/>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24.1*</w:t>
            </w:r>
          </w:p>
        </w:tc>
        <w:tc>
          <w:tcPr>
            <w:tcW w:w="10920" w:type="dxa"/>
            <w:vAlign w:val="bottom"/>
            <w:gridSpan w:val="2"/>
          </w:tcPr>
          <w:p>
            <w:pPr>
              <w:ind w:left="800"/>
              <w:spacing w:after="0"/>
              <w:rPr>
                <w:sz w:val="20"/>
                <w:szCs w:val="20"/>
                <w:color w:val="auto"/>
              </w:rPr>
            </w:pPr>
            <w:r>
              <w:rPr>
                <w:rFonts w:ascii="Arial" w:cs="Arial" w:eastAsia="Arial" w:hAnsi="Arial"/>
                <w:sz w:val="18"/>
                <w:szCs w:val="18"/>
                <w:color w:val="auto"/>
              </w:rPr>
              <w:t>Power of Attorney (filed as Exhibit 24.1 to Active Power’s Registration Statement on Form S-3 filed on August 28, 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consent to the reference to our firm under the caption “Experts” in Amendment No. 1 of the Registration Statement (Form S-3) and related Preliminary Prospectus of Active Power, Inc. for the registration of 6,000,000 shares of its common stock and to the incorporation by reference therein of our reports dated February 27, 2009, with respect to the consolidated financial statements of Active Power, Inc., and the effectiveness of internal control over financial reporting of Active Power, Inc., included in its Annual Report (Form 10-K) for the year ended December 31, 2008, filed with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51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lvl w:ilvl="1">
      <w:lvlJc w:val="left"/>
      <w:lvlText w:val="(%2)"/>
      <w:numFmt w:val="decimal"/>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Roman"/>
      <w:start w:val="3"/>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1)"/>
      <w:numFmt w:val="upperLetter"/>
      <w:start w:val="1"/>
    </w:lvl>
  </w:abstractNum>
  <w:abstractNum w:abstractNumId="22">
    <w:nsid w:val="8EDBDAB"/>
    <w:multiLevelType w:val="hybridMultilevel"/>
    <w:lvl w:ilvl="0">
      <w:lvlJc w:val="left"/>
      <w:lvlText w:val="%1"/>
      <w:numFmt w:val="lowerLetter"/>
      <w:start w:val="1"/>
    </w:lvl>
    <w:lvl w:ilvl="1">
      <w:lvlJc w:val="left"/>
      <w:lvlText w:val="(%2)"/>
      <w:numFmt w:val="lowerLetter"/>
      <w:start w:val="35"/>
    </w:lvl>
  </w:abstractNum>
  <w:abstractNum w:abstractNumId="23">
    <w:nsid w:val="79838CB2"/>
    <w:multiLevelType w:val="hybridMultilevel"/>
    <w:lvl w:ilvl="0">
      <w:lvlJc w:val="left"/>
      <w:lvlText w:val="(%1)"/>
      <w:numFmt w:val="lowerLetter"/>
      <w:start w:val="2"/>
    </w:lvl>
    <w:lvl w:ilvl="1">
      <w:lvlJc w:val="left"/>
      <w:lvlText w:val="%2"/>
      <w:numFmt w:val="lowerLetter"/>
      <w:start w:val="1"/>
    </w:lvl>
  </w:abstractNum>
  <w:abstractNum w:abstractNumId="24">
    <w:nsid w:val="4353D0CD"/>
    <w:multiLevelType w:val="hybridMultilevel"/>
    <w:lvl w:ilvl="0">
      <w:lvlJc w:val="left"/>
      <w:lvlText w:val="(%1)"/>
      <w:numFmt w:val="lowerLetter"/>
      <w:start w:val="3"/>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2019-12-10T16:06:45Z</dcterms:created>
  <dcterms:modified xsi:type="dcterms:W3CDTF">2019-12-10T16:06:45Z</dcterms:modified>
</cp:coreProperties>
</file>