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19,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49" w:right="339" w:bottom="1440" w:gutter="0" w:footer="0" w:header="0"/>
        </w:sectPr>
      </w:pPr>
    </w:p>
    <w:p>
      <w:pPr>
        <w:spacing w:after="0" w:line="201"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001-40937</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87-2908160</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5160" w:space="720"/>
            <w:col w:w="2220" w:space="720"/>
            <w:col w:w="2420"/>
          </w:cols>
          <w:pgMar w:left="320" w:top="124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 75205</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249" w:right="339" w:bottom="1440" w:gutter="0" w:footer="0" w:header="0"/>
          <w:type w:val="continuous"/>
        </w:sectPr>
      </w:pP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39"/>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21"/>
        <w:spacing w:after="0" w:line="500" w:lineRule="auto"/>
        <w:tabs>
          <w:tab w:leader="none" w:pos="2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or to be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Trading</w:t>
            </w:r>
          </w:p>
        </w:tc>
        <w:tc>
          <w:tcPr>
            <w:tcW w:w="3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52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Title of Each Class</w:t>
            </w:r>
          </w:p>
        </w:tc>
        <w:tc>
          <w:tcPr>
            <w:tcW w:w="236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Symbol</w:t>
            </w:r>
          </w:p>
        </w:tc>
        <w:tc>
          <w:tcPr>
            <w:tcW w:w="36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registered</w:t>
            </w: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tc>
        <w:tc>
          <w:tcPr>
            <w:tcW w:w="23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PX</w:t>
            </w:r>
          </w:p>
        </w:tc>
        <w:tc>
          <w:tcPr>
            <w:tcW w:w="3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91"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December 19, 2024, P10, Inc. (the “Company”) entered into an amendment (the “Amendment”) to the Controlled Company Agreement, dated as of October 20, 2021, by and among the Company and the stockholders of the Company party thereto (as amended, the “Controlled Company Agreement”). The Amendment amends the Controlled Company Agreement to, among other things: (i) remove each of 210/P10 Acquisition Partners, LLC, Souder Family LLC and Michael Feinglass as a Restricted Stockholder (as defined in the Controlled Company Agreement) thereunder, and (ii) remove the board nomination and other rights of 210/P10 Acquisition Partners, LLC.</w:t>
      </w:r>
    </w:p>
    <w:p>
      <w:pPr>
        <w:spacing w:after="0" w:line="210"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its entry into the Amendment, 210/P10 Acquisition Partners, LLC delivered to the Company an irrevocable instruction to convert all shares of Class B Common Stock of the Company held by it into shares of Class A Common Stock of the Company.</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thereof, a copy of which has been filed as Exhibit 10.1 hereto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17"/>
                <w:szCs w:val="17"/>
                <w:color w:val="auto"/>
              </w:rPr>
            </w:pPr>
          </w:p>
        </w:tc>
        <w:tc>
          <w:tcPr>
            <w:tcW w:w="63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Amendment No. 2 to Controlled Company Agreement, dated as of December 19, 2024,</w:t>
            </w:r>
          </w:p>
        </w:tc>
        <w:tc>
          <w:tcPr>
            <w:tcW w:w="33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by and among P10, Inc. and the parties listed on the signature pages thereto.</w:t>
            </w:r>
          </w:p>
        </w:tc>
        <w:tc>
          <w:tcPr>
            <w:tcW w:w="4160" w:type="dxa"/>
            <w:vAlign w:val="bottom"/>
            <w:gridSpan w:val="2"/>
          </w:tcPr>
          <w:p>
            <w:pPr>
              <w:spacing w:after="0"/>
              <w:rPr>
                <w:sz w:val="17"/>
                <w:szCs w:val="17"/>
                <w:color w:val="auto"/>
              </w:rPr>
            </w:pPr>
          </w:p>
        </w:tc>
      </w:tr>
      <w:tr>
        <w:trPr>
          <w:trHeight w:val="237"/>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9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870"/>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P10,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AMENDMENT NO. 2 TO</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CONTROLLED COMPANY AGREEMENT</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This AMENDMENT NO. 2 TO CONTROLLED COMPANY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dated as of December 19, 2024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among the parties listed on the signature pages hereto. Capitalized terms not otherwise defined herein shall have the meanings ascribed in the Controlled Company Agreement dated as of October 20, 2021 (as amended by Amendment No. 1 to Controlled Company Agreement, dated as of May 16, 2023, the “</w:t>
      </w:r>
      <w:r>
        <w:rPr>
          <w:rFonts w:ascii="Times New Roman" w:cs="Times New Roman" w:eastAsia="Times New Roman" w:hAnsi="Times New Roman"/>
          <w:sz w:val="18"/>
          <w:szCs w:val="18"/>
          <w:u w:val="single" w:color="auto"/>
          <w:color w:val="auto"/>
        </w:rPr>
        <w:t>Controlled Company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WHEREAS, the Issuer and Stockholders entered into the Controlled Company Agreement to govern certain of their rights, duties and obligations with respect to their ownership of Shares after consummation of the Restructuring.</w:t>
      </w:r>
    </w:p>
    <w:p>
      <w:pPr>
        <w:spacing w:after="0" w:line="54"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WHEREAS, each of 210/P10 Acquisition Partners, LLC, Souder Family LLC and Michael Feinglass is a Restricted Stockholder and desires to be released from the rights, duties and obligations under the Controlled Company Agreement as a Restricted Stockholder.</w:t>
      </w:r>
    </w:p>
    <w:p>
      <w:pPr>
        <w:spacing w:after="0" w:line="54"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WHEREAS, pursuant to Section 4.1 of the Controlled Company Agreement, each of the parties to the Controlled Company Agreement are entering into this Amendment to amend the Controlled Company Agreement to, among other things, remove (a) board nomination and other rights of 210/P10 Acquisition Partners, LLC and (b) each of 210/P10 Acquisition Partners, LLC, Souder Family LLC and Michael Feinglass as a Restricted Stockholder on and after the Effective Date.</w:t>
      </w:r>
    </w:p>
    <w:p>
      <w:pPr>
        <w:spacing w:after="0" w:line="72"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WHEREAS, in connection with its entry into this Amendment, 210/P10 Acquisition Partners, LLC has delivered to the Issuer an irrevocable instruction to convert all shares of Class B Common Stock held by it into shares of Class A Common Stock.</w:t>
      </w:r>
    </w:p>
    <w:p>
      <w:pPr>
        <w:spacing w:after="0" w:line="54"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other good and valuable consideration, the adequacy and receipt of which are hereby acknowledged the parties mutually agree as follows:</w:t>
      </w:r>
    </w:p>
    <w:p>
      <w:pPr>
        <w:spacing w:after="0" w:line="200" w:lineRule="exact"/>
        <w:rPr>
          <w:sz w:val="20"/>
          <w:szCs w:val="20"/>
          <w:color w:val="auto"/>
        </w:rPr>
      </w:pPr>
    </w:p>
    <w:p>
      <w:pPr>
        <w:spacing w:after="0" w:line="205" w:lineRule="exact"/>
        <w:rPr>
          <w:sz w:val="20"/>
          <w:szCs w:val="20"/>
          <w:color w:val="auto"/>
        </w:rPr>
      </w:pPr>
    </w:p>
    <w:p>
      <w:pPr>
        <w:ind w:left="820" w:hanging="377"/>
        <w:spacing w:after="0"/>
        <w:tabs>
          <w:tab w:leader="none" w:pos="820"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Section 1.1</w:t>
      </w:r>
      <w:r>
        <w:rPr>
          <w:rFonts w:ascii="Times New Roman" w:cs="Times New Roman" w:eastAsia="Times New Roman" w:hAnsi="Times New Roman"/>
          <w:sz w:val="18"/>
          <w:szCs w:val="18"/>
          <w:color w:val="auto"/>
        </w:rPr>
        <w:t>. Section 1.1 of the Controlled Company Agreement is hereby amended by:</w:t>
      </w:r>
    </w:p>
    <w:p>
      <w:pPr>
        <w:spacing w:after="0" w:line="225" w:lineRule="exact"/>
        <w:rPr>
          <w:rFonts w:ascii="Times New Roman" w:cs="Times New Roman" w:eastAsia="Times New Roman" w:hAnsi="Times New Roman"/>
          <w:sz w:val="18"/>
          <w:szCs w:val="18"/>
          <w:u w:val="single" w:color="auto"/>
          <w:color w:val="auto"/>
        </w:rPr>
      </w:pPr>
    </w:p>
    <w:p>
      <w:pPr>
        <w:ind w:left="1560" w:hanging="369"/>
        <w:spacing w:after="0"/>
        <w:tabs>
          <w:tab w:leader="none" w:pos="15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definition of “210 Stockholders” in its entirety.</w:t>
      </w:r>
    </w:p>
    <w:p>
      <w:pPr>
        <w:spacing w:after="0" w:line="225" w:lineRule="exact"/>
        <w:rPr>
          <w:rFonts w:ascii="Times New Roman" w:cs="Times New Roman" w:eastAsia="Times New Roman" w:hAnsi="Times New Roman"/>
          <w:sz w:val="18"/>
          <w:szCs w:val="18"/>
          <w:color w:val="auto"/>
        </w:rPr>
      </w:pPr>
    </w:p>
    <w:p>
      <w:pPr>
        <w:ind w:left="1560" w:hanging="369"/>
        <w:spacing w:after="0"/>
        <w:tabs>
          <w:tab w:leader="none" w:pos="15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definition of “210 Designee” in its entirety.</w:t>
      </w:r>
    </w:p>
    <w:p>
      <w:pPr>
        <w:spacing w:after="0" w:line="225" w:lineRule="exact"/>
        <w:rPr>
          <w:rFonts w:ascii="Times New Roman" w:cs="Times New Roman" w:eastAsia="Times New Roman" w:hAnsi="Times New Roman"/>
          <w:sz w:val="18"/>
          <w:szCs w:val="18"/>
          <w:color w:val="auto"/>
        </w:rPr>
      </w:pPr>
    </w:p>
    <w:p>
      <w:pPr>
        <w:ind w:left="1560" w:hanging="369"/>
        <w:spacing w:after="0"/>
        <w:tabs>
          <w:tab w:leader="none" w:pos="15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definition of “Restricted Period” in its entirety.</w:t>
      </w:r>
    </w:p>
    <w:p>
      <w:pPr>
        <w:spacing w:after="0" w:line="225"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to Section 2.1</w:t>
      </w:r>
      <w:r>
        <w:rPr>
          <w:rFonts w:ascii="Times New Roman" w:cs="Times New Roman" w:eastAsia="Times New Roman" w:hAnsi="Times New Roman"/>
          <w:sz w:val="18"/>
          <w:szCs w:val="18"/>
          <w:color w:val="auto"/>
        </w:rPr>
        <w:t>. Section 2.1 of the Controlled Company Agreement is hereby amended by:</w:t>
      </w:r>
    </w:p>
    <w:p>
      <w:pPr>
        <w:spacing w:after="0" w:line="225" w:lineRule="exact"/>
        <w:rPr>
          <w:rFonts w:ascii="Times New Roman" w:cs="Times New Roman" w:eastAsia="Times New Roman" w:hAnsi="Times New Roman"/>
          <w:sz w:val="18"/>
          <w:szCs w:val="18"/>
          <w:u w:val="single" w:color="auto"/>
          <w:color w:val="auto"/>
        </w:rPr>
      </w:pPr>
    </w:p>
    <w:p>
      <w:pPr>
        <w:ind w:left="1560" w:hanging="369"/>
        <w:spacing w:after="0"/>
        <w:tabs>
          <w:tab w:leader="none" w:pos="15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clause (a)(i) thereof in its entirety and replacing it with “[Reserved]”.</w:t>
      </w:r>
    </w:p>
    <w:p>
      <w:pPr>
        <w:spacing w:after="0" w:line="225" w:lineRule="exact"/>
        <w:rPr>
          <w:rFonts w:ascii="Times New Roman" w:cs="Times New Roman" w:eastAsia="Times New Roman" w:hAnsi="Times New Roman"/>
          <w:sz w:val="18"/>
          <w:szCs w:val="18"/>
          <w:color w:val="auto"/>
        </w:rPr>
      </w:pPr>
    </w:p>
    <w:p>
      <w:pPr>
        <w:ind w:left="1560" w:hanging="369"/>
        <w:spacing w:after="0"/>
        <w:tabs>
          <w:tab w:leader="none" w:pos="15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clause (a)(iv) thereof in its entirety and replacing it with “[Reserved]”.</w:t>
      </w:r>
    </w:p>
    <w:p>
      <w:pPr>
        <w:spacing w:after="0" w:line="225" w:lineRule="exact"/>
        <w:rPr>
          <w:rFonts w:ascii="Times New Roman" w:cs="Times New Roman" w:eastAsia="Times New Roman" w:hAnsi="Times New Roman"/>
          <w:sz w:val="18"/>
          <w:szCs w:val="18"/>
          <w:color w:val="auto"/>
        </w:rPr>
      </w:pPr>
    </w:p>
    <w:p>
      <w:pPr>
        <w:ind w:left="820" w:hanging="377"/>
        <w:spacing w:after="0" w:line="282" w:lineRule="auto"/>
        <w:tabs>
          <w:tab w:leader="none" w:pos="820"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to Article III</w:t>
      </w:r>
      <w:r>
        <w:rPr>
          <w:rFonts w:ascii="Times New Roman" w:cs="Times New Roman" w:eastAsia="Times New Roman" w:hAnsi="Times New Roman"/>
          <w:sz w:val="18"/>
          <w:szCs w:val="18"/>
          <w:color w:val="auto"/>
        </w:rPr>
        <w:t>. Article III of the Controlled Company Agreement is hereby amended by deleting all sections thereof and replacing them with “[Reserved]”.</w:t>
      </w:r>
    </w:p>
    <w:p>
      <w:pPr>
        <w:spacing w:after="0" w:line="161" w:lineRule="exact"/>
        <w:rPr>
          <w:rFonts w:ascii="Times New Roman" w:cs="Times New Roman" w:eastAsia="Times New Roman" w:hAnsi="Times New Roman"/>
          <w:sz w:val="18"/>
          <w:szCs w:val="18"/>
          <w:u w:val="single" w:color="auto"/>
          <w:color w:val="auto"/>
        </w:rPr>
      </w:pPr>
    </w:p>
    <w:p>
      <w:pPr>
        <w:ind w:left="820" w:hanging="377"/>
        <w:spacing w:after="0" w:line="282" w:lineRule="auto"/>
        <w:tabs>
          <w:tab w:leader="none" w:pos="820"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Amendment to Section 4.6</w:t>
      </w:r>
      <w:r>
        <w:rPr>
          <w:rFonts w:ascii="Times New Roman" w:cs="Times New Roman" w:eastAsia="Times New Roman" w:hAnsi="Times New Roman"/>
          <w:sz w:val="18"/>
          <w:szCs w:val="18"/>
          <w:color w:val="auto"/>
        </w:rPr>
        <w:t>. Section 4.6 of the Controlled Company Agreement is hereby amended by deleting clause (a) thereof in its entirety and replacing it with the following:</w:t>
      </w: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 if to the Issuer, to:</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P10, Inc.</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left="1820"/>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with a copy (which shall not constitute written notice) to:</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Kramer Levin Naftalis &amp; Frankel LLP</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1177 Avenue of the Americas</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Attention: Todd E. Lenson</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tlenson@kramerlevin.com</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380" w:hanging="377"/>
        <w:spacing w:after="0"/>
        <w:tabs>
          <w:tab w:leader="none" w:pos="380" w:val="left"/>
        </w:tabs>
        <w:numPr>
          <w:ilvl w:val="0"/>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Effect on the Controlled Company Agreement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u w:val="single" w:color="auto"/>
          <w:color w:val="auto"/>
        </w:rPr>
      </w:pPr>
    </w:p>
    <w:p>
      <w:pPr>
        <w:jc w:val="both"/>
        <w:ind w:left="1120" w:hanging="369"/>
        <w:spacing w:after="0" w:line="263" w:lineRule="auto"/>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the term “Restricted Stockholders” as used in the Controlled Company Agreement shall mean the Stockholders listed on the signature pages of this Amendment, other than 210/P10 Acquisition Partners, LLC, Souder Family LLC and Michael Feinglass. For the avoidance of doubt, from and after the Effective Date, none of 210/P10 Acquisition Partners, LLC, Souder Family LLC or Michael Feinglass shall have any rights under, or be bound by, the Controlled Company Agreement, and the Controlled Company Agreement shall be deemed terminated as to 210/P10 Acquisition Partners, LLC, Souder Family LLC and Michael Feinglass.</w:t>
      </w:r>
    </w:p>
    <w:p>
      <w:pPr>
        <w:spacing w:after="0" w:line="178" w:lineRule="exact"/>
        <w:rPr>
          <w:rFonts w:ascii="Times New Roman" w:cs="Times New Roman" w:eastAsia="Times New Roman" w:hAnsi="Times New Roman"/>
          <w:sz w:val="18"/>
          <w:szCs w:val="18"/>
          <w:color w:val="auto"/>
        </w:rPr>
      </w:pPr>
    </w:p>
    <w:p>
      <w:pPr>
        <w:jc w:val="both"/>
        <w:ind w:left="1120" w:hanging="369"/>
        <w:spacing w:after="0" w:line="266" w:lineRule="auto"/>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the term “RCP Stockholders” as used in the Controlled Company Agreement shall mean RCP Advisors 2, LLC and RCP Advisors 3, LLC, those parties listed on the signature pages of this Amendment under the heading RCP Stockholders, and any of their Permitted Transferees who hold Shares as of the applicable time.</w:t>
      </w:r>
    </w:p>
    <w:p>
      <w:pPr>
        <w:spacing w:after="0" w:line="175" w:lineRule="exact"/>
        <w:rPr>
          <w:rFonts w:ascii="Times New Roman" w:cs="Times New Roman" w:eastAsia="Times New Roman" w:hAnsi="Times New Roman"/>
          <w:sz w:val="18"/>
          <w:szCs w:val="18"/>
          <w:color w:val="auto"/>
        </w:rPr>
      </w:pPr>
    </w:p>
    <w:p>
      <w:pPr>
        <w:jc w:val="both"/>
        <w:ind w:left="1120" w:hanging="369"/>
        <w:spacing w:after="0" w:line="258" w:lineRule="auto"/>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confirm that, as of the Effective Date, none of 210/P10 Acquisition Partners, LLC, Souder Family LLC or Michael Feinglass is a member of any “group” within the meaning of Section 13(d)(3) and related rules, with any other Stockholder by virtue of the Controlled Company Agreement or otherwise; provided that the foregoing acknowledgment and confirmation is not an admission of membership in such a group or affirmation of the existence of such a group by 210/P10 Acquisition Partners, LLC, Souder Family LLC, Michael Feinglass or any Stockholder at any time.</w:t>
      </w:r>
    </w:p>
    <w:p>
      <w:pPr>
        <w:spacing w:after="0" w:line="75"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u w:val="single" w:color="auto"/>
          <w:color w:val="auto"/>
        </w:rPr>
      </w:pPr>
    </w:p>
    <w:p>
      <w:pPr>
        <w:jc w:val="both"/>
        <w:ind w:left="1120" w:hanging="369"/>
        <w:spacing w:after="0" w:line="254" w:lineRule="auto"/>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this Amendment shall become a part of the Controlled Company Agreement and shall be read together and shall have effect as if the provisions of the Controlled Company Agreement and this Amendment were contained in one agreement, and each reference in the Controlled Company Agreement to “this Agreement,” or “hereof,” “hereunder” or words of like import, and each reference in any other document to the Controlled Company Agreement, shall mean and be a reference to such Controlled Company Agreement, as amended or modified hereby. In the event of any inconsistencies between the provisions of this Amendment and the Controlled Company Agreement, the provisions of this Amendment shall control. However, except as expressly amended or modified by this Amendment, the Controlled Company Agreement shall continue in full force and effect and govern the parties’ relationship with respect to matters addressed in the Controlled Company Agreement.</w:t>
      </w:r>
    </w:p>
    <w:p>
      <w:pPr>
        <w:spacing w:after="0" w:line="191" w:lineRule="exact"/>
        <w:rPr>
          <w:rFonts w:ascii="Times New Roman" w:cs="Times New Roman" w:eastAsia="Times New Roman" w:hAnsi="Times New Roman"/>
          <w:sz w:val="18"/>
          <w:szCs w:val="18"/>
          <w:color w:val="auto"/>
        </w:rPr>
      </w:pPr>
    </w:p>
    <w:p>
      <w:pPr>
        <w:jc w:val="both"/>
        <w:ind w:left="1120" w:hanging="369"/>
        <w:spacing w:after="0" w:line="261" w:lineRule="auto"/>
        <w:tabs>
          <w:tab w:leader="none" w:pos="11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any number of counterparts and by different parties to this Amendment on separate counterparts, each of which, when so executed, shall be deemed an original, but all such counterparts shall constitute one and the same agreement. Any signature delivered by a party by facsimile or other electronic transmission shall be deemed to be an original signature hereto.</w:t>
      </w:r>
    </w:p>
    <w:p>
      <w:pPr>
        <w:spacing w:after="0" w:line="17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264160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17" w:right="339" w:bottom="1440" w:gutter="0" w:footer="0" w:header="0"/>
        </w:sectPr>
      </w:pPr>
    </w:p>
    <w:bookmarkStart w:id="5" w:name="page6"/>
    <w:bookmarkEnd w:id="5"/>
    <w:p>
      <w:pPr>
        <w:ind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has executed this Agreement or caused this Agreement to be executed on its behalf as of the date first written above.</w:t>
      </w: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P10,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-7620</wp:posOffset>
            </wp:positionV>
            <wp:extent cx="1142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Amanda Coussens</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2 to Controlled Company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6" w:name="page7"/>
    <w:bookmarkEnd w:id="6"/>
    <w:p>
      <w:pPr>
        <w:ind w:left="3380"/>
        <w:spacing w:after="0"/>
        <w:rPr>
          <w:sz w:val="20"/>
          <w:szCs w:val="20"/>
          <w:color w:val="auto"/>
        </w:rPr>
      </w:pPr>
      <w:r>
        <w:rPr>
          <w:rFonts w:ascii="Times New Roman" w:cs="Times New Roman" w:eastAsia="Times New Roman" w:hAnsi="Times New Roman"/>
          <w:sz w:val="17"/>
          <w:szCs w:val="17"/>
          <w:b w:val="1"/>
          <w:bCs w:val="1"/>
          <w:color w:val="auto"/>
        </w:rPr>
        <w:t>210/P10 ACQUISITION PARTNERS, LLC</w:t>
      </w:r>
    </w:p>
    <w:p>
      <w:pPr>
        <w:spacing w:after="0" w:line="26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210 Capital, LLC</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3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Covenant RHA Partners, L.P.</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Its: Member</w:t>
      </w:r>
    </w:p>
    <w:p>
      <w:pPr>
        <w:spacing w:after="0" w:line="200" w:lineRule="exact"/>
        <w:rPr>
          <w:sz w:val="20"/>
          <w:szCs w:val="20"/>
          <w:color w:val="auto"/>
        </w:rPr>
      </w:pPr>
    </w:p>
    <w:p>
      <w:pPr>
        <w:spacing w:after="0" w:line="2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-7620</wp:posOffset>
            </wp:positionV>
            <wp:extent cx="91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Robert Alpert</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CCW/LAW Holdings, LLC</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Its: Member</w:t>
      </w:r>
    </w:p>
    <w:p>
      <w:pPr>
        <w:spacing w:after="0" w:line="200" w:lineRule="exact"/>
        <w:rPr>
          <w:sz w:val="20"/>
          <w:szCs w:val="20"/>
          <w:color w:val="auto"/>
        </w:rPr>
      </w:pPr>
    </w:p>
    <w:p>
      <w:pPr>
        <w:spacing w:after="0" w:line="2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-7620</wp:posOffset>
            </wp:positionV>
            <wp:extent cx="913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C. Clark Webb</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Souder Family LLC</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-7620</wp:posOffset>
            </wp:positionV>
            <wp:extent cx="1142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William F. Souder</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Michael Feinglass</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 Michael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-7620</wp:posOffset>
            </wp:positionV>
            <wp:extent cx="2056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6765" cy="8890"/>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Michael Feinglass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2 to Controlled Company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474980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 w:name="page8"/>
    <w:bookmarkEnd w:id="7"/>
    <w:p>
      <w:pPr>
        <w:ind w:left="3380"/>
        <w:spacing w:after="0"/>
        <w:rPr>
          <w:sz w:val="20"/>
          <w:szCs w:val="20"/>
          <w:color w:val="auto"/>
        </w:rPr>
      </w:pPr>
      <w:r>
        <w:rPr>
          <w:rFonts w:ascii="Times New Roman" w:cs="Times New Roman" w:eastAsia="Times New Roman" w:hAnsi="Times New Roman"/>
          <w:sz w:val="18"/>
          <w:szCs w:val="18"/>
          <w:u w:val="single" w:color="auto"/>
          <w:color w:val="auto"/>
        </w:rPr>
        <w:t>RCP Stockholders:</w:t>
      </w:r>
    </w:p>
    <w:p>
      <w:pPr>
        <w:spacing w:after="0" w:line="200" w:lineRule="exact"/>
        <w:rPr>
          <w:sz w:val="20"/>
          <w:szCs w:val="20"/>
          <w:color w:val="auto"/>
        </w:rPr>
      </w:pPr>
    </w:p>
    <w:p>
      <w:pPr>
        <w:spacing w:after="0" w:line="29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 David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-7620</wp:posOffset>
            </wp:positionV>
            <wp:extent cx="1828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David McCoy</w:t>
      </w:r>
    </w:p>
    <w:p>
      <w:pPr>
        <w:spacing w:after="0" w:line="200" w:lineRule="exact"/>
        <w:rPr>
          <w:sz w:val="20"/>
          <w:szCs w:val="20"/>
          <w:color w:val="auto"/>
        </w:rPr>
      </w:pPr>
    </w:p>
    <w:p>
      <w:pPr>
        <w:spacing w:after="0" w:line="2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 Alexander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-7620</wp:posOffset>
            </wp:positionV>
            <wp:extent cx="1828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Alexander Abell</w:t>
      </w:r>
    </w:p>
    <w:p>
      <w:pPr>
        <w:spacing w:after="0" w:line="200" w:lineRule="exact"/>
        <w:rPr>
          <w:sz w:val="20"/>
          <w:szCs w:val="20"/>
          <w:color w:val="auto"/>
        </w:rPr>
      </w:pPr>
    </w:p>
    <w:p>
      <w:pPr>
        <w:spacing w:after="0" w:line="2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-7620</wp:posOffset>
            </wp:positionV>
            <wp:extent cx="15995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Andrew Nelson</w:t>
      </w:r>
    </w:p>
    <w:p>
      <w:pPr>
        <w:spacing w:after="0" w:line="200" w:lineRule="exact"/>
        <w:rPr>
          <w:sz w:val="20"/>
          <w:szCs w:val="20"/>
          <w:color w:val="auto"/>
        </w:rPr>
      </w:pPr>
    </w:p>
    <w:p>
      <w:pPr>
        <w:spacing w:after="0" w:line="2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 Nell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-7620</wp:posOffset>
            </wp:positionV>
            <wp:extent cx="1828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Nell Blatherwick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Thomas P. Danis, Jr. Revocable Living Trust dated March 10, 2003, as amended</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Thomas P. Danis, Jr.</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Thomas P. Danis, Jr.</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2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Charles K. Huebner Trust dated January 16, 2001</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/s/ Charles K. Huebner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-7620</wp:posOffset>
            </wp:positionV>
            <wp:extent cx="11423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Charles K. Huebner</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2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Jon I. Madorsky Revocable Trust dated December 1, 2008</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 I. Madorsky</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Jon I. Madorsky</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2 to Controlled Company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474980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00"/>
          </w:cols>
          <w:pgMar w:left="1440" w:top="1417" w:right="959" w:bottom="1440" w:gutter="0" w:footer="0" w:header="0"/>
        </w:sectPr>
      </w:pPr>
    </w:p>
    <w:bookmarkStart w:id="8" w:name="page9"/>
    <w:bookmarkEnd w:id="8"/>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u w:val="single" w:color="auto"/>
          <w:color w:val="auto"/>
        </w:rPr>
        <w:t>TrueBridge Stockholders:</w:t>
      </w:r>
    </w:p>
    <w:p>
      <w:pPr>
        <w:spacing w:after="0" w:line="200" w:lineRule="exact"/>
        <w:rPr>
          <w:sz w:val="20"/>
          <w:szCs w:val="20"/>
          <w:color w:val="auto"/>
        </w:rPr>
      </w:pPr>
    </w:p>
    <w:p>
      <w:pPr>
        <w:spacing w:after="0" w:line="29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TrueBridge Colonial Fund, u/a dated 11/15/2015</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-7620</wp:posOffset>
            </wp:positionV>
            <wp:extent cx="91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Edwin Poston</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GP</w:t>
      </w:r>
    </w:p>
    <w:p>
      <w:pPr>
        <w:spacing w:after="0" w:line="200" w:lineRule="exact"/>
        <w:rPr>
          <w:sz w:val="20"/>
          <w:szCs w:val="20"/>
          <w:color w:val="auto"/>
        </w:rPr>
      </w:pPr>
    </w:p>
    <w:p>
      <w:pPr>
        <w:spacing w:after="0" w:line="2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Mel Williams Irrevocable Trust u/a/d August 12, 2015</w:t>
      </w:r>
    </w:p>
    <w:p>
      <w:pPr>
        <w:spacing w:after="0" w:line="26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Alliance Trust Company, its Trustee</w:t>
      </w:r>
    </w:p>
    <w:p>
      <w:pPr>
        <w:spacing w:after="0" w:line="2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/s/ Mel 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-7620</wp:posOffset>
            </wp:positionV>
            <wp:extent cx="1142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Mel Williams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TrueBridge Ascent LLC</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-7620</wp:posOffset>
            </wp:positionV>
            <wp:extent cx="91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Edwin Poston</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General Partner</w:t>
      </w:r>
    </w:p>
    <w:p>
      <w:pPr>
        <w:spacing w:after="0" w:line="200" w:lineRule="exact"/>
        <w:rPr>
          <w:sz w:val="20"/>
          <w:szCs w:val="20"/>
          <w:color w:val="auto"/>
        </w:rPr>
      </w:pPr>
    </w:p>
    <w:p>
      <w:pPr>
        <w:spacing w:after="0" w:line="27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MAW Management Co.</w:t>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/s/ Mel 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-7620</wp:posOffset>
            </wp:positionV>
            <wp:extent cx="11423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Name: Mel A. Williams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Amendment No. 2 to Controlled Company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474980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2024-12-26T11:32:04Z</dcterms:created>
  <dcterms:modified xsi:type="dcterms:W3CDTF">2024-12-26T11:32:04Z</dcterms:modified>
</cp:coreProperties>
</file>