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1600</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6"/>
              </w:rPr>
              <w:t>Dallas, Texas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Series A Junior Participating Preferred Stock Purchase Rights</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1.02 Termination of a Material Definitive Agreement.</w:t>
      </w:r>
    </w:p>
    <w:p>
      <w:pPr>
        <w:spacing w:after="0" w:line="102" w:lineRule="exact"/>
        <w:rPr>
          <w:sz w:val="20"/>
          <w:szCs w:val="20"/>
          <w:color w:val="auto"/>
        </w:rPr>
      </w:pPr>
    </w:p>
    <w:p>
      <w:pPr>
        <w:ind w:right="20" w:firstLine="751"/>
        <w:spacing w:after="0" w:line="254" w:lineRule="auto"/>
        <w:rPr>
          <w:sz w:val="20"/>
          <w:szCs w:val="20"/>
          <w:color w:val="auto"/>
        </w:rPr>
      </w:pPr>
      <w:r>
        <w:rPr>
          <w:rFonts w:ascii="Times New Roman" w:cs="Times New Roman" w:eastAsia="Times New Roman" w:hAnsi="Times New Roman"/>
          <w:sz w:val="16"/>
          <w:szCs w:val="16"/>
          <w:color w:val="auto"/>
        </w:rPr>
        <w:t>On May 7, 2024, the Board of Directors (the “Board”) of P10, Inc. (the “Company”) determined that the Rights Agreement, dated as of October 20, 2021, by and between the Company and Equiniti Trust Company, LLC (f/k/a American Stock Transfer &amp; Trust Company, LLC), as rights agent, as amended by that certain First Amendment to Rights Agreement, dated as of September 15, 2023 (as amended, the “Rights Agreement”), is no longer necessary for the preservation of Tax Benefits (as defined therein) and set an Expiration Date under the Rights Agreement of May 8, 2024. As a result, the rights under the Rights Agreement will expire and the Rights Agreement shall terminate at the close of business on May 8,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100" w:firstLine="751"/>
        <w:spacing w:after="0" w:line="276" w:lineRule="auto"/>
        <w:rPr>
          <w:sz w:val="20"/>
          <w:szCs w:val="20"/>
          <w:color w:val="auto"/>
        </w:rPr>
      </w:pPr>
      <w:r>
        <w:rPr>
          <w:rFonts w:ascii="Times New Roman" w:cs="Times New Roman" w:eastAsia="Times New Roman" w:hAnsi="Times New Roman"/>
          <w:sz w:val="16"/>
          <w:szCs w:val="16"/>
          <w:color w:val="auto"/>
        </w:rPr>
        <w:t>On May 8, 2024, the Company issued a press release and presentation announcing its financial results for the first quarter ended March 31, 2024. A copy of the press release and presentation are furnished as Exhibits 99.1 and 99.2, respectively, to this Current Report on Form 8-K and are incorporated herein by reference.</w:t>
      </w:r>
    </w:p>
    <w:p>
      <w:pPr>
        <w:spacing w:after="0" w:line="145" w:lineRule="exact"/>
        <w:rPr>
          <w:sz w:val="20"/>
          <w:szCs w:val="20"/>
          <w:color w:val="auto"/>
        </w:rPr>
      </w:pPr>
    </w:p>
    <w:p>
      <w:pPr>
        <w:ind w:right="60" w:firstLine="751"/>
        <w:spacing w:after="0" w:line="256" w:lineRule="auto"/>
        <w:rPr>
          <w:sz w:val="20"/>
          <w:szCs w:val="20"/>
          <w:color w:val="auto"/>
        </w:rPr>
      </w:pPr>
      <w:r>
        <w:rPr>
          <w:rFonts w:ascii="Times New Roman" w:cs="Times New Roman" w:eastAsia="Times New Roman" w:hAnsi="Times New Roman"/>
          <w:sz w:val="16"/>
          <w:szCs w:val="16"/>
          <w:color w:val="auto"/>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(the “Securities Act”), or the Exchange Act, regardless of any general incorporation language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3.03 Material Modification to Rights of Security Holders.</w:t>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information set forth under Item 1.02 of this Current Report on Form 8-K is incorporated into this Item 3.03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102" w:lineRule="exact"/>
        <w:rPr>
          <w:sz w:val="20"/>
          <w:szCs w:val="20"/>
          <w:color w:val="auto"/>
        </w:rPr>
      </w:pPr>
    </w:p>
    <w:p>
      <w:pPr>
        <w:jc w:val="both"/>
        <w:ind w:right="40" w:firstLine="751"/>
        <w:spacing w:after="0" w:line="254" w:lineRule="auto"/>
        <w:rPr>
          <w:sz w:val="20"/>
          <w:szCs w:val="20"/>
          <w:color w:val="auto"/>
        </w:rPr>
      </w:pPr>
      <w:r>
        <w:rPr>
          <w:rFonts w:ascii="Times New Roman" w:cs="Times New Roman" w:eastAsia="Times New Roman" w:hAnsi="Times New Roman"/>
          <w:sz w:val="16"/>
          <w:szCs w:val="16"/>
          <w:color w:val="auto"/>
        </w:rPr>
        <w:t>On May 6, 2024, Robert Alpert notified the Board that he was resigning as Executive Chairman and on May 7, 2024, the Board accepted the resignation of Mr. Alpert as Executive Chairman and appointed CEO and President Luke A. Sarsfield III as Chairman of the Board, in each case, to become effective as of the upcoming annual meeting of stockholders on June 14, 2024. Mr. Alpert will remain on the Board. In connection with Mr. Alpert’s resignation as Executive Chairman, the Company and Mr. Alpert agreed to the early termination of the Executive Transition Agreement, dated as of October 20, 2023, by and between P10 Intermediate Holdings, LLC and Mr. Alpert, effective as of June 14,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ind w:right="40" w:firstLine="751"/>
        <w:spacing w:after="0" w:line="276" w:lineRule="auto"/>
        <w:rPr>
          <w:sz w:val="20"/>
          <w:szCs w:val="20"/>
          <w:color w:val="auto"/>
        </w:rPr>
      </w:pPr>
      <w:r>
        <w:rPr>
          <w:rFonts w:ascii="Times New Roman" w:cs="Times New Roman" w:eastAsia="Times New Roman" w:hAnsi="Times New Roman"/>
          <w:sz w:val="16"/>
          <w:szCs w:val="16"/>
          <w:color w:val="auto"/>
        </w:rPr>
        <w:t>On May 8, 2024, the Company issued a press release announcing certain corporate governance updates. A copy of the press release is furnished as Exhibit 99.3 to this Current Report on Form 8-K and is incorporated herein by reference.</w:t>
      </w:r>
    </w:p>
    <w:p>
      <w:pPr>
        <w:spacing w:after="0" w:line="145" w:lineRule="exact"/>
        <w:rPr>
          <w:sz w:val="20"/>
          <w:szCs w:val="20"/>
          <w:color w:val="auto"/>
        </w:rPr>
      </w:pPr>
    </w:p>
    <w:p>
      <w:pPr>
        <w:jc w:val="both"/>
        <w:ind w:right="60" w:firstLine="751"/>
        <w:spacing w:after="0" w:line="261" w:lineRule="auto"/>
        <w:rPr>
          <w:sz w:val="20"/>
          <w:szCs w:val="20"/>
          <w:color w:val="auto"/>
        </w:rPr>
      </w:pPr>
      <w:r>
        <w:rPr>
          <w:rFonts w:ascii="Times New Roman" w:cs="Times New Roman" w:eastAsia="Times New Roman" w:hAnsi="Times New Roman"/>
          <w:sz w:val="16"/>
          <w:szCs w:val="16"/>
          <w:color w:val="auto"/>
        </w:rPr>
        <w:t>The information furnished by the Company pursuant to this Item 7.01, including Exhibit 99.3, shall not be deemed “filed” for purposes of Section 18 of the Exchange Act or otherwise subject to the liability of that section, and shall not be deemed to be incorporated by reference into any Company filing under the Securities Act or the Exchange Act, regardless of any general incorporation language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2420" w:type="dxa"/>
            <w:vAlign w:val="bottom"/>
          </w:tcPr>
          <w:p>
            <w:pPr>
              <w:spacing w:after="0"/>
              <w:rPr>
                <w:sz w:val="16"/>
                <w:szCs w:val="16"/>
                <w:color w:val="auto"/>
              </w:rPr>
            </w:pPr>
          </w:p>
        </w:tc>
        <w:tc>
          <w:tcPr>
            <w:tcW w:w="8060" w:type="dxa"/>
            <w:vAlign w:val="bottom"/>
            <w:gridSpan w:val="5"/>
          </w:tcPr>
          <w:p>
            <w:pPr>
              <w:ind w:left="24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60" w:type="dxa"/>
            <w:vAlign w:val="bottom"/>
            <w:gridSpan w:val="5"/>
          </w:tcPr>
          <w:p>
            <w:pPr>
              <w:ind w:left="2440"/>
              <w:spacing w:after="0" w:line="181" w:lineRule="exact"/>
              <w:rPr>
                <w:sz w:val="20"/>
                <w:szCs w:val="20"/>
                <w:color w:val="auto"/>
              </w:rPr>
            </w:pPr>
            <w:r>
              <w:rPr>
                <w:rFonts w:ascii="Times New Roman" w:cs="Times New Roman" w:eastAsia="Times New Roman" w:hAnsi="Times New Roman"/>
                <w:sz w:val="16"/>
                <w:szCs w:val="16"/>
                <w:color w:val="0000FF"/>
              </w:rPr>
              <w:t>Press Release of P10, Inc. dated May 8, 2024</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2</w:t>
            </w: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60" w:type="dxa"/>
            <w:vAlign w:val="bottom"/>
            <w:gridSpan w:val="5"/>
          </w:tcPr>
          <w:p>
            <w:pPr>
              <w:ind w:left="2440"/>
              <w:spacing w:after="0" w:line="181" w:lineRule="exact"/>
              <w:rPr>
                <w:sz w:val="20"/>
                <w:szCs w:val="20"/>
                <w:color w:val="auto"/>
              </w:rPr>
            </w:pPr>
            <w:r>
              <w:rPr>
                <w:rFonts w:ascii="Times New Roman" w:cs="Times New Roman" w:eastAsia="Times New Roman" w:hAnsi="Times New Roman"/>
                <w:sz w:val="16"/>
                <w:szCs w:val="16"/>
                <w:color w:val="0000FF"/>
              </w:rPr>
              <w:t>First Quarter 2024 Earnings Presentation, dated May 8, 2024</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3</w:t>
            </w: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60" w:type="dxa"/>
            <w:vAlign w:val="bottom"/>
            <w:gridSpan w:val="5"/>
          </w:tcPr>
          <w:p>
            <w:pPr>
              <w:ind w:left="2440"/>
              <w:spacing w:after="0" w:line="181" w:lineRule="exact"/>
              <w:rPr>
                <w:sz w:val="20"/>
                <w:szCs w:val="20"/>
                <w:color w:val="auto"/>
              </w:rPr>
            </w:pPr>
            <w:r>
              <w:rPr>
                <w:rFonts w:ascii="Times New Roman" w:cs="Times New Roman" w:eastAsia="Times New Roman" w:hAnsi="Times New Roman"/>
                <w:sz w:val="16"/>
                <w:szCs w:val="16"/>
                <w:color w:val="0000FF"/>
              </w:rPr>
              <w:t>Press Release of P10, Inc. dated May 8, 2024</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21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60" w:type="dxa"/>
            <w:vAlign w:val="bottom"/>
            <w:gridSpan w:val="5"/>
          </w:tcPr>
          <w:p>
            <w:pPr>
              <w:ind w:left="244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66"/>
        </w:trPr>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P10,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344170</wp:posOffset>
            </wp:positionV>
            <wp:extent cx="1201420" cy="27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19"/>
          <w:szCs w:val="19"/>
          <w:b w:val="1"/>
          <w:bCs w:val="1"/>
          <w:color w:val="2F2F45"/>
        </w:rPr>
        <w:t>P10 Reports First Quarter 2024 Earnings Results</w:t>
      </w:r>
    </w:p>
    <w:p>
      <w:pPr>
        <w:spacing w:after="0" w:line="309"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i w:val="1"/>
          <w:iCs w:val="1"/>
          <w:color w:val="2F2F45"/>
        </w:rPr>
        <w:t>Generated Record Quarterly Revenue of $66.1 Million, a 15% Annual Increase</w:t>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17"/>
          <w:szCs w:val="17"/>
          <w:i w:val="1"/>
          <w:iCs w:val="1"/>
          <w:color w:val="2F2F45"/>
        </w:rPr>
        <w:t>Increased Quarterly Dividend by 8%</w:t>
      </w:r>
    </w:p>
    <w:p>
      <w:pPr>
        <w:spacing w:after="0" w:line="381" w:lineRule="exact"/>
        <w:rPr>
          <w:sz w:val="20"/>
          <w:szCs w:val="20"/>
          <w:color w:val="auto"/>
        </w:rPr>
      </w:pPr>
    </w:p>
    <w:p>
      <w:pPr>
        <w:ind w:right="380"/>
        <w:spacing w:after="0" w:line="239" w:lineRule="auto"/>
        <w:rPr>
          <w:sz w:val="20"/>
          <w:szCs w:val="20"/>
          <w:color w:val="auto"/>
        </w:rPr>
      </w:pPr>
      <w:r>
        <w:rPr>
          <w:rFonts w:ascii="Calibri" w:cs="Calibri" w:eastAsia="Calibri" w:hAnsi="Calibri"/>
          <w:sz w:val="19"/>
          <w:szCs w:val="19"/>
          <w:color w:val="2F2F45"/>
        </w:rPr>
        <w:t xml:space="preserve">DALLAS, May 8, 2024 (GLOBE NEWSWIRE) - </w:t>
      </w:r>
      <w:r>
        <w:rPr>
          <w:rFonts w:ascii="Calibri" w:cs="Calibri" w:eastAsia="Calibri" w:hAnsi="Calibri"/>
          <w:sz w:val="19"/>
          <w:szCs w:val="19"/>
          <w:color w:val="000000"/>
        </w:rPr>
        <w:t>P10, Inc.</w:t>
      </w:r>
      <w:r>
        <w:rPr>
          <w:rFonts w:ascii="Calibri" w:cs="Calibri" w:eastAsia="Calibri" w:hAnsi="Calibri"/>
          <w:sz w:val="19"/>
          <w:szCs w:val="19"/>
          <w:color w:val="2F2F45"/>
        </w:rPr>
        <w:t xml:space="preserve"> (NYSE: PX) (the “Company”), a leading private markets solutons provider, today reported fnancial results for the frst quarter ended March 31, 2024.</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First Quarter 2024 Financial Highlights</w:t>
      </w:r>
    </w:p>
    <w:p>
      <w:pPr>
        <w:spacing w:after="0" w:line="99"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Revenue: $66.1 million, a 15% increase year over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Fee-Paying Assets Under Management: $23.8 billion, a 10% increase year over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GAAP Net Income: $5.2 million compared to $0.8 million in the prior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EBITDA: $30.8 million compared to $28.4 million in the prior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Adjusted Net Income: $25.4 million, compared to $25.5 million in the prior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GAAP EPS: $0.04 compared to $0.01 in the prior year.</w:t>
      </w:r>
    </w:p>
    <w:p>
      <w:pPr>
        <w:spacing w:after="0" w:line="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Calibri" w:cs="Calibri" w:eastAsia="Calibri" w:hAnsi="Calibri"/>
          <w:sz w:val="19"/>
          <w:szCs w:val="19"/>
          <w:color w:val="2F2F45"/>
        </w:rPr>
        <w:t>Fully diluted ANI per share: $0.21, compared to $0.21 in the prior year.</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color w:val="2F2F45"/>
        </w:rPr>
        <w:t xml:space="preserve">A presentaton of the quarterly fnancials may be accessed </w:t>
      </w:r>
      <w:r>
        <w:rPr>
          <w:rFonts w:ascii="Calibri" w:cs="Calibri" w:eastAsia="Calibri" w:hAnsi="Calibri"/>
          <w:sz w:val="19"/>
          <w:szCs w:val="19"/>
          <w:color w:val="000000"/>
        </w:rPr>
        <w:t>here</w:t>
      </w:r>
      <w:r>
        <w:rPr>
          <w:rFonts w:ascii="Calibri" w:cs="Calibri" w:eastAsia="Calibri" w:hAnsi="Calibri"/>
          <w:sz w:val="19"/>
          <w:szCs w:val="19"/>
          <w:color w:val="2F2F45"/>
        </w:rPr>
        <w:t xml:space="preserve"> and is available on the Company’s website.</w:t>
      </w:r>
    </w:p>
    <w:p>
      <w:pPr>
        <w:spacing w:after="0" w:line="247" w:lineRule="exact"/>
        <w:rPr>
          <w:sz w:val="20"/>
          <w:szCs w:val="20"/>
          <w:color w:val="auto"/>
        </w:rPr>
      </w:pPr>
    </w:p>
    <w:p>
      <w:pPr>
        <w:ind w:right="140"/>
        <w:spacing w:after="0" w:line="243" w:lineRule="auto"/>
        <w:rPr>
          <w:sz w:val="20"/>
          <w:szCs w:val="20"/>
          <w:color w:val="auto"/>
        </w:rPr>
      </w:pPr>
      <w:r>
        <w:rPr>
          <w:rFonts w:ascii="Calibri" w:cs="Calibri" w:eastAsia="Calibri" w:hAnsi="Calibri"/>
          <w:sz w:val="19"/>
          <w:szCs w:val="19"/>
          <w:color w:val="2F2F45"/>
        </w:rPr>
        <w:t>“In the frst quarter of 2024, P10 delivered record revenues of $66 million and executed against our strategy to generate long-term growth,” said Luke Sarsfeld, P10 Chief Executve Ofcer. “Our organic growth was underpinned by the $670 million in gross new fee-paying AUM our strategies raised across ten funds. These fundraising levels demonstrate the diversity of demand from our client base. We have advanced the operatonal initatves we introduced earlier this year, establishing a strong M&amp;A infrastructure and making key appointments that enhance our management team. We are on track to deliver double-digit annual revenue growth, meet our fundraising targets, and further expand our client franchise to provide unrivaled access to opportunites across the lower and core middle markets.”</w:t>
      </w:r>
    </w:p>
    <w:p>
      <w:pPr>
        <w:spacing w:after="0" w:line="28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Strategic Leadership Appointment</w:t>
      </w:r>
    </w:p>
    <w:p>
      <w:pPr>
        <w:spacing w:after="0" w:line="105" w:lineRule="exact"/>
        <w:rPr>
          <w:sz w:val="20"/>
          <w:szCs w:val="20"/>
          <w:color w:val="auto"/>
        </w:rPr>
      </w:pPr>
    </w:p>
    <w:p>
      <w:pPr>
        <w:spacing w:after="0" w:line="242" w:lineRule="auto"/>
        <w:rPr>
          <w:sz w:val="20"/>
          <w:szCs w:val="20"/>
          <w:color w:val="auto"/>
        </w:rPr>
      </w:pPr>
      <w:r>
        <w:rPr>
          <w:rFonts w:ascii="Calibri" w:cs="Calibri" w:eastAsia="Calibri" w:hAnsi="Calibri"/>
          <w:sz w:val="19"/>
          <w:szCs w:val="19"/>
          <w:color w:val="2F2F45"/>
        </w:rPr>
        <w:t>On April 29, 2024, P10 named Melodie Craf to General Counsel. Ms. Craf will lead the Company’s legal functon, providing strategic guidance on all corporate governance, legal, and regulatory maters. Ms. Craf is a seasoned atorney, General Counsel, compliance ofcer, and business advisor with over two decades of legal experience and a longstanding track record as a legal leader. She also has extensive experience leading M&amp;A transactons through requisite legal processes and post-close integraton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2F2F45"/>
        </w:rPr>
        <w:t>This follows the previously announced appointment of Arjay Jensen to EVP, Head of Strategy and M&amp;A in February.</w:t>
      </w:r>
    </w:p>
    <w:p>
      <w:pPr>
        <w:spacing w:after="0" w:line="28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Stock Repurchase Program</w:t>
      </w:r>
    </w:p>
    <w:p>
      <w:pPr>
        <w:spacing w:after="0" w:line="294" w:lineRule="exact"/>
        <w:rPr>
          <w:sz w:val="20"/>
          <w:szCs w:val="20"/>
          <w:color w:val="auto"/>
        </w:rPr>
      </w:pPr>
    </w:p>
    <w:p>
      <w:pPr>
        <w:jc w:val="both"/>
        <w:spacing w:after="0" w:line="241" w:lineRule="auto"/>
        <w:rPr>
          <w:sz w:val="20"/>
          <w:szCs w:val="20"/>
          <w:color w:val="auto"/>
        </w:rPr>
      </w:pPr>
      <w:r>
        <w:rPr>
          <w:rFonts w:ascii="Calibri" w:cs="Calibri" w:eastAsia="Calibri" w:hAnsi="Calibri"/>
          <w:sz w:val="19"/>
          <w:szCs w:val="19"/>
          <w:color w:val="2F2F45"/>
        </w:rPr>
        <w:t>On February 27, 2024, the Board of Directors of the Company increased the share repurchase authorizaton by $40 million. In the frst quarter, the Company repurchased approximately 3.7 million shares at an average price of $8.15 per share. There is now approximately $21 million remaining on the authorizaton.</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Declaraton of Dividend</w:t>
      </w:r>
    </w:p>
    <w:p>
      <w:pPr>
        <w:spacing w:after="0" w:line="105" w:lineRule="exact"/>
        <w:rPr>
          <w:sz w:val="20"/>
          <w:szCs w:val="20"/>
          <w:color w:val="auto"/>
        </w:rPr>
      </w:pPr>
    </w:p>
    <w:p>
      <w:pPr>
        <w:ind w:right="580"/>
        <w:spacing w:after="0" w:line="239" w:lineRule="auto"/>
        <w:rPr>
          <w:sz w:val="20"/>
          <w:szCs w:val="20"/>
          <w:color w:val="auto"/>
        </w:rPr>
      </w:pPr>
      <w:r>
        <w:rPr>
          <w:rFonts w:ascii="Calibri" w:cs="Calibri" w:eastAsia="Calibri" w:hAnsi="Calibri"/>
          <w:sz w:val="19"/>
          <w:szCs w:val="19"/>
          <w:color w:val="2F2F45"/>
        </w:rPr>
        <w:t>The Board of Directors of the Company has declared a quarterly cash dividend of $0.035 per share on Class A and Class B common stock, an increase of 8%, payable on June 20, 2024, to the holders of record as of the close of business on May 31, 2024.</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Conference Call Details</w:t>
      </w:r>
    </w:p>
    <w:p>
      <w:pPr>
        <w:spacing w:after="0" w:line="105" w:lineRule="exact"/>
        <w:rPr>
          <w:sz w:val="20"/>
          <w:szCs w:val="20"/>
          <w:color w:val="auto"/>
        </w:rPr>
      </w:pPr>
    </w:p>
    <w:p>
      <w:pPr>
        <w:ind w:right="220"/>
        <w:spacing w:after="0" w:line="239" w:lineRule="auto"/>
        <w:rPr>
          <w:sz w:val="20"/>
          <w:szCs w:val="20"/>
          <w:color w:val="auto"/>
        </w:rPr>
      </w:pPr>
      <w:r>
        <w:rPr>
          <w:rFonts w:ascii="Calibri" w:cs="Calibri" w:eastAsia="Calibri" w:hAnsi="Calibri"/>
          <w:sz w:val="19"/>
          <w:szCs w:val="19"/>
          <w:color w:val="2F2F45"/>
        </w:rPr>
        <w:t>The Company will host a conference call at 5:00 p.m. Eastern Time on Wednesday, May 8, 2024. All partcipants must register prior to joining the event.</w:t>
      </w:r>
    </w:p>
    <w:p>
      <w:pPr>
        <w:spacing w:after="0" w:line="242"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9"/>
          <w:szCs w:val="19"/>
          <w:color w:val="2F2F45"/>
        </w:rPr>
      </w:pPr>
      <w:r>
        <w:rPr>
          <w:rFonts w:ascii="Calibri" w:cs="Calibri" w:eastAsia="Calibri" w:hAnsi="Calibri"/>
          <w:sz w:val="19"/>
          <w:szCs w:val="19"/>
          <w:color w:val="2F2F45"/>
        </w:rPr>
        <w:t xml:space="preserve">To join and view the live webcast, please register </w:t>
      </w:r>
      <w:r>
        <w:rPr>
          <w:rFonts w:ascii="Calibri" w:cs="Calibri" w:eastAsia="Calibri" w:hAnsi="Calibri"/>
          <w:sz w:val="19"/>
          <w:szCs w:val="19"/>
          <w:color w:val="000000"/>
        </w:rPr>
        <w:t>here</w:t>
      </w:r>
      <w:r>
        <w:rPr>
          <w:rFonts w:ascii="Calibri" w:cs="Calibri" w:eastAsia="Calibri" w:hAnsi="Calibri"/>
          <w:sz w:val="19"/>
          <w:szCs w:val="19"/>
          <w:color w:val="2F2F45"/>
        </w:rPr>
        <w:t>.</w:t>
      </w:r>
    </w:p>
    <w:p>
      <w:pPr>
        <w:spacing w:after="0" w:line="10" w:lineRule="exact"/>
        <w:rPr>
          <w:rFonts w:ascii="Times New Roman" w:cs="Times New Roman" w:eastAsia="Times New Roman" w:hAnsi="Times New Roman"/>
          <w:sz w:val="19"/>
          <w:szCs w:val="19"/>
          <w:color w:val="2F2F45"/>
        </w:rPr>
      </w:pPr>
    </w:p>
    <w:p>
      <w:pPr>
        <w:ind w:left="740" w:hanging="370"/>
        <w:spacing w:after="0" w:line="234" w:lineRule="auto"/>
        <w:tabs>
          <w:tab w:leader="none" w:pos="740" w:val="left"/>
        </w:tabs>
        <w:numPr>
          <w:ilvl w:val="0"/>
          <w:numId w:val="3"/>
        </w:numPr>
        <w:rPr>
          <w:rFonts w:ascii="Times New Roman" w:cs="Times New Roman" w:eastAsia="Times New Roman" w:hAnsi="Times New Roman"/>
          <w:sz w:val="19"/>
          <w:szCs w:val="19"/>
          <w:color w:val="2F2F45"/>
        </w:rPr>
      </w:pPr>
      <w:r>
        <w:rPr>
          <w:rFonts w:ascii="Calibri" w:cs="Calibri" w:eastAsia="Calibri" w:hAnsi="Calibri"/>
          <w:sz w:val="19"/>
          <w:szCs w:val="19"/>
          <w:color w:val="2F2F45"/>
        </w:rPr>
        <w:t xml:space="preserve">To join by telephone, please register </w:t>
      </w:r>
      <w:r>
        <w:rPr>
          <w:rFonts w:ascii="Calibri" w:cs="Calibri" w:eastAsia="Calibri" w:hAnsi="Calibri"/>
          <w:sz w:val="19"/>
          <w:szCs w:val="19"/>
          <w:color w:val="000000"/>
        </w:rPr>
        <w:t>here</w:t>
      </w:r>
      <w:r>
        <w:rPr>
          <w:rFonts w:ascii="Calibri" w:cs="Calibri" w:eastAsia="Calibri" w:hAnsi="Calibri"/>
          <w:sz w:val="19"/>
          <w:szCs w:val="19"/>
          <w:color w:val="2F2F45"/>
        </w:rPr>
        <w: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2F2F45"/>
        </w:rPr>
        <w:t xml:space="preserve">For those unable to partcipate in the live event, a replay will be made available on P10’s investor relatons page at </w:t>
      </w:r>
      <w:r>
        <w:rPr>
          <w:rFonts w:ascii="Calibri" w:cs="Calibri" w:eastAsia="Calibri" w:hAnsi="Calibri"/>
          <w:sz w:val="19"/>
          <w:szCs w:val="19"/>
          <w:color w:val="000000"/>
        </w:rPr>
        <w:t>www.p10alts.com</w:t>
      </w:r>
      <w:r>
        <w:rPr>
          <w:rFonts w:ascii="Calibri" w:cs="Calibri" w:eastAsia="Calibri" w:hAnsi="Calibri"/>
          <w:sz w:val="19"/>
          <w:szCs w:val="19"/>
          <w:color w:val="2F2F45"/>
        </w:rPr>
        <w:t>.</w:t>
      </w:r>
    </w:p>
    <w:p>
      <w:pPr>
        <w:spacing w:after="0" w:line="28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About P10</w:t>
      </w:r>
    </w:p>
    <w:p>
      <w:pPr>
        <w:spacing w:after="0" w:line="105" w:lineRule="exact"/>
        <w:rPr>
          <w:sz w:val="20"/>
          <w:szCs w:val="20"/>
          <w:color w:val="auto"/>
        </w:rPr>
      </w:pPr>
    </w:p>
    <w:p>
      <w:pPr>
        <w:ind w:right="260"/>
        <w:spacing w:after="0" w:line="242" w:lineRule="auto"/>
        <w:rPr>
          <w:sz w:val="20"/>
          <w:szCs w:val="20"/>
          <w:color w:val="auto"/>
        </w:rPr>
      </w:pPr>
      <w:r>
        <w:rPr>
          <w:rFonts w:ascii="Calibri" w:cs="Calibri" w:eastAsia="Calibri" w:hAnsi="Calibri"/>
          <w:sz w:val="19"/>
          <w:szCs w:val="19"/>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March 31, 2024, P10 has a global investor base of more than 3,600 investors across 50 states, 60 countries, and six contnents, which includes some of the world’s largest pension funds, endowments, foundatons, corporate pensions, and fnancial insttutons. Visit </w:t>
      </w:r>
      <w:r>
        <w:rPr>
          <w:rFonts w:ascii="Calibri" w:cs="Calibri" w:eastAsia="Calibri" w:hAnsi="Calibri"/>
          <w:sz w:val="19"/>
          <w:szCs w:val="19"/>
          <w:color w:val="000000"/>
        </w:rPr>
        <w:t>www.p10alts.com</w:t>
      </w:r>
      <w:r>
        <w:rPr>
          <w:rFonts w:ascii="Calibri" w:cs="Calibri" w:eastAsia="Calibri" w:hAnsi="Calibri"/>
          <w:sz w:val="19"/>
          <w:szCs w:val="19"/>
          <w:color w:val="302C45"/>
        </w:rPr>
        <w:t>.</w:t>
      </w:r>
    </w:p>
    <w:p>
      <w:pPr>
        <w:spacing w:after="0" w:line="28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Forward-Looking Statements</w:t>
      </w:r>
    </w:p>
    <w:p>
      <w:pPr>
        <w:spacing w:after="0" w:line="105" w:lineRule="exact"/>
        <w:rPr>
          <w:sz w:val="20"/>
          <w:szCs w:val="20"/>
          <w:color w:val="auto"/>
        </w:rPr>
      </w:pPr>
    </w:p>
    <w:p>
      <w:pPr>
        <w:ind w:right="100"/>
        <w:spacing w:after="0" w:line="242" w:lineRule="auto"/>
        <w:rPr>
          <w:sz w:val="20"/>
          <w:szCs w:val="20"/>
          <w:color w:val="auto"/>
        </w:rPr>
      </w:pPr>
      <w:r>
        <w:rPr>
          <w:rFonts w:ascii="Calibri" w:cs="Calibri" w:eastAsia="Calibri" w:hAnsi="Calibri"/>
          <w:sz w:val="19"/>
          <w:szCs w:val="19"/>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24"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302C45"/>
        </w:rPr>
        <w:t>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8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Use of Non-GAAP Financial Measures by P10</w:t>
      </w:r>
    </w:p>
    <w:p>
      <w:pPr>
        <w:spacing w:after="0" w:line="105"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302C45"/>
        </w:rPr>
        <w:t>The non-GAAP fnancial measures contained in this press release (including, without limitaton, Adjusted EBITDA, Adjusted EBITDA Margin, Fee-Related Revenue (“FRR”), Fee-Related Earnings (“FRE”), Fee-Related Earnings Margin, Adjusted Net Income (“ANI”), Fully Diluted ANI EPS and fee-paying assets under management are not GAAP measures of the Company’s fnancial performance or liquidity and should not be considered as alternatves to net income (loss) as a measure of fnancial performance or cash fows from operatons as measures of liquidity, or any other performance measure derived in accordance with GAAP. A reconciliaton of such non-GAAP measures to their most directly comparable GAAP measure is included later in this press release. The Company believes the presentaton of these non-GAAP measures provide useful additonal informaton to investors because it provides beter comparability of ongoing operatng performance to prior periods. It is reasonable to expect that one or more excluded items will occur in future periods, but the amounts recognized can vary signifcantly from period to period. These non-GAAP measures should not be considered substtutes for net income or cash fows from operatng, investng, or fnancing actvites. You are encouraged to evaluate each adjustment to non-GAAP fnancial measures and the reasons management considers it appropriate for supplemental analysis. Our presentaton of these measures should not be construed as an inference that our future results will be unafected by unusual or non-recurring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782955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Key Financial &amp; Operatng Metrics</w:t>
      </w:r>
    </w:p>
    <w:p>
      <w:pPr>
        <w:spacing w:after="0" w:line="105" w:lineRule="exact"/>
        <w:rPr>
          <w:sz w:val="20"/>
          <w:szCs w:val="20"/>
          <w:color w:val="auto"/>
        </w:rPr>
      </w:pPr>
    </w:p>
    <w:p>
      <w:pPr>
        <w:spacing w:after="0" w:line="241" w:lineRule="auto"/>
        <w:rPr>
          <w:sz w:val="20"/>
          <w:szCs w:val="20"/>
          <w:color w:val="auto"/>
        </w:rPr>
      </w:pPr>
      <w:r>
        <w:rPr>
          <w:rFonts w:ascii="Calibri" w:cs="Calibri" w:eastAsia="Calibri" w:hAnsi="Calibri"/>
          <w:sz w:val="19"/>
          <w:szCs w:val="19"/>
          <w:color w:val="302C45"/>
        </w:rPr>
        <w:t>Fee-paying assets under management refects the assets from which we earn management and advisory fees. Our vehicles typically earn management and advisory fees based on commited capital, and in certain cases, net invested capital, depending on the fee terms. Management and advisory fees based on commited capital are not afected by market appreciaton or depreciaton.</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Ownership Limitatons</w:t>
      </w:r>
    </w:p>
    <w:p>
      <w:pPr>
        <w:spacing w:after="0" w:line="105" w:lineRule="exact"/>
        <w:rPr>
          <w:sz w:val="20"/>
          <w:szCs w:val="20"/>
          <w:color w:val="auto"/>
        </w:rPr>
      </w:pPr>
    </w:p>
    <w:p>
      <w:pPr>
        <w:ind w:right="620"/>
        <w:spacing w:after="0" w:line="241" w:lineRule="auto"/>
        <w:rPr>
          <w:sz w:val="20"/>
          <w:szCs w:val="20"/>
          <w:color w:val="auto"/>
        </w:rPr>
      </w:pPr>
      <w:r>
        <w:rPr>
          <w:rFonts w:ascii="Calibri" w:cs="Calibri" w:eastAsia="Calibri" w:hAnsi="Calibri"/>
          <w:sz w:val="19"/>
          <w:szCs w:val="19"/>
          <w:color w:val="302C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w:t>
      </w:r>
    </w:p>
    <w:p>
      <w:pPr>
        <w:spacing w:after="0" w:line="33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Investor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0563C1"/>
        </w:rPr>
        <w:t>info@p10alts.com</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Media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2F2F45"/>
        </w:rPr>
        <w:t>Josh Clarkson</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auto"/>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904240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7" w:name="page8"/>
    <w:bookmarkEnd w:id="7"/>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19"/>
          <w:szCs w:val="19"/>
          <w:b w:val="1"/>
          <w:bCs w:val="1"/>
          <w:color w:val="2F2F45"/>
        </w:rPr>
        <w:t>Reconciliaton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165735</wp:posOffset>
            </wp:positionV>
            <wp:extent cx="2883535" cy="2117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8353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2F2F45"/>
        </w:rPr>
        <w:t>Notes to Reconciliaton of Non-GAAP Financial Measures</w:t>
      </w:r>
    </w:p>
    <w:p>
      <w:pPr>
        <w:spacing w:after="0" w:line="247" w:lineRule="exact"/>
        <w:rPr>
          <w:sz w:val="20"/>
          <w:szCs w:val="20"/>
          <w:color w:val="auto"/>
        </w:rPr>
      </w:pPr>
    </w:p>
    <w:p>
      <w:pPr>
        <w:ind w:right="120"/>
        <w:spacing w:after="0" w:line="243" w:lineRule="auto"/>
        <w:rPr>
          <w:sz w:val="20"/>
          <w:szCs w:val="20"/>
          <w:color w:val="auto"/>
        </w:rPr>
      </w:pPr>
      <w:r>
        <w:rPr>
          <w:rFonts w:ascii="Calibri" w:cs="Calibri" w:eastAsia="Calibri" w:hAnsi="Calibri"/>
          <w:sz w:val="19"/>
          <w:szCs w:val="19"/>
          <w:color w:val="auto"/>
        </w:rPr>
        <w:t>Above is a calculaton of our unaudited non-GAAP fnancial measures. These are not measures of fnancial performance under GAAP and should not be construed as a substtute for the most directly comparable GAAP measures, which are reconciled in the table above. These measures have limitatons as analytcal tools, and when assessing our operatng performance, you should not consider these measures in isolaton or as a substtute for GAAP measures. Other companies may calculate these measures diferently than we do, limitng their usefulness as a comparatve measure.</w:t>
      </w:r>
    </w:p>
    <w:p>
      <w:pPr>
        <w:spacing w:after="0" w:line="8" w:lineRule="exact"/>
        <w:rPr>
          <w:sz w:val="20"/>
          <w:szCs w:val="20"/>
          <w:color w:val="auto"/>
        </w:rPr>
      </w:pPr>
    </w:p>
    <w:p>
      <w:pPr>
        <w:spacing w:after="0" w:line="243" w:lineRule="auto"/>
        <w:rPr>
          <w:sz w:val="20"/>
          <w:szCs w:val="20"/>
          <w:color w:val="auto"/>
        </w:rPr>
      </w:pPr>
      <w:r>
        <w:rPr>
          <w:rFonts w:ascii="Calibri" w:cs="Calibri" w:eastAsia="Calibri" w:hAnsi="Calibri"/>
          <w:sz w:val="19"/>
          <w:szCs w:val="19"/>
          <w:color w:val="auto"/>
        </w:rPr>
        <w:t>We use Adjusted Net Income, or ANI, as well as Adjusted EBITDA (Earnings Before Interest, Taxes, Depreciaton and Amortzaton), Adjusted EBITDA Margin, Fee-Related Revenues, Fee-Related Earnings and Fee-Related Earnings Margin to provide additonal measures of proftability. We use the measures to assess our performance relatve to our intended strategies, expected paterns of proftability, and budgets, and use the results of that assessment to adjust our future actvites to the extent we deem necessary. ANI refects our actual cash fows generated by our core operatons. ANI is calculated as Adjusted EBITDA, less actual cash paid for interest and federal and state income taxes.</w:t>
      </w:r>
    </w:p>
    <w:p>
      <w:pPr>
        <w:spacing w:after="0" w:line="239" w:lineRule="exact"/>
        <w:rPr>
          <w:sz w:val="20"/>
          <w:szCs w:val="20"/>
          <w:color w:val="auto"/>
        </w:rPr>
      </w:pPr>
    </w:p>
    <w:p>
      <w:pPr>
        <w:spacing w:after="0"/>
        <w:rPr>
          <w:sz w:val="20"/>
          <w:szCs w:val="20"/>
          <w:color w:val="auto"/>
        </w:rPr>
      </w:pPr>
      <w:r>
        <w:rPr>
          <w:rFonts w:ascii="Calibri" w:cs="Calibri" w:eastAsia="Calibri" w:hAnsi="Calibri"/>
          <w:sz w:val="19"/>
          <w:szCs w:val="19"/>
          <w:color w:val="auto"/>
        </w:rPr>
        <w:t>In order to compute Adjusted EBITDA, we adjust our GAAP Net Income for the following items:</w:t>
      </w:r>
    </w:p>
    <w:p>
      <w:pPr>
        <w:spacing w:after="0" w:line="247" w:lineRule="exact"/>
        <w:rPr>
          <w:sz w:val="20"/>
          <w:szCs w:val="20"/>
          <w:color w:val="auto"/>
        </w:rPr>
      </w:pPr>
    </w:p>
    <w:p>
      <w:pPr>
        <w:ind w:left="1500" w:right="380" w:hanging="380"/>
        <w:spacing w:after="0" w:line="239" w:lineRule="auto"/>
        <w:tabs>
          <w:tab w:leader="none" w:pos="1500" w:val="left"/>
        </w:tabs>
        <w:numPr>
          <w:ilvl w:val="0"/>
          <w:numId w:val="4"/>
        </w:numPr>
        <w:rPr>
          <w:rFonts w:ascii="Times New Roman" w:cs="Times New Roman" w:eastAsia="Times New Roman" w:hAnsi="Times New Roman"/>
          <w:sz w:val="19"/>
          <w:szCs w:val="19"/>
          <w:color w:val="auto"/>
        </w:rPr>
      </w:pPr>
      <w:r>
        <w:rPr>
          <w:rFonts w:ascii="Calibri" w:cs="Calibri" w:eastAsia="Calibri" w:hAnsi="Calibri"/>
          <w:sz w:val="19"/>
          <w:szCs w:val="19"/>
          <w:color w:val="auto"/>
        </w:rPr>
        <w:t>Expenses that typically do not require us to pay them in cash in the current period (such as depreciaton, amortzaton and stock-based compensaton);</w:t>
      </w:r>
    </w:p>
    <w:p>
      <w:pPr>
        <w:spacing w:after="0" w:line="5" w:lineRule="exact"/>
        <w:rPr>
          <w:rFonts w:ascii="Times New Roman" w:cs="Times New Roman" w:eastAsia="Times New Roman" w:hAnsi="Times New Roman"/>
          <w:sz w:val="19"/>
          <w:szCs w:val="19"/>
          <w:color w:val="auto"/>
        </w:rPr>
      </w:pPr>
    </w:p>
    <w:p>
      <w:pPr>
        <w:ind w:left="1500" w:hanging="380"/>
        <w:spacing w:after="0"/>
        <w:tabs>
          <w:tab w:leader="none" w:pos="1500" w:val="left"/>
        </w:tabs>
        <w:numPr>
          <w:ilvl w:val="0"/>
          <w:numId w:val="4"/>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cost of fnancing our business;</w:t>
      </w:r>
    </w:p>
    <w:p>
      <w:pPr>
        <w:spacing w:after="0" w:line="10" w:lineRule="exact"/>
        <w:rPr>
          <w:rFonts w:ascii="Times New Roman" w:cs="Times New Roman" w:eastAsia="Times New Roman" w:hAnsi="Times New Roman"/>
          <w:sz w:val="19"/>
          <w:szCs w:val="19"/>
          <w:color w:val="auto"/>
        </w:rPr>
      </w:pPr>
    </w:p>
    <w:p>
      <w:pPr>
        <w:ind w:left="1500" w:hanging="380"/>
        <w:spacing w:after="0" w:line="234" w:lineRule="auto"/>
        <w:tabs>
          <w:tab w:leader="none" w:pos="1500" w:val="left"/>
        </w:tabs>
        <w:numPr>
          <w:ilvl w:val="0"/>
          <w:numId w:val="4"/>
        </w:numPr>
        <w:rPr>
          <w:rFonts w:ascii="Times New Roman" w:cs="Times New Roman" w:eastAsia="Times New Roman" w:hAnsi="Times New Roman"/>
          <w:sz w:val="19"/>
          <w:szCs w:val="19"/>
          <w:color w:val="auto"/>
        </w:rPr>
      </w:pPr>
      <w:r>
        <w:rPr>
          <w:rFonts w:ascii="Calibri" w:cs="Calibri" w:eastAsia="Calibri" w:hAnsi="Calibri"/>
          <w:sz w:val="19"/>
          <w:szCs w:val="19"/>
          <w:color w:val="auto"/>
        </w:rPr>
        <w:t>One-tme expenses related to restructuring of the management team including placement/search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344170</wp:posOffset>
            </wp:positionV>
            <wp:extent cx="1006475" cy="473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jc w:val="both"/>
        <w:ind w:left="1505" w:right="140" w:hanging="380"/>
        <w:spacing w:after="0" w:line="241" w:lineRule="auto"/>
        <w:tabs>
          <w:tab w:leader="none" w:pos="1505"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Acquisiton-related expenses which refects the actual costs incurred during the period for the acquisiton of new businesses, which primarily consists of fees for professional services including legal, accountng, and advisory, as well as bonuses paid to employees directly related to the acquisiton; and</w:t>
      </w:r>
    </w:p>
    <w:p>
      <w:pPr>
        <w:spacing w:after="0" w:line="4" w:lineRule="exact"/>
        <w:rPr>
          <w:rFonts w:ascii="Times New Roman" w:cs="Times New Roman" w:eastAsia="Times New Roman" w:hAnsi="Times New Roman"/>
          <w:sz w:val="19"/>
          <w:szCs w:val="19"/>
          <w:color w:val="auto"/>
        </w:rPr>
      </w:pPr>
    </w:p>
    <w:p>
      <w:pPr>
        <w:ind w:left="1505" w:hanging="380"/>
        <w:spacing w:after="0"/>
        <w:tabs>
          <w:tab w:leader="none" w:pos="1505"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efects of income taxes.</w:t>
      </w:r>
    </w:p>
    <w:p>
      <w:pPr>
        <w:spacing w:after="0" w:line="241" w:lineRule="exact"/>
        <w:rPr>
          <w:sz w:val="20"/>
          <w:szCs w:val="20"/>
          <w:color w:val="auto"/>
        </w:rPr>
      </w:pPr>
    </w:p>
    <w:p>
      <w:pPr>
        <w:ind w:left="5"/>
        <w:spacing w:after="0"/>
        <w:rPr>
          <w:sz w:val="20"/>
          <w:szCs w:val="20"/>
          <w:color w:val="auto"/>
        </w:rPr>
      </w:pPr>
      <w:r>
        <w:rPr>
          <w:rFonts w:ascii="Calibri" w:cs="Calibri" w:eastAsia="Calibri" w:hAnsi="Calibri"/>
          <w:sz w:val="19"/>
          <w:szCs w:val="19"/>
          <w:color w:val="auto"/>
        </w:rPr>
        <w:t>Fee-Related Revenues is calculated as Total Revenues less any incentve fees.</w:t>
      </w:r>
    </w:p>
    <w:p>
      <w:pPr>
        <w:spacing w:after="0" w:line="247" w:lineRule="exact"/>
        <w:rPr>
          <w:sz w:val="20"/>
          <w:szCs w:val="20"/>
          <w:color w:val="auto"/>
        </w:rPr>
      </w:pPr>
    </w:p>
    <w:p>
      <w:pPr>
        <w:ind w:left="5"/>
        <w:spacing w:after="0" w:line="239" w:lineRule="auto"/>
        <w:rPr>
          <w:sz w:val="20"/>
          <w:szCs w:val="20"/>
          <w:color w:val="auto"/>
        </w:rPr>
      </w:pPr>
      <w:r>
        <w:rPr>
          <w:rFonts w:ascii="Calibri" w:cs="Calibri" w:eastAsia="Calibri" w:hAnsi="Calibri"/>
          <w:sz w:val="19"/>
          <w:szCs w:val="19"/>
          <w:color w:val="auto"/>
        </w:rPr>
        <w:t>Fee-Related Earnings is a non-GAAP performance measure used to monitor our baseline earnings less any incentve fee revenue and excluding any incentve fee-related expenses.</w:t>
      </w:r>
    </w:p>
    <w:p>
      <w:pPr>
        <w:spacing w:after="0" w:line="242" w:lineRule="exact"/>
        <w:rPr>
          <w:sz w:val="20"/>
          <w:szCs w:val="20"/>
          <w:color w:val="auto"/>
        </w:rPr>
      </w:pPr>
    </w:p>
    <w:p>
      <w:pPr>
        <w:ind w:left="5"/>
        <w:spacing w:after="0"/>
        <w:rPr>
          <w:sz w:val="20"/>
          <w:szCs w:val="20"/>
          <w:color w:val="auto"/>
        </w:rPr>
      </w:pPr>
      <w:r>
        <w:rPr>
          <w:rFonts w:ascii="Calibri" w:cs="Calibri" w:eastAsia="Calibri" w:hAnsi="Calibri"/>
          <w:sz w:val="19"/>
          <w:szCs w:val="19"/>
          <w:color w:val="auto"/>
        </w:rPr>
        <w:t>Fee-Related Earnings Margin is calculated as Fee-Related Earnings divided by Fee-Related Revenues.</w:t>
      </w:r>
    </w:p>
    <w:p>
      <w:pPr>
        <w:spacing w:after="0" w:line="241" w:lineRule="exact"/>
        <w:rPr>
          <w:sz w:val="20"/>
          <w:szCs w:val="20"/>
          <w:color w:val="auto"/>
        </w:rPr>
      </w:pPr>
    </w:p>
    <w:p>
      <w:pPr>
        <w:ind w:left="5"/>
        <w:spacing w:after="0"/>
        <w:rPr>
          <w:sz w:val="20"/>
          <w:szCs w:val="20"/>
          <w:color w:val="auto"/>
        </w:rPr>
      </w:pPr>
      <w:r>
        <w:rPr>
          <w:rFonts w:ascii="Calibri" w:cs="Calibri" w:eastAsia="Calibri" w:hAnsi="Calibri"/>
          <w:sz w:val="19"/>
          <w:szCs w:val="19"/>
          <w:color w:val="auto"/>
        </w:rPr>
        <w:t>Adjusted Net Income refects net cash paid for federal and state income taxes.</w:t>
      </w:r>
    </w:p>
    <w:p>
      <w:pPr>
        <w:spacing w:after="0" w:line="247" w:lineRule="exact"/>
        <w:rPr>
          <w:sz w:val="20"/>
          <w:szCs w:val="20"/>
          <w:color w:val="auto"/>
        </w:rPr>
      </w:pPr>
    </w:p>
    <w:p>
      <w:pPr>
        <w:ind w:left="5" w:right="720"/>
        <w:spacing w:after="0" w:line="239" w:lineRule="auto"/>
        <w:rPr>
          <w:sz w:val="20"/>
          <w:szCs w:val="20"/>
          <w:color w:val="auto"/>
        </w:rPr>
      </w:pPr>
      <w:r>
        <w:rPr>
          <w:rFonts w:ascii="Calibri" w:cs="Calibri" w:eastAsia="Calibri" w:hAnsi="Calibri"/>
          <w:sz w:val="19"/>
          <w:szCs w:val="19"/>
          <w:color w:val="auto"/>
        </w:rPr>
        <w:t>Adjusted EBITDA Margin is calculated as Adjusted EBITDA divided by total GAAP revenues. We use Adjusted EBITDA Margin to provide an additonal measure of proftability.</w:t>
      </w:r>
    </w:p>
    <w:p>
      <w:pPr>
        <w:spacing w:after="0" w:line="250" w:lineRule="exact"/>
        <w:rPr>
          <w:sz w:val="20"/>
          <w:szCs w:val="20"/>
          <w:color w:val="auto"/>
        </w:rPr>
      </w:pPr>
    </w:p>
    <w:p>
      <w:pPr>
        <w:ind w:left="5" w:right="240" w:hanging="5"/>
        <w:spacing w:after="0" w:line="228" w:lineRule="auto"/>
        <w:tabs>
          <w:tab w:leader="none" w:pos="174"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Fully Diluted ANI EPS calculatons include the total of all common shares, stock optons under the treasury stock method, restricted stock awards, and the redeemable non-controlling interests of P10 Intermediate converted to Class A stock as of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1050290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1440" w:right="37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12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71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7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69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276860</wp:posOffset>
            </wp:positionV>
            <wp:extent cx="1201420" cy="278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ind w:left="3840"/>
        <w:spacing w:after="0"/>
        <w:rPr>
          <w:sz w:val="20"/>
          <w:szCs w:val="20"/>
          <w:color w:val="auto"/>
        </w:rPr>
      </w:pPr>
      <w:r>
        <w:rPr>
          <w:rFonts w:ascii="Calibri" w:cs="Calibri" w:eastAsia="Calibri" w:hAnsi="Calibri"/>
          <w:sz w:val="19"/>
          <w:szCs w:val="19"/>
          <w:b w:val="1"/>
          <w:bCs w:val="1"/>
          <w:color w:val="2F2F45"/>
        </w:rPr>
        <w:t>P10 Provides Corporate Governance Updates</w:t>
      </w:r>
    </w:p>
    <w:p>
      <w:pPr>
        <w:spacing w:after="0" w:line="99" w:lineRule="exact"/>
        <w:rPr>
          <w:sz w:val="20"/>
          <w:szCs w:val="20"/>
          <w:color w:val="auto"/>
        </w:rPr>
      </w:pPr>
    </w:p>
    <w:p>
      <w:pPr>
        <w:ind w:left="3600"/>
        <w:spacing w:after="0"/>
        <w:rPr>
          <w:sz w:val="20"/>
          <w:szCs w:val="20"/>
          <w:color w:val="auto"/>
        </w:rPr>
      </w:pPr>
      <w:r>
        <w:rPr>
          <w:rFonts w:ascii="Calibri" w:cs="Calibri" w:eastAsia="Calibri" w:hAnsi="Calibri"/>
          <w:sz w:val="19"/>
          <w:szCs w:val="19"/>
          <w:i w:val="1"/>
          <w:iCs w:val="1"/>
          <w:color w:val="2F2F45"/>
        </w:rPr>
        <w:t>Appoints Luke Sarsfeld to Chairman, Efectve in June</w:t>
      </w:r>
    </w:p>
    <w:p>
      <w:pPr>
        <w:spacing w:after="0" w:line="99" w:lineRule="exact"/>
        <w:rPr>
          <w:sz w:val="20"/>
          <w:szCs w:val="20"/>
          <w:color w:val="auto"/>
        </w:rPr>
      </w:pPr>
    </w:p>
    <w:p>
      <w:pPr>
        <w:ind w:left="2700"/>
        <w:spacing w:after="0"/>
        <w:rPr>
          <w:sz w:val="20"/>
          <w:szCs w:val="20"/>
          <w:color w:val="auto"/>
        </w:rPr>
      </w:pPr>
      <w:r>
        <w:rPr>
          <w:rFonts w:ascii="Calibri" w:cs="Calibri" w:eastAsia="Calibri" w:hAnsi="Calibri"/>
          <w:sz w:val="19"/>
          <w:szCs w:val="19"/>
          <w:i w:val="1"/>
          <w:iCs w:val="1"/>
          <w:color w:val="2F2F45"/>
        </w:rPr>
        <w:t>Improves Governance Policy Through Terminaton of Stockholder Rights Plan</w:t>
      </w:r>
    </w:p>
    <w:p>
      <w:pPr>
        <w:spacing w:after="0" w:line="342" w:lineRule="exact"/>
        <w:rPr>
          <w:sz w:val="20"/>
          <w:szCs w:val="20"/>
          <w:color w:val="auto"/>
        </w:rPr>
      </w:pPr>
    </w:p>
    <w:p>
      <w:pPr>
        <w:ind w:right="160"/>
        <w:spacing w:after="0" w:line="239" w:lineRule="auto"/>
        <w:rPr>
          <w:sz w:val="20"/>
          <w:szCs w:val="20"/>
          <w:color w:val="auto"/>
        </w:rPr>
      </w:pPr>
      <w:r>
        <w:rPr>
          <w:rFonts w:ascii="Calibri" w:cs="Calibri" w:eastAsia="Calibri" w:hAnsi="Calibri"/>
          <w:sz w:val="19"/>
          <w:szCs w:val="19"/>
          <w:color w:val="2F2F45"/>
        </w:rPr>
        <w:t xml:space="preserve">DALLAS, May 8, 2024 (GLOBE NEWSWIRE) - </w:t>
      </w:r>
      <w:r>
        <w:rPr>
          <w:rFonts w:ascii="Calibri" w:cs="Calibri" w:eastAsia="Calibri" w:hAnsi="Calibri"/>
          <w:sz w:val="19"/>
          <w:szCs w:val="19"/>
          <w:color w:val="000000"/>
        </w:rPr>
        <w:t>P10, Inc.</w:t>
      </w:r>
      <w:r>
        <w:rPr>
          <w:rFonts w:ascii="Calibri" w:cs="Calibri" w:eastAsia="Calibri" w:hAnsi="Calibri"/>
          <w:sz w:val="19"/>
          <w:szCs w:val="19"/>
          <w:color w:val="2F2F45"/>
        </w:rPr>
        <w:t xml:space="preserve"> (NYSE: PX) (the “Company”), a leading private markets solutons provider, today announced several enhancements to its governance structure and policy.</w:t>
      </w:r>
    </w:p>
    <w:p>
      <w:pPr>
        <w:spacing w:after="0" w:line="248" w:lineRule="exact"/>
        <w:rPr>
          <w:sz w:val="20"/>
          <w:szCs w:val="20"/>
          <w:color w:val="auto"/>
        </w:rPr>
      </w:pPr>
    </w:p>
    <w:p>
      <w:pPr>
        <w:ind w:right="440"/>
        <w:spacing w:after="0" w:line="239" w:lineRule="auto"/>
        <w:rPr>
          <w:sz w:val="20"/>
          <w:szCs w:val="20"/>
          <w:color w:val="auto"/>
        </w:rPr>
      </w:pPr>
      <w:r>
        <w:rPr>
          <w:rFonts w:ascii="Calibri" w:cs="Calibri" w:eastAsia="Calibri" w:hAnsi="Calibri"/>
          <w:sz w:val="19"/>
          <w:szCs w:val="19"/>
          <w:color w:val="2F2F45"/>
        </w:rPr>
        <w:t>Robert Alpert informed the P10 Board of Directors (the “Board”) of his decision to step down as Executve Chairman, efectve June 14, 2024, concurrent with the P10 Annual Meetng. Mr. Alpert will contnue to serve on the Board as a director.</w:t>
      </w:r>
    </w:p>
    <w:p>
      <w:pPr>
        <w:spacing w:after="0" w:line="248" w:lineRule="exact"/>
        <w:rPr>
          <w:sz w:val="20"/>
          <w:szCs w:val="20"/>
          <w:color w:val="auto"/>
        </w:rPr>
      </w:pPr>
    </w:p>
    <w:p>
      <w:pPr>
        <w:ind w:right="40"/>
        <w:spacing w:after="0" w:line="239" w:lineRule="auto"/>
        <w:rPr>
          <w:sz w:val="20"/>
          <w:szCs w:val="20"/>
          <w:color w:val="auto"/>
        </w:rPr>
      </w:pPr>
      <w:r>
        <w:rPr>
          <w:rFonts w:ascii="Calibri" w:cs="Calibri" w:eastAsia="Calibri" w:hAnsi="Calibri"/>
          <w:sz w:val="19"/>
          <w:szCs w:val="19"/>
          <w:color w:val="2F2F45"/>
        </w:rPr>
        <w:t>Additonally, the Board voted to appoint Luke Sarsfeld to the role of Chairman of the Board, also efectve June 14, 2024, and intends to appoint a Lead Independent Director at the P10 Annual Meetng.</w:t>
      </w:r>
    </w:p>
    <w:p>
      <w:pPr>
        <w:spacing w:after="0" w:line="248" w:lineRule="exact"/>
        <w:rPr>
          <w:sz w:val="20"/>
          <w:szCs w:val="20"/>
          <w:color w:val="auto"/>
        </w:rPr>
      </w:pPr>
    </w:p>
    <w:p>
      <w:pPr>
        <w:spacing w:after="0" w:line="242" w:lineRule="auto"/>
        <w:rPr>
          <w:sz w:val="20"/>
          <w:szCs w:val="20"/>
          <w:color w:val="auto"/>
        </w:rPr>
      </w:pPr>
      <w:r>
        <w:rPr>
          <w:rFonts w:ascii="Calibri" w:cs="Calibri" w:eastAsia="Calibri" w:hAnsi="Calibri"/>
          <w:sz w:val="19"/>
          <w:szCs w:val="19"/>
          <w:color w:val="2F2F45"/>
        </w:rPr>
        <w:t>“I want to thank Robert for his tme as Executve Chair and look forward to our contnued work on the Board,” said Luke Sarsfeld, P10 Chief Executve Ofcer. “Robert’s role as Executve Chairman was intended to help me, and our senior team efect a successful leadership transiton, and he now feels that transiton is complete. He will contnue to serve on the board as a director. I’m excited to step into this role as I work with our Board and management team to execute our strategic initatves and advance alignment across our strategies.”</w:t>
      </w:r>
    </w:p>
    <w:p>
      <w:pPr>
        <w:spacing w:after="0" w:line="247" w:lineRule="exact"/>
        <w:rPr>
          <w:sz w:val="20"/>
          <w:szCs w:val="20"/>
          <w:color w:val="auto"/>
        </w:rPr>
      </w:pPr>
    </w:p>
    <w:p>
      <w:pPr>
        <w:ind w:right="220"/>
        <w:spacing w:after="0" w:line="239" w:lineRule="auto"/>
        <w:rPr>
          <w:sz w:val="20"/>
          <w:szCs w:val="20"/>
          <w:color w:val="auto"/>
        </w:rPr>
      </w:pPr>
      <w:r>
        <w:rPr>
          <w:rFonts w:ascii="Calibri" w:cs="Calibri" w:eastAsia="Calibri" w:hAnsi="Calibri"/>
          <w:sz w:val="19"/>
          <w:szCs w:val="19"/>
          <w:color w:val="2F2F45"/>
        </w:rPr>
        <w:t>The Company’s Board also determined that its stockholder rights plan is no longer necessary for the preservaton of federal income tax benefts and unanimously voted to terminate the rights plan efectve as of the close of business on May 8, 2024.</w:t>
      </w:r>
    </w:p>
    <w:p>
      <w:pPr>
        <w:spacing w:after="0" w:line="248" w:lineRule="exact"/>
        <w:rPr>
          <w:sz w:val="20"/>
          <w:szCs w:val="20"/>
          <w:color w:val="auto"/>
        </w:rPr>
      </w:pPr>
    </w:p>
    <w:p>
      <w:pPr>
        <w:ind w:right="300"/>
        <w:spacing w:after="0" w:line="239" w:lineRule="auto"/>
        <w:rPr>
          <w:sz w:val="20"/>
          <w:szCs w:val="20"/>
          <w:color w:val="auto"/>
        </w:rPr>
      </w:pPr>
      <w:r>
        <w:rPr>
          <w:rFonts w:ascii="Calibri" w:cs="Calibri" w:eastAsia="Calibri" w:hAnsi="Calibri"/>
          <w:sz w:val="19"/>
          <w:szCs w:val="19"/>
          <w:color w:val="2F2F45"/>
        </w:rPr>
        <w:t>The stockholder rights plan, which was previously set to expire in October 2024, was intended to help preserve the value of certain income tax assets, primarily tax net operatng loss carryforwards. Stockholders do not have to take any acton as a result of this terminaton.</w:t>
      </w:r>
    </w:p>
    <w:p>
      <w:pPr>
        <w:spacing w:after="0" w:line="248" w:lineRule="exact"/>
        <w:rPr>
          <w:sz w:val="20"/>
          <w:szCs w:val="20"/>
          <w:color w:val="auto"/>
        </w:rPr>
      </w:pPr>
    </w:p>
    <w:p>
      <w:pPr>
        <w:ind w:right="20"/>
        <w:spacing w:after="0" w:line="239" w:lineRule="auto"/>
        <w:rPr>
          <w:sz w:val="20"/>
          <w:szCs w:val="20"/>
          <w:color w:val="auto"/>
        </w:rPr>
      </w:pPr>
      <w:r>
        <w:rPr>
          <w:rFonts w:ascii="Calibri" w:cs="Calibri" w:eastAsia="Calibri" w:hAnsi="Calibri"/>
          <w:sz w:val="19"/>
          <w:szCs w:val="19"/>
          <w:color w:val="2F2F45"/>
        </w:rPr>
        <w:t>These updates come in short succession afer the previously announced appointment of Tracey Benford as an independent Class II director in April. Ms. Benford serves on the Company’s Audit Commitee, Compensaton Commitee, and Nominatng and Corporate Governance Commitee.</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About P10</w:t>
      </w:r>
    </w:p>
    <w:p>
      <w:pPr>
        <w:spacing w:after="0" w:line="105" w:lineRule="exact"/>
        <w:rPr>
          <w:sz w:val="20"/>
          <w:szCs w:val="20"/>
          <w:color w:val="auto"/>
        </w:rPr>
      </w:pPr>
    </w:p>
    <w:p>
      <w:pPr>
        <w:ind w:right="200"/>
        <w:spacing w:after="0" w:line="241" w:lineRule="auto"/>
        <w:rPr>
          <w:sz w:val="20"/>
          <w:szCs w:val="20"/>
          <w:color w:val="auto"/>
        </w:rPr>
      </w:pPr>
      <w:r>
        <w:rPr>
          <w:rFonts w:ascii="Calibri" w:cs="Calibri" w:eastAsia="Calibri" w:hAnsi="Calibri"/>
          <w:sz w:val="19"/>
          <w:szCs w:val="19"/>
          <w:color w:val="302C45"/>
        </w:rPr>
        <w:t>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March 31, 2024, P10 has a global investor base of more than 3,600 investors across 50 states,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24" w:lineRule="exact"/>
        <w:rPr>
          <w:sz w:val="20"/>
          <w:szCs w:val="20"/>
          <w:color w:val="auto"/>
        </w:rPr>
      </w:pPr>
    </w:p>
    <w:p>
      <w:pPr>
        <w:ind w:right="540"/>
        <w:spacing w:after="0" w:line="239" w:lineRule="auto"/>
        <w:rPr>
          <w:sz w:val="20"/>
          <w:szCs w:val="20"/>
          <w:color w:val="auto"/>
        </w:rPr>
      </w:pPr>
      <w:r>
        <w:rPr>
          <w:rFonts w:ascii="Calibri" w:cs="Calibri" w:eastAsia="Calibri" w:hAnsi="Calibri"/>
          <w:sz w:val="19"/>
          <w:szCs w:val="19"/>
          <w:color w:val="302C45"/>
        </w:rPr>
        <w:t xml:space="preserve">countries, and six contnents, which includes some of the world’s largest pension funds, endowments, foundatons, corporate pensions, and fnancial insttutons. Visit </w:t>
      </w:r>
      <w:r>
        <w:rPr>
          <w:rFonts w:ascii="Calibri" w:cs="Calibri" w:eastAsia="Calibri" w:hAnsi="Calibri"/>
          <w:sz w:val="19"/>
          <w:szCs w:val="19"/>
          <w:color w:val="000000"/>
        </w:rPr>
        <w:t>www.p10alts.com</w:t>
      </w:r>
      <w:r>
        <w:rPr>
          <w:rFonts w:ascii="Calibri" w:cs="Calibri" w:eastAsia="Calibri" w:hAnsi="Calibri"/>
          <w:sz w:val="19"/>
          <w:szCs w:val="19"/>
          <w:color w:val="302C45"/>
        </w:rPr>
        <w:t>.</w:t>
      </w:r>
    </w:p>
    <w:p>
      <w:pPr>
        <w:spacing w:after="0" w:line="2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Forward-Looking Statements</w:t>
      </w:r>
    </w:p>
    <w:p>
      <w:pPr>
        <w:spacing w:after="0" w:line="105"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9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Ownership Limitatons</w:t>
      </w:r>
    </w:p>
    <w:p>
      <w:pPr>
        <w:spacing w:after="0" w:line="105" w:lineRule="exact"/>
        <w:rPr>
          <w:sz w:val="20"/>
          <w:szCs w:val="20"/>
          <w:color w:val="auto"/>
        </w:rPr>
      </w:pPr>
    </w:p>
    <w:p>
      <w:pPr>
        <w:ind w:right="780"/>
        <w:spacing w:after="0" w:line="241" w:lineRule="auto"/>
        <w:rPr>
          <w:sz w:val="20"/>
          <w:szCs w:val="20"/>
          <w:color w:val="auto"/>
        </w:rPr>
      </w:pPr>
      <w:r>
        <w:rPr>
          <w:rFonts w:ascii="Calibri" w:cs="Calibri" w:eastAsia="Calibri" w:hAnsi="Calibri"/>
          <w:sz w:val="19"/>
          <w:szCs w:val="19"/>
          <w:color w:val="302C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w:t>
      </w:r>
    </w:p>
    <w:p>
      <w:pPr>
        <w:spacing w:after="0" w:line="33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Investor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0563C1"/>
        </w:rPr>
        <w:t>info@p10alts.com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784225</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rPr>
          <w:sz w:val="20"/>
          <w:szCs w:val="20"/>
          <w:color w:val="auto"/>
        </w:rPr>
      </w:pPr>
      <w:r>
        <w:rPr>
          <w:rFonts w:ascii="Calibri" w:cs="Calibri" w:eastAsia="Calibri" w:hAnsi="Calibri"/>
          <w:sz w:val="19"/>
          <w:szCs w:val="19"/>
          <w:b w:val="1"/>
          <w:bCs w:val="1"/>
          <w:color w:val="2F2F45"/>
        </w:rPr>
        <w:t>P10 Media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2F2F45"/>
        </w:rPr>
        <w:t>Josh Clarkson</w:t>
      </w:r>
    </w:p>
    <w:p>
      <w:pPr>
        <w:spacing w:after="0" w:line="11" w:lineRule="exact"/>
        <w:rPr>
          <w:sz w:val="20"/>
          <w:szCs w:val="20"/>
          <w:color w:val="auto"/>
        </w:rPr>
      </w:pPr>
    </w:p>
    <w:p>
      <w:pPr>
        <w:spacing w:after="0"/>
        <w:rPr>
          <w:sz w:val="20"/>
          <w:szCs w:val="20"/>
          <w:color w:val="auto"/>
        </w:rPr>
      </w:pPr>
      <w:r>
        <w:rPr>
          <w:rFonts w:ascii="Calibri" w:cs="Calibri" w:eastAsia="Calibri" w:hAnsi="Calibri"/>
          <w:sz w:val="18"/>
          <w:szCs w:val="18"/>
          <w:color w:val="auto"/>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788035</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2024-05-08T15:36:30Z</dcterms:created>
  <dcterms:modified xsi:type="dcterms:W3CDTF">2024-05-08T15:36:30Z</dcterms:modified>
</cp:coreProperties>
</file>