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4232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23227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Coussens Amanda 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6"/>
          <w:szCs w:val="16"/>
          <w:color w:val="0000FF"/>
        </w:rPr>
        <w:t>See Remarks</w:t>
      </w:r>
    </w:p>
    <w:p>
      <w:pPr>
        <w:spacing w:after="0" w:line="375"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370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03/14/2023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75205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0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6"/>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right"/>
              <w:ind w:right="4"/>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jc w:val="right"/>
              <w:ind w:right="324"/>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12,137</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12,137</w:t>
            </w:r>
            <w:r>
              <w:rPr>
                <w:rFonts w:ascii="Times New Roman" w:cs="Times New Roman" w:eastAsia="Times New Roman" w:hAnsi="Times New Roman"/>
                <w:sz w:val="21"/>
                <w:szCs w:val="21"/>
                <w:color w:val="008000"/>
                <w:vertAlign w:val="superscript"/>
              </w:rPr>
              <w:t>(2)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12,137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03/09/2023</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-1646555</wp:posOffset>
            </wp:positionV>
            <wp:extent cx="28575" cy="165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522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39" w:lineRule="exact"/>
        <w:rPr>
          <w:rFonts w:ascii="Times New Roman" w:cs="Times New Roman" w:eastAsia="Times New Roman" w:hAnsi="Times New Roman"/>
          <w:sz w:val="13"/>
          <w:szCs w:val="13"/>
          <w:color w:val="008000"/>
        </w:rPr>
      </w:pPr>
    </w:p>
    <w:p>
      <w:pPr>
        <w:ind w:left="40" w:right="3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March 14, 2023 inadvertently underreported the number of RSUs granted to the reporting person on March 9, 2023, and this amendment is filed to report the correct number of RSUs granted on such date.</w:t>
      </w:r>
    </w:p>
    <w:p>
      <w:pPr>
        <w:spacing w:after="0" w:line="21" w:lineRule="exact"/>
        <w:rPr>
          <w:rFonts w:ascii="Times New Roman" w:cs="Times New Roman" w:eastAsia="Times New Roman" w:hAnsi="Times New Roman"/>
          <w:sz w:val="13"/>
          <w:szCs w:val="13"/>
          <w:color w:val="008000"/>
        </w:rPr>
      </w:pPr>
    </w:p>
    <w:p>
      <w:pPr>
        <w:ind w:left="40" w:right="3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Ms. Coussens was granted a total of 12,137 RSUs, all of which will vest on the first anniversary of the grant date (March 9, 2024), provided that Ms. Coussens remains in continuous service with the Issuer through such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&amp; Chief Compliance Officer</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/s/Amanda Coussens</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03/17/2023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856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2023-03-17T17:58:43Z</dcterms:created>
  <dcterms:modified xsi:type="dcterms:W3CDTF">2023-03-17T17:58:43Z</dcterms:modified>
</cp:coreProperties>
</file>