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January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January 30, 2009, Active Power, Inc. issued a press release reporting its preliminary results of operations for its fiscal quarter and fiscal year ended December 31, 2008.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January 30, 2009.</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January 30, 2009</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of Active Power, Inc. dated January 30, 2009.</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5229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Active Power Announces Fourth Quarter and 2008 Results</w:t>
      </w:r>
    </w:p>
    <w:p>
      <w:pPr>
        <w:spacing w:after="0" w:line="177"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Record revenues and gross profit, significantly reduced losses.</w:t>
      </w:r>
    </w:p>
    <w:p>
      <w:pPr>
        <w:spacing w:after="0" w:line="165"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AUSTIN, Texas (Jan. 30, 2009) </w:t>
      </w:r>
      <w:r>
        <w:rPr>
          <w:rFonts w:ascii="Arial" w:cs="Arial" w:eastAsia="Arial" w:hAnsi="Arial"/>
          <w:sz w:val="16"/>
          <w:szCs w:val="16"/>
          <w:color w:val="auto"/>
        </w:rPr>
        <w:t>– Active Power, Inc. (NASDAQ: ACPW) announced results for its fourth quarter and fiscal year ended Dec. 31, 2008.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fourth quarter was a record $16.2 million, a 30 percent increase from the third quarter and an increase of 59 percent from the fourth quarter in 2007. For the year ended Dec. 31, 2008, revenue was $43.0 million compared to $33.6 million in 2007, an increase of 28 percent for the year.</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fourth quarter, net loss was $431,000, or 1 cent per share. This compares to a net loss of $4.1 million, or 7 cents per share, in the prior quarter and a net loss of $5.9 million, or 10 cents per share, for the same period in the prior year. For the year ended Dec. 31, 2008, the net loss was $13.4 million, or 22 cents per share. This compares to a net loss of $20.5 million, or 38 cents per share, in 2007.</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EBITDA was a loss of $62,000 for the fourth quarter, or 0 cents per share, compared to an EBITDA loss of $3.7 million or 6 cents per share in the prior quarter and an EBITDA loss of $ 5.6 million, or 9 cents per share, in the fourth quarter of 2007. For the year ended Dec. 31, 2008, the EBITDA loss was $12 million, or 20 cents per share, compared to an EBITDA loss of $ 19.3 million, or 36 cents per share, in 2007, a 38 percent decrease.</w:t>
      </w:r>
    </w:p>
    <w:p>
      <w:pPr>
        <w:spacing w:after="0" w:line="10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Active Power recorded positive Adjusted EBITDA in the fourth quarter. Adjusted EBITDA was $374,000 for the fourth quarter, or 1 cent per share, compared to an Adjusted EBITDA loss of $ 1.7 million, or 3 cents per share, in the prior quarter and an Adjusted EBITDA loss of $3.0 million or 5 cents per share in the fourth quarter of 2007. For the year ended Dec. 31, 2008, the Adjusted EBITDA loss was $8.7 million, or 15 cents per share, compared to an Adjusted EBITDA loss of $ 15.1 million, or 28 cents per share, in 2007, a 42 percent decrease. A reconciliation of EBITDA and Adjusted EBITDA to net income (loss), which is their most directly comparable GAAP measures, is provided below in a table immediately following the Condensed Statement of Operations. A reconciliation of EBITDA per share and Adjusted EBITDA per share to earnings per share, which is their most directly comparable GAAP measures, is provided below in a table immediately following the Condensed Statement of Operations.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fourth quarter, Active Power reported a record gross profit margin of 32 percent. This compares to a 9 percent gross profit margin in the prior quarter and a negative gross profit margin of 2 percent in fourth quarter 2007. For the full year, Active Power reported a gross profit margin of 19 percent compared to 10 percent in 2007.</w:t>
      </w:r>
    </w:p>
    <w:p>
      <w:pPr>
        <w:sectPr>
          <w:pgSz w:w="11900" w:h="16838" w:orient="portrait"/>
          <w:cols w:equalWidth="0" w:num="1">
            <w:col w:w="11420"/>
          </w:cols>
          <w:pgMar w:left="240" w:top="125" w:right="239" w:bottom="1440" w:gutter="0" w:footer="0" w:header="0"/>
        </w:sectPr>
      </w:pPr>
    </w:p>
    <w:bookmarkStart w:id="5" w:name="page6"/>
    <w:bookmarkEnd w:id="5"/>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and investments declined $0.6 million during the quarter compared to a decrease of $2.4 million in the previous quarter and a decrease of $0.3 million in fourth quarter 2007. Cash and investments at Dec. 31, 2008, were $11.2 million.</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pleased to have accomplished these significant financial and operational milestones,” said Jim Clishem, president and CEO, of Active Power. “We have been working diligently to achieve quarterly operating profitability and have achieved positive adjusted EBITDA for the first time in our history. We reached this goal through a focused strategy designed to grow the top line while reducing expenses. Active Power’s space and power efficient systems deliver savings in a way unmatched by our competition. Our focus will remain on preserving cash, improving our own operational efficiencies and operating profitability. Despite a challenging economic outlook ahead, we believe that we will continue to grow market share as clients focus now more than ever on improving efficiency and reducing operating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96" w:lineRule="exact"/>
        <w:rPr>
          <w:sz w:val="20"/>
          <w:szCs w:val="20"/>
          <w:color w:val="auto"/>
        </w:rPr>
      </w:pPr>
    </w:p>
    <w:p>
      <w:pPr>
        <w:ind w:left="900" w:right="1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quarterly net loss by 93 percent to $431,000 from the $5.9 million loss in the fourth quarter of 2007. Achieved first ever positive Adjusted EBITDA of $374,000 for fourth quarter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Highest quarterly revenue of $16.2 million achieved in the fourth quarter and highest annual revenue achieved of $43.0 million, an annual growth of 28 percent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Highest quarterly gross profit margin of 32 percent achieved in the fourth quarter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service revenues up 51 percent compared to 2007, which continue to reflect valuable annuity revenues and benefit of having a direct sales model in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for the second half of 2008 was $28.7 million, a 100% increase over revenue of $14.3 million in the first six months of 2008</w:t>
      </w:r>
    </w:p>
    <w:p>
      <w:pPr>
        <w:spacing w:after="0" w:line="113" w:lineRule="exact"/>
        <w:rPr>
          <w:rFonts w:ascii="Arial" w:cs="Arial" w:eastAsia="Arial" w:hAnsi="Arial"/>
          <w:sz w:val="16"/>
          <w:szCs w:val="16"/>
          <w:color w:val="auto"/>
        </w:rPr>
      </w:pPr>
    </w:p>
    <w:p>
      <w:pPr>
        <w:ind w:left="900" w:right="220" w:hanging="325"/>
        <w:spacing w:after="0" w:line="22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2,000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flywheel, representing more than 500 megawatts of power delivered to customers, further validating market acceptance for Active Power solutions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and shipped single largest order to date of 12 megawatts to leading Internet search engine provider</w:t>
      </w:r>
    </w:p>
    <w:p>
      <w:pPr>
        <w:sectPr>
          <w:pgSz w:w="11900" w:h="16838" w:orient="portrait"/>
          <w:cols w:equalWidth="0" w:num="1">
            <w:col w:w="11420"/>
          </w:cols>
          <w:pgMar w:left="240" w:top="280" w:right="239" w:bottom="1440" w:gutter="0" w:footer="0" w:header="0"/>
        </w:sectPr>
      </w:pPr>
    </w:p>
    <w:bookmarkStart w:id="6" w:name="page7"/>
    <w:bookmarkEnd w:id="6"/>
    <w:p>
      <w:pPr>
        <w:ind w:left="900" w:right="7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Announced strategic relationship with Sun Microsystems to broaden global distribution channels and capitalize on the modular data center opportunity.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Active Power expects first quarter 2009 revenues to be between $11 and $14 million. This would represent an increase between 46 and 86 percent compared to first quarter 2008. First quarter earnings per share are expected to be a loss of approximately 2 to 4 cents. Active Power expects its cash and investments balance as of the end of the first quarter to remain at the same level as year 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Active Power will host a conference call today, Friday, Jan. 30, 2009, at 11:00 a.m. (ET), to further review fourth quarter and fiscal 2008 results. Interested parties can listen via Web cast at </w:t>
      </w:r>
      <w:r>
        <w:rPr>
          <w:rFonts w:ascii="Arial" w:cs="Arial" w:eastAsia="Arial" w:hAnsi="Arial"/>
          <w:sz w:val="18"/>
          <w:szCs w:val="18"/>
          <w:u w:val="single" w:color="auto"/>
          <w:color w:val="auto"/>
        </w:rPr>
        <w:t>http://www.videonewswire.com/event.asp?id=55242</w:t>
      </w:r>
      <w:r>
        <w:rPr>
          <w:rFonts w:ascii="Arial" w:cs="Arial" w:eastAsia="Arial" w:hAnsi="Arial"/>
          <w:sz w:val="18"/>
          <w:szCs w:val="18"/>
          <w:color w:val="auto"/>
        </w:rPr>
        <w:t xml:space="preserve">. A replay of the Web cast will be available until Feb. 13, 2009. Investors may access the live broadcast and replay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disclosing financial information prepared on a GAAP basis, this release and the accompanying tables include non-GAAP measures of EBITDA, Adjusted EBITDA, EBITDA per share and</w:t>
      </w:r>
    </w:p>
    <w:p>
      <w:pPr>
        <w:sectPr>
          <w:pgSz w:w="11900" w:h="16838" w:orient="portrait"/>
          <w:cols w:equalWidth="0" w:num="1">
            <w:col w:w="11420"/>
          </w:cols>
          <w:pgMar w:left="240" w:top="280" w:right="239" w:bottom="1440" w:gutter="0" w:footer="0" w:header="0"/>
        </w:sectPr>
      </w:pPr>
    </w:p>
    <w:bookmarkStart w:id="7" w:name="page8"/>
    <w:bookmarkEnd w:id="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EBITDA per share. EBITDA represents our GAAP based net income (loss) adjusted to exclude the impact of interest, taxes and depreciation expense. Adjusted EBITDA represents our GAAP based net income (loss) adjusted to exclude the impact of interest, taxes and depreciation expense, as well as stock-based compensation expense and any other one-time non-cash charges, such as the inventory impairment charge we recorded in the third quarter of 2008. We believe these adjustments provide meaningful supplemental information regarding our performance to our investors and enhance the overall understanding of our past financial performance. These non-GAAP measures are an indication of our baseline performance that are considered by management for purposes of making operational decisions. In addition these non-GAAP measures are the primary indicators management uses as a basis for our planning and forecasting for future periods. The presentation of this additional information is not intended to be considered in isolation or as a substitute for, or superior to, the financial information prepared and presented in accordance with GAAP. A reconciliation of our non-GAAP financial measures to the GAAP basis results is provided below in a table immediately following the Condensed Consolidated Statement of Operations.</w:t>
      </w:r>
    </w:p>
    <w:p>
      <w:pPr>
        <w:sectPr>
          <w:pgSz w:w="11900" w:h="16838" w:orient="portrait"/>
          <w:cols w:equalWidth="0" w:num="1">
            <w:col w:w="11360"/>
          </w:cols>
          <w:pgMar w:left="240" w:top="280" w:right="29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Deborah Laudermilk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512-744-9411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dlaudermilk@activepower.com</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240" w:space="720"/>
            <w:col w:w="5400"/>
          </w:cols>
          <w:pgMar w:left="240" w:top="280" w:right="2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27,780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32,671</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0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260,344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(238,841)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(225,401)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20,823</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32,671</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rPr>
              <w:t>Months Ended</w:t>
            </w:r>
          </w:p>
        </w:tc>
        <w:tc>
          <w:tcPr>
            <w:tcW w:w="80" w:type="dxa"/>
            <w:vAlign w:val="bottom"/>
          </w:tcPr>
          <w:p>
            <w:pPr>
              <w:spacing w:after="0"/>
              <w:rPr>
                <w:sz w:val="12"/>
                <w:szCs w:val="12"/>
                <w:color w:val="auto"/>
              </w:rPr>
            </w:pPr>
          </w:p>
        </w:tc>
        <w:tc>
          <w:tcPr>
            <w:tcW w:w="156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13,739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35,772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16,211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10,212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42,985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9,443</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9,348</w:t>
            </w: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29,380</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26,402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11,071</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10,455</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34,997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11,839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5,906</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22,074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(6,149)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(14,086)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(21,353)</w:t>
            </w:r>
          </w:p>
        </w:tc>
        <w:tc>
          <w:tcPr>
            <w:tcW w:w="0" w:type="dxa"/>
            <w:vAlign w:val="bottom"/>
          </w:tcPr>
          <w:p>
            <w:pPr>
              <w:spacing w:after="0"/>
              <w:rPr>
                <w:sz w:val="1"/>
                <w:szCs w:val="1"/>
                <w:color w:val="auto"/>
              </w:rPr>
            </w:pPr>
          </w:p>
        </w:tc>
      </w:tr>
      <w:tr>
        <w:trPr>
          <w:trHeight w:val="322"/>
        </w:trPr>
        <w:tc>
          <w:tcPr>
            <w:tcW w:w="6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(5,910)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(13,442)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60,124</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60,109</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60,124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(5,910)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(13,442)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(6,206)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jc w:val="right"/>
              <w:ind w:right="251"/>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4"/>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81"/>
              </w:rPr>
              <w:t>Dec. 31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Sept.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Dec.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(5,910)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(4,115)</w:t>
            </w:r>
          </w:p>
        </w:tc>
        <w:tc>
          <w:tcPr>
            <w:tcW w:w="1200" w:type="dxa"/>
            <w:vAlign w:val="bottom"/>
            <w:gridSpan w:val="6"/>
            <w:shd w:val="clear" w:color="auto" w:fill="CCEEFF"/>
          </w:tcPr>
          <w:p>
            <w:pPr>
              <w:jc w:val="right"/>
              <w:ind w:right="132"/>
              <w:spacing w:after="0"/>
              <w:rPr>
                <w:sz w:val="20"/>
                <w:szCs w:val="20"/>
                <w:color w:val="auto"/>
              </w:rPr>
            </w:pPr>
            <w:r>
              <w:rPr>
                <w:rFonts w:ascii="Arial" w:cs="Arial" w:eastAsia="Arial" w:hAnsi="Arial"/>
                <w:sz w:val="18"/>
                <w:szCs w:val="18"/>
                <w:color w:val="auto"/>
              </w:rPr>
              <w:t>$ (13,442)</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(20,492)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Plus: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(income)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Depreciation expense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(5,629)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(3,709)</w:t>
            </w:r>
          </w:p>
        </w:tc>
        <w:tc>
          <w:tcPr>
            <w:tcW w:w="1200" w:type="dxa"/>
            <w:vAlign w:val="bottom"/>
            <w:gridSpan w:val="6"/>
            <w:shd w:val="clear" w:color="auto" w:fill="CCEEFF"/>
          </w:tcPr>
          <w:p>
            <w:pPr>
              <w:jc w:val="right"/>
              <w:ind w:right="132"/>
              <w:spacing w:after="0"/>
              <w:rPr>
                <w:sz w:val="20"/>
                <w:szCs w:val="20"/>
                <w:color w:val="auto"/>
              </w:rPr>
            </w:pPr>
            <w:r>
              <w:rPr>
                <w:rFonts w:ascii="Arial" w:cs="Arial" w:eastAsia="Arial" w:hAnsi="Arial"/>
                <w:sz w:val="18"/>
                <w:szCs w:val="18"/>
                <w:color w:val="auto"/>
              </w:rPr>
              <w:t>$ (11,993)</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(19,279)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Inventory impairment charge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1,554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1,554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537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Adjusted EBITDA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(2,977)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(1,706)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32"/>
              <w:spacing w:after="0"/>
              <w:rPr>
                <w:sz w:val="20"/>
                <w:szCs w:val="20"/>
                <w:color w:val="auto"/>
              </w:rPr>
            </w:pPr>
            <w:r>
              <w:rPr>
                <w:rFonts w:ascii="Arial" w:cs="Arial" w:eastAsia="Arial" w:hAnsi="Arial"/>
                <w:sz w:val="18"/>
                <w:szCs w:val="18"/>
                <w:color w:val="auto"/>
                <w:w w:val="98"/>
              </w:rPr>
              <w:t>(8,738)</w:t>
            </w: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Adjusted EBITDA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(0.05)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(0.03)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32"/>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computing non-GAAP EBITDA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60,124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1"/>
              <w:spacing w:after="0"/>
              <w:rPr>
                <w:sz w:val="20"/>
                <w:szCs w:val="20"/>
                <w:color w:val="auto"/>
              </w:rPr>
            </w:pPr>
            <w:r>
              <w:rPr>
                <w:rFonts w:ascii="Arial" w:cs="Arial" w:eastAsia="Arial" w:hAnsi="Arial"/>
                <w:sz w:val="18"/>
                <w:szCs w:val="18"/>
                <w:color w:val="auto"/>
              </w:rPr>
              <w:t>60,109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60,124</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60,124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53,905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980" w:type="dxa"/>
            <w:vAlign w:val="bottom"/>
            <w:gridSpan w:val="3"/>
          </w:tcPr>
          <w:p>
            <w:pPr>
              <w:spacing w:after="0"/>
              <w:rPr>
                <w:sz w:val="20"/>
                <w:szCs w:val="20"/>
                <w:color w:val="auto"/>
              </w:rPr>
            </w:pPr>
            <w:r>
              <w:rPr>
                <w:rFonts w:ascii="Arial" w:cs="Arial" w:eastAsia="Arial" w:hAnsi="Arial"/>
                <w:sz w:val="18"/>
                <w:szCs w:val="18"/>
                <w:color w:val="auto"/>
              </w:rPr>
              <w:t>(a)   Stock-based compensation expense: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w w:val="87"/>
              </w:rPr>
              <w:t>Three months ended</w:t>
            </w:r>
          </w:p>
        </w:tc>
        <w:tc>
          <w:tcPr>
            <w:tcW w:w="3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3"/>
          </w:tcPr>
          <w:p>
            <w:pPr>
              <w:ind w:left="160"/>
              <w:spacing w:after="0"/>
              <w:rPr>
                <w:sz w:val="20"/>
                <w:szCs w:val="20"/>
                <w:color w:val="auto"/>
              </w:rPr>
            </w:pPr>
            <w:r>
              <w:rPr>
                <w:rFonts w:ascii="Arial" w:cs="Arial" w:eastAsia="Arial" w:hAnsi="Arial"/>
                <w:sz w:val="14"/>
                <w:szCs w:val="14"/>
                <w:b w:val="1"/>
                <w:bCs w:val="1"/>
                <w:color w:val="auto"/>
                <w:w w:val="97"/>
              </w:rPr>
              <w:t>Dec.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Sept.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1,701</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right="100"/>
        <w:spacing w:after="0" w:line="323" w:lineRule="auto"/>
        <w:rPr>
          <w:sz w:val="20"/>
          <w:szCs w:val="20"/>
          <w:color w:val="auto"/>
        </w:rPr>
      </w:pPr>
      <w:r>
        <w:rPr>
          <w:rFonts w:ascii="Arial" w:cs="Arial" w:eastAsia="Arial" w:hAnsi="Arial"/>
          <w:sz w:val="15"/>
          <w:szCs w:val="15"/>
          <w:color w:val="auto"/>
        </w:rPr>
        <w:t>Excluded amount represents stock-based compensation expense. Stock-based compensation is a non-cash expense accounted for in accordance with the intrinsic value method under Accounting Principles Board No. 25 through December 31, 2005, and with the fair value recognition provisions of Statement of Financial Accounting Standards No. 123(R) effective January 1, 2006. While a large component of our expense, we believe investors want to exclude the effects of stock-based compensation expense in order to compare our financial performance with that of other companies and between time periods.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2019-12-10T15:24:59Z</dcterms:created>
  <dcterms:modified xsi:type="dcterms:W3CDTF">2019-12-10T15:24:59Z</dcterms:modified>
</cp:coreProperties>
</file>