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As filed with the Securities and Exchange Commission on September 1, 2006</w:t>
      </w:r>
    </w:p>
    <w:p>
      <w:pPr>
        <w:spacing w:after="0" w:line="15" w:lineRule="exact"/>
        <w:rPr>
          <w:sz w:val="24"/>
          <w:szCs w:val="24"/>
          <w:color w:val="auto"/>
        </w:rPr>
      </w:pPr>
    </w:p>
    <w:p>
      <w:pPr>
        <w:ind w:left="9360"/>
        <w:spacing w:after="0"/>
        <w:rPr>
          <w:sz w:val="20"/>
          <w:szCs w:val="20"/>
          <w:color w:val="auto"/>
        </w:rPr>
      </w:pPr>
      <w:r>
        <w:rPr>
          <w:rFonts w:ascii="Arial" w:cs="Arial" w:eastAsia="Arial" w:hAnsi="Arial"/>
          <w:sz w:val="16"/>
          <w:szCs w:val="16"/>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139700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-3175</wp:posOffset>
            </wp:positionV>
            <wp:extent cx="3346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123190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67"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FORM S-3</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REGISTRATION STATEMENT</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127000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73"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ACTIVE POWER, INC.</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00"/>
          </w:cols>
          <w:pgMar w:left="240" w:top="230" w:right="259" w:bottom="1440" w:gutter="0" w:footer="0" w:header="0"/>
        </w:sectPr>
      </w:pPr>
    </w:p>
    <w:p>
      <w:pPr>
        <w:spacing w:after="0" w:line="175" w:lineRule="exact"/>
        <w:rPr>
          <w:sz w:val="24"/>
          <w:szCs w:val="24"/>
          <w:color w:val="auto"/>
        </w:rPr>
      </w:pPr>
    </w:p>
    <w:p>
      <w:pPr>
        <w:ind w:left="1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500"/>
        <w:spacing w:after="0"/>
        <w:rPr>
          <w:sz w:val="20"/>
          <w:szCs w:val="20"/>
          <w:color w:val="auto"/>
        </w:rPr>
      </w:pPr>
      <w:r>
        <w:rPr>
          <w:rFonts w:ascii="Arial" w:cs="Arial" w:eastAsia="Arial" w:hAnsi="Arial"/>
          <w:sz w:val="15"/>
          <w:szCs w:val="15"/>
          <w:b w:val="1"/>
          <w:bCs w:val="1"/>
          <w:color w:val="auto"/>
        </w:rPr>
        <w:t>4911</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900" w:space="720"/>
            <w:col w:w="2840" w:space="720"/>
            <w:col w:w="2220"/>
          </w:cols>
          <w:pgMar w:left="240" w:top="230" w:right="259" w:bottom="1440" w:gutter="0" w:footer="0" w:header="0"/>
          <w:type w:val="continuous"/>
        </w:sectPr>
      </w:pPr>
    </w:p>
    <w:p>
      <w:pPr>
        <w:spacing w:after="0" w:line="9" w:lineRule="exact"/>
        <w:rPr>
          <w:sz w:val="24"/>
          <w:szCs w:val="24"/>
          <w:color w:val="auto"/>
        </w:rPr>
      </w:pPr>
    </w:p>
    <w:p>
      <w:pPr>
        <w:ind w:left="160"/>
        <w:spacing w:after="0"/>
        <w:rPr>
          <w:sz w:val="20"/>
          <w:szCs w:val="20"/>
          <w:color w:val="auto"/>
        </w:rPr>
      </w:pPr>
      <w:r>
        <w:rPr>
          <w:rFonts w:ascii="Arial" w:cs="Arial" w:eastAsia="Arial" w:hAnsi="Arial"/>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jc w:val="center"/>
        <w:ind w:right="1360"/>
        <w:spacing w:after="0"/>
        <w:rPr>
          <w:sz w:val="20"/>
          <w:szCs w:val="20"/>
          <w:color w:val="auto"/>
        </w:rPr>
      </w:pPr>
      <w:r>
        <w:rPr>
          <w:rFonts w:ascii="Arial" w:cs="Arial" w:eastAsia="Arial" w:hAnsi="Arial"/>
          <w:sz w:val="14"/>
          <w:szCs w:val="14"/>
          <w:b w:val="1"/>
          <w:bCs w:val="1"/>
          <w:color w:val="auto"/>
        </w:rPr>
        <w:t>(Primary Standard</w:t>
      </w:r>
    </w:p>
    <w:p>
      <w:pPr>
        <w:jc w:val="center"/>
        <w:ind w:right="1360"/>
        <w:spacing w:after="0"/>
        <w:rPr>
          <w:sz w:val="20"/>
          <w:szCs w:val="20"/>
          <w:color w:val="auto"/>
        </w:rPr>
      </w:pPr>
      <w:r>
        <w:rPr>
          <w:rFonts w:ascii="Arial" w:cs="Arial" w:eastAsia="Arial" w:hAnsi="Arial"/>
          <w:sz w:val="12"/>
          <w:szCs w:val="12"/>
          <w:b w:val="1"/>
          <w:bCs w:val="1"/>
          <w:color w:val="auto"/>
        </w:rPr>
        <w:t>Industrial Classification</w:t>
      </w:r>
    </w:p>
    <w:p>
      <w:pPr>
        <w:spacing w:after="0" w:line="10" w:lineRule="exact"/>
        <w:rPr>
          <w:sz w:val="24"/>
          <w:szCs w:val="24"/>
          <w:color w:val="auto"/>
        </w:rPr>
      </w:pPr>
    </w:p>
    <w:p>
      <w:pPr>
        <w:jc w:val="center"/>
        <w:ind w:right="1360"/>
        <w:spacing w:after="0"/>
        <w:rPr>
          <w:sz w:val="20"/>
          <w:szCs w:val="20"/>
          <w:color w:val="auto"/>
        </w:rPr>
      </w:pPr>
      <w:r>
        <w:rPr>
          <w:rFonts w:ascii="Arial" w:cs="Arial" w:eastAsia="Arial" w:hAnsi="Arial"/>
          <w:sz w:val="14"/>
          <w:szCs w:val="14"/>
          <w:b w:val="1"/>
          <w:bCs w:val="1"/>
          <w:color w:val="auto"/>
        </w:rPr>
        <w:t>Code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470" w:lineRule="exact"/>
        <w:rPr>
          <w:sz w:val="24"/>
          <w:szCs w:val="24"/>
          <w:color w:val="auto"/>
        </w:rPr>
      </w:pPr>
    </w:p>
    <w:p>
      <w:pPr>
        <w:sectPr>
          <w:pgSz w:w="11900" w:h="16838" w:orient="portrait"/>
          <w:cols w:equalWidth="0" w:num="3">
            <w:col w:w="4360" w:space="720"/>
            <w:col w:w="2760" w:space="720"/>
            <w:col w:w="2840"/>
          </w:cols>
          <w:pgMar w:left="240" w:top="230" w:right="25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(512) 836-6464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113665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James A. Clishem</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Active Power, Inc.</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2128 W. Braker Lane, BK12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(512) 836-6464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113665</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Copies to:</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 Matthew Lyons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Andrews Kurth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111 Congress Avenue, Suite 1700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Austin, Texas 78701</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(512) 320-9200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127000</wp:posOffset>
            </wp:positionV>
            <wp:extent cx="1243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87"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149860</wp:posOffset>
            </wp:positionV>
            <wp:extent cx="1243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6"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to be offered pursuant to dividend or interest reinvestment plans, please check the following box. </w:t>
      </w:r>
      <w:r>
        <w:rPr>
          <w:rFonts w:ascii="MS PGothic" w:cs="MS PGothic" w:eastAsia="MS PGothic" w:hAnsi="MS PGothic"/>
          <w:sz w:val="16"/>
          <w:szCs w:val="16"/>
          <w:color w:val="auto"/>
        </w:rPr>
        <w:t>☐</w:t>
      </w:r>
    </w:p>
    <w:p>
      <w:pPr>
        <w:spacing w:after="0" w:line="146" w:lineRule="exact"/>
        <w:rPr>
          <w:sz w:val="24"/>
          <w:szCs w:val="24"/>
          <w:color w:val="auto"/>
        </w:rPr>
      </w:pPr>
    </w:p>
    <w:p>
      <w:pPr>
        <w:ind w:firstLine="342"/>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56" w:lineRule="exact"/>
        <w:rPr>
          <w:sz w:val="24"/>
          <w:szCs w:val="24"/>
          <w:color w:val="auto"/>
        </w:rPr>
      </w:pPr>
    </w:p>
    <w:p>
      <w:pPr>
        <w:ind w:right="140" w:firstLine="342"/>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620" w:firstLine="342"/>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firstLine="342"/>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56" w:lineRule="exact"/>
        <w:rPr>
          <w:sz w:val="24"/>
          <w:szCs w:val="24"/>
          <w:color w:val="auto"/>
        </w:rPr>
      </w:pPr>
    </w:p>
    <w:p>
      <w:pPr>
        <w:ind w:right="520" w:firstLine="342"/>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152400</wp:posOffset>
            </wp:positionV>
            <wp:extent cx="1243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7" w:lineRule="exact"/>
        <w:rPr>
          <w:sz w:val="24"/>
          <w:szCs w:val="24"/>
          <w:color w:val="auto"/>
        </w:rPr>
      </w:pPr>
    </w:p>
    <w:p>
      <w:pPr>
        <w:ind w:right="80" w:firstLine="342"/>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7580" w:type="dxa"/>
            <w:vAlign w:val="bottom"/>
            <w:tcBorders>
              <w:top w:val="single" w:sz="8" w:color="auto"/>
              <w:right w:val="single" w:sz="8" w:color="auto"/>
            </w:tcBorders>
          </w:tcPr>
          <w:p>
            <w:pPr>
              <w:spacing w:after="0"/>
              <w:rPr>
                <w:sz w:val="13"/>
                <w:szCs w:val="13"/>
                <w:color w:val="auto"/>
              </w:rPr>
            </w:pPr>
          </w:p>
        </w:tc>
        <w:tc>
          <w:tcPr>
            <w:tcW w:w="2260" w:type="dxa"/>
            <w:vAlign w:val="bottom"/>
            <w:tcBorders>
              <w:top w:val="single" w:sz="8" w:color="auto"/>
              <w:right w:val="single" w:sz="8" w:color="auto"/>
            </w:tcBorders>
          </w:tcPr>
          <w:p>
            <w:pPr>
              <w:ind w:left="420"/>
              <w:spacing w:after="0" w:line="159" w:lineRule="exact"/>
              <w:rPr>
                <w:sz w:val="20"/>
                <w:szCs w:val="20"/>
                <w:color w:val="auto"/>
              </w:rPr>
            </w:pPr>
            <w:r>
              <w:rPr>
                <w:rFonts w:ascii="Arial" w:cs="Arial" w:eastAsia="Arial" w:hAnsi="Arial"/>
                <w:sz w:val="14"/>
                <w:szCs w:val="14"/>
                <w:b w:val="1"/>
                <w:bCs w:val="1"/>
                <w:color w:val="auto"/>
                <w:w w:val="91"/>
              </w:rPr>
              <w:t>Proposed Aggregate Offering</w:t>
            </w:r>
          </w:p>
        </w:tc>
        <w:tc>
          <w:tcPr>
            <w:tcW w:w="1560" w:type="dxa"/>
            <w:vAlign w:val="bottom"/>
            <w:tcBorders>
              <w:top w:val="single" w:sz="8" w:color="auto"/>
            </w:tcBorders>
          </w:tcPr>
          <w:p>
            <w:pPr>
              <w:jc w:val="center"/>
              <w:ind w:left="346"/>
              <w:spacing w:after="0" w:line="159" w:lineRule="exact"/>
              <w:rPr>
                <w:sz w:val="20"/>
                <w:szCs w:val="20"/>
                <w:color w:val="auto"/>
              </w:rPr>
            </w:pPr>
            <w:r>
              <w:rPr>
                <w:rFonts w:ascii="Arial" w:cs="Arial" w:eastAsia="Arial" w:hAnsi="Arial"/>
                <w:sz w:val="14"/>
                <w:szCs w:val="14"/>
                <w:b w:val="1"/>
                <w:bCs w:val="1"/>
                <w:color w:val="auto"/>
                <w:w w:val="88"/>
              </w:rPr>
              <w:t>Amount of</w:t>
            </w:r>
          </w:p>
        </w:tc>
      </w:tr>
      <w:tr>
        <w:trPr>
          <w:trHeight w:val="161"/>
        </w:trPr>
        <w:tc>
          <w:tcPr>
            <w:tcW w:w="20" w:type="dxa"/>
            <w:vAlign w:val="bottom"/>
          </w:tcPr>
          <w:p>
            <w:pPr>
              <w:spacing w:after="0"/>
              <w:rPr>
                <w:sz w:val="14"/>
                <w:szCs w:val="14"/>
                <w:color w:val="auto"/>
              </w:rPr>
            </w:pPr>
          </w:p>
        </w:tc>
        <w:tc>
          <w:tcPr>
            <w:tcW w:w="7580" w:type="dxa"/>
            <w:vAlign w:val="bottom"/>
            <w:tcBorders>
              <w:bottom w:val="single" w:sz="8" w:color="auto"/>
              <w:right w:val="single" w:sz="8" w:color="auto"/>
            </w:tcBorders>
          </w:tcPr>
          <w:p>
            <w:pPr>
              <w:ind w:left="238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226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4"/>
                <w:szCs w:val="14"/>
                <w:b w:val="1"/>
                <w:bCs w:val="1"/>
                <w:color w:val="auto"/>
              </w:rPr>
              <w:t>Price (1) (2) (3) (4)</w:t>
            </w:r>
          </w:p>
        </w:tc>
        <w:tc>
          <w:tcPr>
            <w:tcW w:w="1560" w:type="dxa"/>
            <w:vAlign w:val="bottom"/>
            <w:tcBorders>
              <w:bottom w:val="single" w:sz="8" w:color="auto"/>
            </w:tcBorders>
          </w:tcPr>
          <w:p>
            <w:pPr>
              <w:jc w:val="center"/>
              <w:ind w:left="346"/>
              <w:spacing w:after="0"/>
              <w:rPr>
                <w:sz w:val="20"/>
                <w:szCs w:val="20"/>
                <w:color w:val="auto"/>
              </w:rPr>
            </w:pPr>
            <w:r>
              <w:rPr>
                <w:rFonts w:ascii="Arial" w:cs="Arial" w:eastAsia="Arial" w:hAnsi="Arial"/>
                <w:sz w:val="14"/>
                <w:szCs w:val="14"/>
                <w:b w:val="1"/>
                <w:bCs w:val="1"/>
                <w:color w:val="auto"/>
                <w:w w:val="87"/>
              </w:rPr>
              <w:t>Registration Fee (5)</w:t>
            </w:r>
          </w:p>
        </w:tc>
      </w:tr>
      <w:tr>
        <w:trPr>
          <w:trHeight w:val="216"/>
        </w:trPr>
        <w:tc>
          <w:tcPr>
            <w:tcW w:w="20" w:type="dxa"/>
            <w:vAlign w:val="bottom"/>
          </w:tcPr>
          <w:p>
            <w:pPr>
              <w:spacing w:after="0"/>
              <w:rPr>
                <w:sz w:val="18"/>
                <w:szCs w:val="18"/>
                <w:color w:val="auto"/>
              </w:rPr>
            </w:pPr>
          </w:p>
        </w:tc>
        <w:tc>
          <w:tcPr>
            <w:tcW w:w="7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Primary Offering</w:t>
            </w:r>
          </w:p>
        </w:tc>
        <w:tc>
          <w:tcPr>
            <w:tcW w:w="226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58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Common Stock (6)</w:t>
            </w:r>
          </w:p>
        </w:tc>
        <w:tc>
          <w:tcPr>
            <w:tcW w:w="226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58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Preferred Stock (7)</w:t>
            </w:r>
          </w:p>
        </w:tc>
        <w:tc>
          <w:tcPr>
            <w:tcW w:w="226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58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Debt Securities (8)</w:t>
            </w:r>
          </w:p>
        </w:tc>
        <w:tc>
          <w:tcPr>
            <w:tcW w:w="226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58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Warrants (9)</w:t>
            </w:r>
          </w:p>
        </w:tc>
        <w:tc>
          <w:tcPr>
            <w:tcW w:w="226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58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Units (10)</w:t>
            </w:r>
          </w:p>
        </w:tc>
        <w:tc>
          <w:tcPr>
            <w:tcW w:w="226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r>
      <w:tr>
        <w:trPr>
          <w:trHeight w:val="21"/>
        </w:trPr>
        <w:tc>
          <w:tcPr>
            <w:tcW w:w="7600" w:type="dxa"/>
            <w:vAlign w:val="bottom"/>
            <w:tcBorders>
              <w:right w:val="single" w:sz="8" w:color="auto"/>
            </w:tcBorders>
            <w:gridSpan w:val="2"/>
          </w:tcPr>
          <w:p>
            <w:pPr>
              <w:spacing w:after="0" w:line="20" w:lineRule="exact"/>
              <w:rPr>
                <w:sz w:val="1"/>
                <w:szCs w:val="1"/>
                <w:color w:val="auto"/>
              </w:rPr>
            </w:pPr>
          </w:p>
        </w:tc>
        <w:tc>
          <w:tcPr>
            <w:tcW w:w="2260" w:type="dxa"/>
            <w:vAlign w:val="bottom"/>
            <w:tcBorders>
              <w:right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Secondary Offering</w:t>
            </w:r>
          </w:p>
        </w:tc>
        <w:tc>
          <w:tcPr>
            <w:tcW w:w="2260" w:type="dxa"/>
            <w:vAlign w:val="bottom"/>
            <w:tcBorders>
              <w:top w:val="single" w:sz="8" w:color="auto"/>
              <w:right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58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Common Stock (11)</w:t>
            </w:r>
          </w:p>
        </w:tc>
        <w:tc>
          <w:tcPr>
            <w:tcW w:w="226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r>
      <w:tr>
        <w:trPr>
          <w:trHeight w:val="21"/>
        </w:trPr>
        <w:tc>
          <w:tcPr>
            <w:tcW w:w="7600" w:type="dxa"/>
            <w:vAlign w:val="bottom"/>
            <w:tcBorders>
              <w:right w:val="single" w:sz="8" w:color="auto"/>
            </w:tcBorders>
            <w:gridSpan w:val="2"/>
          </w:tcPr>
          <w:p>
            <w:pPr>
              <w:spacing w:after="0" w:line="20" w:lineRule="exact"/>
              <w:rPr>
                <w:sz w:val="1"/>
                <w:szCs w:val="1"/>
                <w:color w:val="auto"/>
              </w:rPr>
            </w:pPr>
          </w:p>
        </w:tc>
        <w:tc>
          <w:tcPr>
            <w:tcW w:w="2260" w:type="dxa"/>
            <w:vAlign w:val="bottom"/>
            <w:tcBorders>
              <w:right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2260" w:type="dxa"/>
            <w:vAlign w:val="bottom"/>
            <w:tcBorders>
              <w:top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$75,000,000.00</w:t>
            </w:r>
          </w:p>
        </w:tc>
        <w:tc>
          <w:tcPr>
            <w:tcW w:w="1560" w:type="dxa"/>
            <w:vAlign w:val="bottom"/>
            <w:tcBorders>
              <w:top w:val="single" w:sz="8" w:color="auto"/>
              <w:bottom w:val="single" w:sz="8" w:color="auto"/>
            </w:tcBorders>
          </w:tcPr>
          <w:p>
            <w:pPr>
              <w:jc w:val="center"/>
              <w:ind w:left="346"/>
              <w:spacing w:after="0"/>
              <w:rPr>
                <w:sz w:val="20"/>
                <w:szCs w:val="20"/>
                <w:color w:val="auto"/>
              </w:rPr>
            </w:pPr>
            <w:r>
              <w:rPr>
                <w:rFonts w:ascii="Arial" w:cs="Arial" w:eastAsia="Arial" w:hAnsi="Arial"/>
                <w:sz w:val="18"/>
                <w:szCs w:val="18"/>
                <w:color w:val="auto"/>
                <w:w w:val="87"/>
              </w:rPr>
              <w:t>$8,025.00</w:t>
            </w:r>
          </w:p>
        </w:tc>
      </w:tr>
    </w:tbl>
    <w:p>
      <w:pPr>
        <w:ind w:left="340" w:hanging="332"/>
        <w:spacing w:after="0"/>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proposed maximum offering price per unit will be determined from time to time by Active Power, Inc. in connection with, and at the time of, the issuance of the securities registered hereunder.</w:t>
      </w:r>
    </w:p>
    <w:p>
      <w:pPr>
        <w:spacing w:after="0" w:line="11"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purposes of calculating the registration fee pursuant to Rule 457(o) under the Securities Act of 1933, as amended.</w:t>
      </w:r>
    </w:p>
    <w:p>
      <w:pPr>
        <w:ind w:left="340" w:right="280" w:hanging="332"/>
        <w:spacing w:after="0" w:line="258" w:lineRule="auto"/>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 no event will the aggregate initial offering price of all securities issued from time to time pursuant to the registration statement exceed $75,000,000.00. Securities registered hereunder may be sold separately, together or as units with other securities registered hereunder. This total amount also included such securities as may, from time to time, be issued upon conversion or exchange of securities registered hereunder, to the extent any such securities are, by their terms, convertible into or exchangeable for other securities.</w:t>
      </w:r>
    </w:p>
    <w:p>
      <w:pPr>
        <w:ind w:left="34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Not specified as to each class of securities being registered pursuant to General Instruction II.D. of Form S-3 under the Securities Act of 1933, as amended.</w:t>
      </w:r>
    </w:p>
    <w:p>
      <w:pPr>
        <w:ind w:left="340" w:right="10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By post-effective amendment to Registration Statement No. 333-123586, registrant de-registered 1,636,353 shares of the registrant’s Common Stock that were issuable to the selling securityholders under Registration Statement No. 333-123586 only if and when such selling securityholders exercised certain additional investment rights to acquire such shares within 180 days after the effective date of Registration Statement No. 333-123586. The selling securityholders’ additional investment rights expired without exercise and no such shares were issued. A registration fee of $2,833.45 was paid in connection with Registration Statement No. 333-123586 of which $653.87 associated with the 1,636,353 shares of unsold, de-registered common stock securities under Registration Statement No. 333-123586 is being used to offset the total filing fees due under this Registration Statement pursuant to Rule 457(p). Accordingly, a net filing fee of $7,371.13 is due in connection with the filing of this Registration Statement.</w:t>
      </w:r>
    </w:p>
    <w:p>
      <w:pPr>
        <w:spacing w:after="0" w:line="1"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Subject to note (3) above, an indeterminate number of shares of common stock of Active Power, Inc. as may be sold from time to time are being registered hereunder. Also includes such indeterminate number of shares of common stock as may be (a) issued upon conversion, redemption or exchange for any debt securities or preferred stock that provide for conversion or exchange into common stock, (b) issued upon exercise and settlement of any warrants or (c) issued as a result of stock splits, stock dividends or similar transactions. The aggregate amount of common stock registered under this registration statement is limited to that which is permissible under Rule 415(a)(4) promulgated under the Securities Act of 1933, as amended.</w:t>
      </w:r>
    </w:p>
    <w:p>
      <w:pPr>
        <w:ind w:left="340" w:right="260" w:hanging="332"/>
        <w:spacing w:after="0" w:line="258" w:lineRule="auto"/>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Subject to note (3) above, an indeterminate number of shares of preferred stock of Active Power, Inc. as may be sold from time to time are being registered hereunder. Also includes such indeterminate number of shares of preferred stock as may be (a) issued upon conversion, redemption or exchange for any debt securities that provide for conversion or exchange into preferred stock, (b) issued upon exercise and settlement of any warrants or (c) issued as a result of stock splits, stock dividends or similar transactions.</w:t>
      </w:r>
    </w:p>
    <w:p>
      <w:pPr>
        <w:jc w:val="both"/>
        <w:ind w:left="340" w:right="2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Subject to note (3) above, an indeterminate principal amount of debt securities of Active Power, Inc. as may be sold from time to time are being registered hereunder. If any debt securities of Active Power, Inc. are issued at an original issue discount, then the offering price shall be in such greater principal amount as shall result in an aggregate initial offering price not to exceed $75,000,000.00, less the dollar amount of any securities previously issued hereunder.</w:t>
      </w:r>
    </w:p>
    <w:p>
      <w:pPr>
        <w:ind w:left="340" w:right="30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Subject to note (3) above, an indeterminate number of warrants of Active Power, Inc. as may be sold from time to time are being registered hereunder. Warrants may be exercised to purchase common stock, preferred stock, debt securities or units.</w:t>
      </w:r>
    </w:p>
    <w:p>
      <w:pPr>
        <w:ind w:left="340" w:right="6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Subject to note (3) above, an indeterminate number of units of Active Power, Inc. as may be sold from time to time are being registered hereunder. Units may consist of any combination of common stock, preferred stock, debt securities or warrants.</w:t>
      </w:r>
    </w:p>
    <w:p>
      <w:pPr>
        <w:ind w:left="340" w:right="280" w:hanging="332"/>
        <w:spacing w:after="0" w:line="230"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Subject to note (3) above, an indeterminate number of shares of common stock of Active Power, Inc. as may be sold from time to time are being registered hereunder. Also includes such indeterminate number of shares of common stock of Active Power, Inc. as may be issued as a result of stock splits, stock dividends or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right="40"/>
        <w:spacing w:after="0" w:line="236" w:lineRule="auto"/>
        <w:rPr>
          <w:sz w:val="20"/>
          <w:szCs w:val="20"/>
          <w:color w:val="auto"/>
        </w:rPr>
      </w:pPr>
      <w:r>
        <w:rPr>
          <w:rFonts w:ascii="Arial" w:cs="Arial" w:eastAsia="Arial" w:hAnsi="Arial"/>
          <w:sz w:val="14"/>
          <w:szCs w:val="14"/>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a solicitation of an offer to buy these securities in any state where the offer or sale is not permitted.</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SUBJECT TO COMPLETION, DATED SEPTEMBER 1,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14605</wp:posOffset>
            </wp:positionV>
            <wp:extent cx="1895475" cy="43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9547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212090</wp:posOffset>
            </wp:positionV>
            <wp:extent cx="15347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Debt Securities, Common Stock,</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Preferred Stock, Warrants and Units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Offered by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 Securityholders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204470</wp:posOffset>
            </wp:positionV>
            <wp:extent cx="15347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By this prospectus and an accompanying prospectus supplement, we or any selling securityholder may from time to time offer and sell in one or more offerings any combination of the securities listed above. This prospectus provides a general description of the securities we or any selling securityholder may offer. Supplements to this prospectus will provide the specific terms of the securities that we actually offer, including the offering prices. In the prospectus supplement relating to sales by selling securityholders, we will identify each selling securityholder and the number of shares of our common stock that each selling securityholder may be selling. You should carefully read this prospectus, any applicable prospectus supplement and any information under the heading “Where You Can Find More Information” before you invest in any of these securities. This prospectus may not be used to sell securities unless it is accompanied by a prospectus supplement that describes those securities.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or any securityholder may sell these securities directly to or through underwriters, to other purchasers and/or through agents. For additional information on the method of sale, you should refer to the section in this prospectus entitled “Plan of Distribution.” If any underwriters are involved in the sale of any securities offered by this prospectus and any prospectus supplement, their names, and any applicable purchase price, fee, commission or discount arrangement between or among us, the selling securityholders and them, will be set forth, or will be calculable from the information set forth, in the applicable prospectus supplement.</w:t>
      </w:r>
    </w:p>
    <w:p>
      <w:pPr>
        <w:spacing w:after="0" w:line="143"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Our common stock is quoted on the Nasdaq National Market under the symbol “ACPW.” On August 31, 2006, the closing price of our common stock as reported by Nasdaq was $3.05 per share. We will apply to list any shares of common stock sold under this prospectus and any prospectus supplement on the Nasdaq National Market. We have not determined whether we will list any other securities we may offer on the Nasdaq National Market, or any other exchange or on the over-the-counter market. If we decide to seek listing of any securities, a prospectus supplement will disclose the name of such exchange or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161925</wp:posOffset>
            </wp:positionV>
            <wp:extent cx="15347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96" w:lineRule="exact"/>
        <w:rPr>
          <w:sz w:val="20"/>
          <w:szCs w:val="20"/>
          <w:color w:val="auto"/>
        </w:rPr>
      </w:pPr>
    </w:p>
    <w:p>
      <w:pPr>
        <w:ind w:right="320" w:firstLine="456"/>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securities involves risks. Risks associated with an investment in our securities will be described in this prospectus, in the applicable prospectus supplement and in certain of our filings with the Securities and Exchange Commission, as described under “ </w:t>
      </w:r>
      <w:hyperlink w:anchor="page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3.</w:t>
      </w:r>
    </w:p>
    <w:p>
      <w:pPr>
        <w:spacing w:after="0" w:line="13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whether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183515</wp:posOffset>
            </wp:positionV>
            <wp:extent cx="15347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3980" w:type="dxa"/>
        <w:tblCellMar>
          <w:top w:w="0" w:type="dxa"/>
          <w:left w:w="0" w:type="dxa"/>
          <w:bottom w:w="0" w:type="dxa"/>
          <w:right w:w="0" w:type="dxa"/>
        </w:tblCellMar>
      </w:tblP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940" w:type="dxa"/>
            <w:vAlign w:val="bottom"/>
          </w:tcPr>
          <w:p>
            <w:pPr>
              <w:jc w:val="right"/>
              <w:spacing w:after="0"/>
              <w:rPr>
                <w:sz w:val="20"/>
                <w:szCs w:val="20"/>
                <w:color w:val="auto"/>
              </w:rPr>
            </w:pPr>
            <w:r>
              <w:rPr>
                <w:rFonts w:ascii="Arial" w:cs="Arial" w:eastAsia="Arial" w:hAnsi="Arial"/>
                <w:sz w:val="18"/>
                <w:szCs w:val="18"/>
                <w:color w:val="auto"/>
              </w:rPr>
              <w:t>, 2006.</w:t>
            </w:r>
          </w:p>
        </w:tc>
      </w:tr>
    </w:tbl>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140" w:type="dxa"/>
            <w:vAlign w:val="bottom"/>
          </w:tcPr>
          <w:p>
            <w:pPr>
              <w:jc w:val="right"/>
              <w:ind w:right="4672"/>
              <w:spacing w:after="0"/>
              <w:rPr>
                <w:sz w:val="20"/>
                <w:szCs w:val="20"/>
                <w:color w:val="auto"/>
              </w:rPr>
            </w:pPr>
            <w:r>
              <w:rPr>
                <w:rFonts w:ascii="Arial" w:cs="Arial" w:eastAsia="Arial" w:hAnsi="Arial"/>
                <w:sz w:val="18"/>
                <w:szCs w:val="18"/>
                <w:b w:val="1"/>
                <w:bCs w:val="1"/>
                <w:color w:val="auto"/>
              </w:rPr>
              <w:t>TABLE OF CONTENTS</w:t>
            </w:r>
          </w:p>
        </w:tc>
      </w:tr>
      <w:tr>
        <w:trPr>
          <w:trHeight w:val="380"/>
        </w:trPr>
        <w:tc>
          <w:tcPr>
            <w:tcW w:w="428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7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304"/>
        </w:trPr>
        <w:tc>
          <w:tcPr>
            <w:tcW w:w="428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About Active Power, Inc.</w:t>
              </w:r>
            </w:hyperlink>
          </w:p>
        </w:tc>
        <w:tc>
          <w:tcPr>
            <w:tcW w:w="7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900" w:type="dxa"/>
            <w:vAlign w:val="bottom"/>
            <w:tcBorders>
              <w:top w:val="single" w:sz="8" w:color="0000EE"/>
            </w:tcBorders>
            <w:gridSpan w:val="9"/>
          </w:tcPr>
          <w:p>
            <w:pPr>
              <w:spacing w:after="0"/>
              <w:rPr>
                <w:sz w:val="24"/>
                <w:szCs w:val="24"/>
                <w:color w:val="auto"/>
              </w:rPr>
            </w:pPr>
          </w:p>
        </w:tc>
        <w:tc>
          <w:tcPr>
            <w:tcW w:w="2480" w:type="dxa"/>
            <w:vAlign w:val="bottom"/>
            <w:gridSpan w:val="6"/>
          </w:tcPr>
          <w:p>
            <w:pPr>
              <w:spacing w:after="0"/>
              <w:rPr>
                <w:sz w:val="24"/>
                <w:szCs w:val="24"/>
                <w:color w:val="auto"/>
              </w:rPr>
            </w:pPr>
          </w:p>
        </w:tc>
        <w:tc>
          <w:tcPr>
            <w:tcW w:w="7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38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15">
              <w:r>
                <w:rPr>
                  <w:rFonts w:ascii="Arial" w:cs="Arial" w:eastAsia="Arial" w:hAnsi="Arial"/>
                  <w:sz w:val="18"/>
                  <w:szCs w:val="18"/>
                  <w:color w:val="0000EE"/>
                  <w:w w:val="88"/>
                </w:rPr>
                <w:t>Special Note Regarding Forward-Looking Statements</w:t>
              </w:r>
            </w:hyperlink>
          </w:p>
        </w:tc>
        <w:tc>
          <w:tcPr>
            <w:tcW w:w="480" w:type="dxa"/>
            <w:vAlign w:val="bottom"/>
          </w:tcPr>
          <w:p>
            <w:pPr>
              <w:spacing w:after="0"/>
              <w:rPr>
                <w:sz w:val="24"/>
                <w:szCs w:val="24"/>
                <w:color w:val="auto"/>
              </w:rPr>
            </w:pPr>
          </w:p>
        </w:tc>
        <w:tc>
          <w:tcPr>
            <w:tcW w:w="7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4280" w:type="dxa"/>
            <w:vAlign w:val="bottom"/>
            <w:gridSpan w:val="17"/>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Use of Proceeds</w:t>
              </w:r>
            </w:hyperlink>
          </w:p>
        </w:tc>
        <w:tc>
          <w:tcPr>
            <w:tcW w:w="7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5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304"/>
        </w:trPr>
        <w:tc>
          <w:tcPr>
            <w:tcW w:w="4280" w:type="dxa"/>
            <w:vAlign w:val="bottom"/>
            <w:gridSpan w:val="17"/>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Ratio of Earnings to Fixed Charges</w:t>
              </w:r>
            </w:hyperlink>
          </w:p>
        </w:tc>
        <w:tc>
          <w:tcPr>
            <w:tcW w:w="7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2480" w:type="dxa"/>
            <w:vAlign w:val="bottom"/>
            <w:tcBorders>
              <w:top w:val="single" w:sz="8" w:color="0000EE"/>
            </w:tcBorders>
            <w:gridSpan w:val="1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Our Business</w:t>
              </w:r>
            </w:hyperlink>
          </w:p>
        </w:tc>
        <w:tc>
          <w:tcPr>
            <w:tcW w:w="1800" w:type="dxa"/>
            <w:vAlign w:val="bottom"/>
            <w:gridSpan w:val="3"/>
          </w:tcPr>
          <w:p>
            <w:pPr>
              <w:spacing w:after="0"/>
              <w:rPr>
                <w:sz w:val="24"/>
                <w:szCs w:val="24"/>
                <w:color w:val="auto"/>
              </w:rPr>
            </w:pPr>
          </w:p>
        </w:tc>
        <w:tc>
          <w:tcPr>
            <w:tcW w:w="7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5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304"/>
        </w:trPr>
        <w:tc>
          <w:tcPr>
            <w:tcW w:w="16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Selling Securityholders</w:t>
              </w:r>
            </w:hyperlink>
          </w:p>
        </w:tc>
        <w:tc>
          <w:tcPr>
            <w:tcW w:w="2620" w:type="dxa"/>
            <w:vAlign w:val="bottom"/>
            <w:gridSpan w:val="8"/>
          </w:tcPr>
          <w:p>
            <w:pPr>
              <w:spacing w:after="0"/>
              <w:rPr>
                <w:sz w:val="24"/>
                <w:szCs w:val="24"/>
                <w:color w:val="auto"/>
              </w:rPr>
            </w:pPr>
          </w:p>
        </w:tc>
        <w:tc>
          <w:tcPr>
            <w:tcW w:w="7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20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Description of Capital Stock</w:t>
              </w:r>
            </w:hyperlink>
          </w:p>
        </w:tc>
        <w:tc>
          <w:tcPr>
            <w:tcW w:w="2260" w:type="dxa"/>
            <w:vAlign w:val="bottom"/>
            <w:gridSpan w:val="5"/>
          </w:tcPr>
          <w:p>
            <w:pPr>
              <w:spacing w:after="0"/>
              <w:rPr>
                <w:sz w:val="24"/>
                <w:szCs w:val="24"/>
                <w:color w:val="auto"/>
              </w:rPr>
            </w:pPr>
          </w:p>
        </w:tc>
        <w:tc>
          <w:tcPr>
            <w:tcW w:w="7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21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Description of Debt Securities</w:t>
              </w:r>
            </w:hyperlink>
          </w:p>
        </w:tc>
        <w:tc>
          <w:tcPr>
            <w:tcW w:w="2140" w:type="dxa"/>
            <w:vAlign w:val="bottom"/>
            <w:gridSpan w:val="4"/>
          </w:tcPr>
          <w:p>
            <w:pPr>
              <w:spacing w:after="0"/>
              <w:rPr>
                <w:sz w:val="24"/>
                <w:szCs w:val="24"/>
                <w:color w:val="auto"/>
              </w:rPr>
            </w:pPr>
          </w:p>
        </w:tc>
        <w:tc>
          <w:tcPr>
            <w:tcW w:w="7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17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Description of Warrants</w:t>
              </w:r>
            </w:hyperlink>
          </w:p>
        </w:tc>
        <w:tc>
          <w:tcPr>
            <w:tcW w:w="2580" w:type="dxa"/>
            <w:vAlign w:val="bottom"/>
            <w:gridSpan w:val="7"/>
          </w:tcPr>
          <w:p>
            <w:pPr>
              <w:spacing w:after="0"/>
              <w:rPr>
                <w:sz w:val="24"/>
                <w:szCs w:val="24"/>
                <w:color w:val="auto"/>
              </w:rPr>
            </w:pPr>
          </w:p>
        </w:tc>
        <w:tc>
          <w:tcPr>
            <w:tcW w:w="71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4280" w:type="dxa"/>
            <w:vAlign w:val="bottom"/>
            <w:gridSpan w:val="1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Description of Units</w:t>
              </w:r>
            </w:hyperlink>
          </w:p>
        </w:tc>
        <w:tc>
          <w:tcPr>
            <w:tcW w:w="71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440" w:type="dxa"/>
            <w:vAlign w:val="bottom"/>
            <w:tcBorders>
              <w:top w:val="single" w:sz="8" w:color="0000EE"/>
            </w:tcBorders>
            <w:gridSpan w:val="7"/>
          </w:tcPr>
          <w:p>
            <w:pPr>
              <w:spacing w:after="0"/>
              <w:rPr>
                <w:rFonts w:ascii="Arial" w:cs="Arial" w:eastAsia="Arial" w:hAnsi="Arial"/>
                <w:sz w:val="18"/>
                <w:szCs w:val="18"/>
                <w:color w:val="0000EE"/>
                <w:w w:val="93"/>
              </w:rPr>
            </w:pPr>
            <w:hyperlink w:anchor="page49">
              <w:r>
                <w:rPr>
                  <w:rFonts w:ascii="Arial" w:cs="Arial" w:eastAsia="Arial" w:hAnsi="Arial"/>
                  <w:sz w:val="18"/>
                  <w:szCs w:val="18"/>
                  <w:color w:val="0000EE"/>
                  <w:w w:val="93"/>
                </w:rPr>
                <w:t>Plan of Distribution</w:t>
              </w:r>
            </w:hyperlink>
          </w:p>
        </w:tc>
        <w:tc>
          <w:tcPr>
            <w:tcW w:w="2840" w:type="dxa"/>
            <w:vAlign w:val="bottom"/>
            <w:gridSpan w:val="10"/>
          </w:tcPr>
          <w:p>
            <w:pPr>
              <w:spacing w:after="0"/>
              <w:rPr>
                <w:sz w:val="24"/>
                <w:szCs w:val="24"/>
                <w:color w:val="auto"/>
              </w:rPr>
            </w:pPr>
          </w:p>
        </w:tc>
        <w:tc>
          <w:tcPr>
            <w:tcW w:w="71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1400" w:type="dxa"/>
            <w:vAlign w:val="bottom"/>
            <w:tcBorders>
              <w:top w:val="single" w:sz="8" w:color="0000EE"/>
            </w:tcBorders>
            <w:gridSpan w:val="6"/>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Legal Matters</w:t>
              </w:r>
            </w:hyperlink>
          </w:p>
        </w:tc>
        <w:tc>
          <w:tcPr>
            <w:tcW w:w="2880" w:type="dxa"/>
            <w:vAlign w:val="bottom"/>
            <w:gridSpan w:val="11"/>
          </w:tcPr>
          <w:p>
            <w:pPr>
              <w:spacing w:after="0"/>
              <w:rPr>
                <w:sz w:val="24"/>
                <w:szCs w:val="24"/>
                <w:color w:val="auto"/>
              </w:rPr>
            </w:pPr>
          </w:p>
        </w:tc>
        <w:tc>
          <w:tcPr>
            <w:tcW w:w="71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980" w:type="dxa"/>
            <w:vAlign w:val="bottom"/>
            <w:tcBorders>
              <w:top w:val="single" w:sz="8" w:color="0000EE"/>
            </w:tcBorders>
            <w:gridSpan w:val="4"/>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Experts</w:t>
              </w:r>
            </w:hyperlink>
          </w:p>
        </w:tc>
        <w:tc>
          <w:tcPr>
            <w:tcW w:w="3300" w:type="dxa"/>
            <w:vAlign w:val="bottom"/>
            <w:gridSpan w:val="13"/>
          </w:tcPr>
          <w:p>
            <w:pPr>
              <w:spacing w:after="0"/>
              <w:rPr>
                <w:sz w:val="24"/>
                <w:szCs w:val="24"/>
                <w:color w:val="auto"/>
              </w:rPr>
            </w:pPr>
          </w:p>
        </w:tc>
        <w:tc>
          <w:tcPr>
            <w:tcW w:w="71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4"/>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304"/>
        </w:trPr>
        <w:tc>
          <w:tcPr>
            <w:tcW w:w="4280" w:type="dxa"/>
            <w:vAlign w:val="bottom"/>
            <w:gridSpan w:val="1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Where You Can Find More Information</w:t>
              </w:r>
            </w:hyperlink>
          </w:p>
        </w:tc>
        <w:tc>
          <w:tcPr>
            <w:tcW w:w="71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214630</wp:posOffset>
            </wp:positionV>
            <wp:extent cx="12433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100" w:firstLine="456"/>
        <w:spacing w:after="0" w:line="308" w:lineRule="auto"/>
        <w:rPr>
          <w:sz w:val="20"/>
          <w:szCs w:val="20"/>
          <w:color w:val="auto"/>
        </w:rPr>
      </w:pPr>
      <w:r>
        <w:rPr>
          <w:rFonts w:ascii="Arial" w:cs="Arial" w:eastAsia="Arial" w:hAnsi="Arial"/>
          <w:sz w:val="15"/>
          <w:szCs w:val="15"/>
          <w:color w:val="auto"/>
        </w:rPr>
        <w:t>This prospectus is part of a registration statement that we filed with the Securities and Exchange Commission, or SEC, utilizing a “shelf” registration process. Under this shelf registration process, we may sell any combination of the securities described in this prospectus in one or more offerings. In addition, some of our securityholders may sell shares of our common stock under this shelf registration statement. This prospectus provides you with a general description of the securities that we or any selling securityholders may offer. Each time that we or any selling securityholders offer to sell securities, we will provide a prospectus supplement that will contain specific information about the terms of that offering and the securities offered by us and/or any selling securityholders in that offering. The prospectus supplement may also add, update or change information contained in this prospectus. If there is any inconsistency between the information in this prospectus and any prospectus supplement, you should rely on the information provided in the prospectus supplement. This prospectus does not contain all of the information included in the registration statement. The registration statement filed with the SEC includes exhibits that provide more details about the matters discussed in this prospectus. You should carefully read this prospectus, the related exhibits filed with the SEC and any prospectus supplement, together with the additional information described under the heading “Where You Can Find More Information” beginning on page 48.</w:t>
      </w:r>
    </w:p>
    <w:p>
      <w:pPr>
        <w:spacing w:after="0" w:line="10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and in any accompanying prospectus supplement. We have not authorized any other person to provide you with different information. If anyone provides you with different or inconsistent information, you should not rely on it. We are not making an offer of the securities covered by this prospectus in any state where the offer is not permitted. You should assume that the information appearing in this prospectus, any prospectus supplement and any other document incorporated by reference is accurate only as of the date on the front cover of those documents. Our business, financial condition, results of operations and prospects may have changed since those dates. We will disclose any material changes in our affairs in an amendment to this prospectus, a prospectus supplement or a future filing with the SEC incorporated by reference in this prospectus.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this prospectus, “Active Power,” “we,” “us” and “our” refer to Active Power, Inc. and its direct and indirect subsidiaries on a consolidated basis.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References to “$” or “dollars” are to the currency of the United States of America.</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ACTIVE POWER, INC.</w:t>
      </w:r>
    </w:p>
    <w:p>
      <w:pPr>
        <w:spacing w:after="0" w:line="17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Active Power designs, manufactures and markets power quality products that provide consistent, reliable and cost-effective ride through, or temporary, power for the majority of power disturbances, such as voltage sags and surges, and bridge the gap between a power outage and restoration of power or the time required to switch to generator power. Our products are designed to be environmentally friendly compared to existing solutions without compromising functionality, efficiency or cost. We have shipped over 1,300 flywheels, or more than 325 megawatts of our products, representing $91.4 million in revenue, to business locations in over 35 countries around the world since our founding in 1992. We are headquartered in Austin, Texas.</w:t>
      </w:r>
    </w:p>
    <w:p>
      <w:pPr>
        <w:spacing w:after="0" w:line="116" w:lineRule="exact"/>
        <w:rPr>
          <w:sz w:val="20"/>
          <w:szCs w:val="20"/>
          <w:color w:val="auto"/>
        </w:rPr>
      </w:pPr>
    </w:p>
    <w:p>
      <w:pPr>
        <w:ind w:firstLine="456"/>
        <w:spacing w:after="0" w:line="263" w:lineRule="auto"/>
        <w:rPr>
          <w:sz w:val="20"/>
          <w:szCs w:val="20"/>
          <w:color w:val="auto"/>
        </w:rPr>
      </w:pPr>
      <w:r>
        <w:rPr>
          <w:rFonts w:ascii="Arial" w:cs="Arial" w:eastAsia="Arial" w:hAnsi="Arial"/>
          <w:sz w:val="17"/>
          <w:szCs w:val="17"/>
          <w:color w:val="auto"/>
        </w:rPr>
        <w:t>Our patented flywheel energy storage systems store kinetic energy by constantly spinning a compact steel wheel (“flywheel”) driven from utility power in a low-friction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fully restored or a backup electric generator starts and takes over generating longer-term backup power in the case of an extended electrical outage. We believe that our flywheel products provide many competitive advantages over traditional battery-based systems, including substantial space savings, high power densities, “green” energy storage and power efficiencies as high as 98% that reduce total operational energy costs. We offer our flywheel products with load capabilities from 65 kVA to 3600 kVA, while typically targeting higher power density applications above 200 kVA since the majority of these customers already have back-up generators. We market our flywheel products under the brand name CleanSource</w:t>
      </w:r>
      <w:r>
        <w:rPr>
          <w:rFonts w:ascii="Arial" w:cs="Arial" w:eastAsia="Arial" w:hAnsi="Arial"/>
          <w:sz w:val="21"/>
          <w:szCs w:val="21"/>
          <w:color w:val="auto"/>
          <w:vertAlign w:val="superscript"/>
        </w:rPr>
        <w:t>®</w:t>
      </w:r>
      <w:r>
        <w:rPr>
          <w:rFonts w:ascii="Arial" w:cs="Arial" w:eastAsia="Arial" w:hAnsi="Arial"/>
          <w:sz w:val="17"/>
          <w:szCs w:val="17"/>
          <w:color w:val="auto"/>
        </w:rPr>
        <w:t>. CleanSource DC is a non-chemical replacement for lead-acid batteries used for bridging power. Utilizing our flywheel energy storage technology, the CleanSource DC is a stand-alone direct current (DC) product that is compatible with all major brands of uninterruptible power supplies (UPS). We built on the technological success of CleanSource DC by creating a battery-free UPS, CleanSource UPS, which integrates the UPS electronics and our flywheel energy storage system into one compact cabinet. CleanSource UPS represents the majority of our current revenues. Combining our CleanSource UPS with a generator provides customers with complete short and long-term protection in the event of a power disturbance. We sell our CleanSource flywheel products to commercial and industrial customers across a variety of vertical markets including manufacturing, technology, communications, utilities, healthcare, banking and military, and in all major geographic regions of the world, but particularly in North America and Europe.</w:t>
      </w:r>
    </w:p>
    <w:p>
      <w:pPr>
        <w:spacing w:after="0" w:line="14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To address the requirements of those customers without backup generators that still need protection from utility disturbances, we also have developed our CoolAir™ DC extended runtime product. We initially have targeted CoolAir DC at lower power levels than our flywheel products, and it is sold as a minute-for-minute replacement for lead-acid batteries. CoolAir DC can provide backup power for several minutes to hours depending on the customer application. CoolAir DC utilizes mature thermal and compressed air storage (TACAS) technologies combined in a proprietary manner to produce backup power during an electrical disturbance. This product discharges cool air as a by-product of its operation that also can be used by customers during an electrical disturbance to provide a source of backup cooling. In addition to offering a DC-only solution, when customers desire a complete backup solution with an extended runtime, we have introduced the CoolAir UPS that couples our CoolAir DC product with a third party double-conversion UPS. CoolAir initially is being targeted at small to medium-size data center customers in North America following its commercial introduction in the second quarter of 2006, and we expect an international version will be available in late 2006.</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were founded in 1992 as a Texas corporation known as Magnetic Bearing Technologies, Inc. We began our efforts to develop a flywheel energy storage product for the power quality market in 1996 and subsequently changed our name to Active Power, Inc. We re-incorporated in Delaware in 2000 prior to our initial public offering.</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principal executive offices are located at 2128 W. Braker Lane, BK12, Austin, Texas 78758. Our telephone number is (512) 836-6464. Our website is www.activepower.com. The information found on our website or on websites linked to our website is not incorporated into or a part of this prospectus.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 ISK FACTORS</w:t>
      </w:r>
    </w:p>
    <w:p>
      <w:pPr>
        <w:spacing w:after="0" w:line="1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You should carefully consider the risks described below before making a decision to invest in our securities or in evaluating Active Power and our business. In addition to the risks described below, you should also consider the specific risks set forth under the caption “Risk Factors” in the applicable prospectus supplement and under the caption “Risk Factors” in any of our filings with the Commission pursuant to Sections 13(a), 13(c), 14, or 15(d) of the Securities Exchange Act of 1934 (the “Exchange Act”) incorporated by reference herein, before making an investment decision. The risks and uncertainties described below and incorporated by reference herein, are not the only ones we face. Additional risks and uncertainties that we do not presently know, or that we currently view as immaterial, may also impair our business operations. This prospectus and any accompanying prospectus supplement is qualified in its entirety by these risk factors.</w:t>
      </w:r>
    </w:p>
    <w:p>
      <w:pPr>
        <w:spacing w:after="0" w:line="14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The actual occurrence of any of the following risks could materially harm our business, financial condition and results of operations. In that case, the trading price of our common stock could decline.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losses and anticipate losses for at least the next several quarters.</w:t>
      </w:r>
    </w:p>
    <w:p>
      <w:pPr>
        <w:spacing w:after="0" w:line="1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incurred operating losses since our inception and expect to continue to incur losses for at least the next several quarters. As of June 30, 2006, we had an accumulated deficit of $192.7 million. To date, we have funded our operations principally through the sale of our stock, product revenue and development funding payments from Caterpillar. We will need to generate significant additional revenue to achieve profitability, and we cannot assure you that we will ever realize sufficient additional revenue to achieve profitability. We also expect to incur product development, sales and marketing and administrative expenses in excess of our revenue after costs, and, as a result, we expect to continue to incur losses for at least the next several quarters.</w:t>
      </w:r>
    </w:p>
    <w:p>
      <w:pPr>
        <w:spacing w:after="0" w:line="110"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Due to uncertainty surrounding market acceptance of our products, we may never achieve significant revenue or become profitable and we may have difficulty accurately predicting revenue for future periods.</w:t>
      </w:r>
    </w:p>
    <w:p>
      <w:pPr>
        <w:spacing w:after="0" w:line="12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generated a total of $91.4 million in product revenue between January 1, 1998 and June 30, 2006, with $11 million generated in the six-month period ended June 30, 2006. We are uncertain whether our products will achieve market acceptance such that our revenue will increase or whether we will be able to achieve significant revenue. Therefore, we have a very limited ability to predict future revenue. The uncertain market acceptance for our products and other factors that are beyond our control make it difficult for us to accurately forecast our quarterly and annual revenue. However, we use our forecasted revenue to establish our expense budget. Most of our expenses, particularly rent and salaries, are fixed in the short term or incurred in advance of anticipated revenue. Consequently, we may not be able to decrease our expenses, if desired, in a timely manner to offset any revenue shortfall. If our revenue does not increase as anticipated, we will continue to incur significant losses. As a result of the foregoing, we cannot assure you that our revenue will grow or remain stable in future periods or that we will become profitable.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results may vary significantly from quarter to quarter.</w:t>
      </w:r>
    </w:p>
    <w:p>
      <w:pPr>
        <w:spacing w:after="0" w:line="1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product revenue, operating expenses and quarterly operating results have varied in the past and may fluctuate significantly from quarter to quarter in the future due to a variety of factors, many of which are outside our control. As a result you should not rely on our operating results during any particular quarter as an indication of our future performance in any quarterly period or fiscal year. These factors include, among others:</w:t>
      </w:r>
    </w:p>
    <w:p>
      <w:pPr>
        <w:spacing w:after="0" w:line="26" w:lineRule="exact"/>
        <w:rPr>
          <w:sz w:val="20"/>
          <w:szCs w:val="20"/>
          <w:color w:val="auto"/>
        </w:rPr>
      </w:pPr>
    </w:p>
    <w:p>
      <w:pPr>
        <w:ind w:left="780" w:hanging="326"/>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timing of orders from our customers and the possibility that customers may change their order requirements with little or no notice to us;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
        </w:numPr>
        <w:rPr>
          <w:rFonts w:ascii="Arial" w:cs="Arial" w:eastAsia="Arial" w:hAnsi="Arial"/>
          <w:sz w:val="15"/>
          <w:szCs w:val="15"/>
          <w:color w:val="auto"/>
        </w:rPr>
      </w:pPr>
      <w:r>
        <w:rPr>
          <w:rFonts w:ascii="Arial" w:cs="Arial" w:eastAsia="Arial" w:hAnsi="Arial"/>
          <w:sz w:val="15"/>
          <w:szCs w:val="15"/>
          <w:color w:val="auto"/>
        </w:rPr>
        <w:t>rate of adoption of our flywheel-based energy storage systems or our thermal and compressed air based systems as alternatives to lead-acid batteries;</w:t>
      </w:r>
    </w:p>
    <w:p>
      <w:pPr>
        <w:spacing w:after="0" w:line="124" w:lineRule="exact"/>
        <w:rPr>
          <w:rFonts w:ascii="Arial" w:cs="Arial" w:eastAsia="Arial" w:hAnsi="Arial"/>
          <w:sz w:val="15"/>
          <w:szCs w:val="15"/>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ongoing need for short-term power outage protection in traditional UPS systems;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deferral of customer orders in anticipation of new products from us or other providers of power quality systems;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of deferred revenue components associated with large orders;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product releases, licensing or pricing decisions by our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commodity and raw material component prices;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lack of order backlog;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a significant customer or distributor;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 of changes to our product distribution strategy and pricing policies;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mix of domestic and international sales;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rate of growth of the markets for our products;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described below.</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derive a significant portion of our quarterly revenue from a few relatively large transactions. The sales cycles for these large transactions tend to be longer than the sales cycle on smaller orders. The longer sales cycles for large transactions make it difficult to predict the quarter in which these sales will occur. Accordingly, our operating results may fluctuate from quarter to quarter based on the existence and timing of larger transactions. A reduction in the number of large transactions or a delay in closing of such a sales transaction could materially impact our revenue in a particular period.</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market for power quality products, particularly those with new or advanced technologies, is evolving and it is difficult to predict its potential size or future growth rate. Most of the organizations that may purchase our products have invested substantial resources in their existing power systems and, as a result, have been reluctant or slow to adopt a new technological approach, particularly during periods of reduced capital expenditures. Moreover, because our current products are alternatives to existing UPS and battery systems, they may never be accepted by the market or may be made obsolete by other advances in power quality technologies.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Significant portions of our expenses are not variable in the short term and cannot be quickly reduced to respond to decreases in revenue. Therefore, if our revenue is below our expectations, our operating results are likely to be adversely and disproportionately affected. In addition, we may change our prices, modify our distribution strategy and policies, accelerate our investment in research and development, or increase our sales or marketing efforts to respond to competitive pressures or to pursue new market opportunities. Any one of these activities may further limit our ability to adjust spending in response to revenue fluctuations. We use forecasted revenue to establish our expense budget. Because most of our expenses are fixed in the short term or incurred in advance of anticipated revenue, any shortfall in revenue may result in significant losses. In addition, in some future quarters, our financial results may be below the expectations of public market analysts or investors. In such event, the market price of our common stock would likely fall.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will depend on our ability to find new markets for our products.</w:t>
      </w:r>
    </w:p>
    <w:p>
      <w:pPr>
        <w:spacing w:after="0" w:line="177"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Historically, we have focused our sales efforts on the American and European markets. We intend to enter into new markets, such as Asia and Latin America. Our future success is dependent upon us introducing our products to new markets with power needs consistent with the attributes of our product offerings. If we are unable to successfully introduce our products to these new markets, our business will suffer.</w:t>
      </w:r>
    </w:p>
    <w:p>
      <w:pPr>
        <w:spacing w:after="0" w:line="10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We have increased our international activities significantly since 2002 and plan to continue such efforts, which subjects us to additional business risks including increased logistical and financial complexity, political instability and currency fluctuations.</w:t>
      </w:r>
    </w:p>
    <w:p>
      <w:pPr>
        <w:spacing w:after="0" w:line="12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percentage of our revenue derived from customers located outside of the United States was 45%, 50% and 48% in 2005, 2004 and 2003, respectively. In the six-month period ended June 30, 2006 we derived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36% of our total revenues from sales to international customers. Our international operations are subject to a number of risks, including:</w:t>
      </w:r>
    </w:p>
    <w:p>
      <w:pPr>
        <w:spacing w:after="0" w:line="212"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laws and business practices that favor local competition;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local channel partners;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multiple, conflicting and changing government laws and regulations;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managing and staffing foreign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currency exchange rate fluctuations and the associated effects on product demand and timing of payment;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and economic stability, particularly in the Middle East and North Africa;</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greater difficulty in the contracting and shipping process, in accounts receivable collection and longer collection periods;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greater difficulty in hiring qualified technical sales and application engineers;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greater difficulty in creating and organizing foreign entities;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with financial reporting in foreign countries.</w:t>
      </w:r>
    </w:p>
    <w:p>
      <w:pPr>
        <w:spacing w:after="0" w:line="171"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To date, the majority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 As we increase direct sales in foreign markets, we are making more sales that are denominated in other currencies, primarily euros and British pounds. Those sales in currencies other than U.S. dollars can result in translation gains and losses. Currently, we do not engage in hedging activities for our international operations. We may engage in hedging activities in the future; however, such hedging activities may not be effective and may result in foreign exchange hedging losses that could impair our financial results.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relating to product concentration and lack of revenue diversification.</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derive a substantial portion of our revenue from a limited number of products, and we expect these products to continue to account for a large percentage of our revenues in the near term. Continued and increasing market acceptance of these products is therefore critical to our future success. Our future success will also depend on our ability to reduce our dependence on these few products by developing and introducing to the market new products and product enhancements in a timely manner. Specifically, our ability to capture significant market share depends on our ability to market our existing UPS product line at higher and lower power range offerings, and on our ability to develop and market our TACAS-based extended runtime products, such as the CoolAir DC. Even if we are able to develop and commercially introduce new products and enhancements, they may not achieve market acceptance, which would substantially impair our revenue, profitability and overall financial prospects. Successful product development and market acceptance of our existing and future products depend on a number of factors including:</w:t>
      </w:r>
    </w:p>
    <w:p>
      <w:pPr>
        <w:spacing w:after="0" w:line="159"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changing requirements of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accurate prediction of market and technical requirements;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completion and introduction of new designs;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quality, price and performance of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quality, price and performance of competing products and technologies;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customer service and support capabilities and responsiveness;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 development of our relationships with existing and potential customers;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technology, industry standards or end-user preferences.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If we are unable to expand our distribution channels and manage our existing and new product distribution relationships, our ability to grow our business may be impeded.</w:t>
      </w:r>
    </w:p>
    <w:p>
      <w:pPr>
        <w:spacing w:after="0" w:line="12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Historically, the majority of our sales were made through our OEM channels. Recently, we have focused on establishing a direct sales channel that supplements our OEM channel. The future growth of our business will depend in part on our ability to sell our products through a direct sales channel in addition to sales through our OEM channel. This will require us to manage relationships with customers rather than rely on our OEM partners to manage these relationships. As part of our growth strategy, we plan to expand our relationships with distributors and develop relationships with new distributors. We will also look to identify and develop new relationships with additional parties that could serve as an outlet for our products, including CoolAir DC. If we are unable to successfully execute this strategy and manage our existing OEM channel partners, such as Caterpillar and Eaton Electrical, our national accounts team and our new manufacturer’s representatives, the future growth of our business may be impeded, which may adversely affect our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hire and retain skilled personnel could adversely affect our stock price, operations and product development.</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believe our future success will depend in large part upon our ability to attract, motivate and retain highly skilled managerial, engineering and sales and marketing personnel. There is a limited supply of skilled employees with power quality marketplace experience. The recent decline in our stock price may diminish the financial attractiveness of the stock options we have issued, which may cause certain of our current employees to seek employment elsewhere as a result of this decreased financial incentive. The decline in our stock price may also impair our ability to recruit new employees. Our July 2006 reduction in force or any future workforce reductions could adversely affect the morale of remaining employees and our efforts to attract and retain highly skilled employees. These workforce cost reduction efforts, or their announcement, could cause a decrease or significant fluctuations, in our stock price. There may also be an increased risk of litigation as a result of reductions in our workforce. Our failure to attract and retain the highly trained technical personnel who are essential to our product development, marketing, sales, service and support teams may limit the rate at which we can develop new products or generate revenue. If we are unable to retain the personnel we currently employ, or if we are unable to quickly replace departing employees, our operations and new product development may suffer.</w:t>
      </w:r>
    </w:p>
    <w:p>
      <w:pPr>
        <w:spacing w:after="0" w:line="114"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We are significantly dependent on our relationship with Caterpillar, our primary OEM customer. If this relationship is terminated or diminished, for whatever reason, our business and financial prospects likely would suffer.</w:t>
      </w:r>
    </w:p>
    <w:p>
      <w:pPr>
        <w:spacing w:after="0" w:line="12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Caterpillar and its dealer network are our largest customer overall and our primary OEM partner for our flywheel-based products. Caterpillar and its dealer network accounted for 42%, 54% and 60% of our revenue, during 2005, 2004 and 2003, respectively. In the six-month period ended June 30, 2006, Caterpillar and its dealer network accounted for 40% of our revenue. If our relationship with Caterpillar is terminated or diminished, or if Caterpillar’s distribution of the Cat UPS product is not successful or suffers an adverse change, our business and financial prospects would likely suffer. Pursuant to our distribution agreement with Caterpillar, they are the exclusive OEM distributor, subject to limited exceptions, of our CleanSource UPS product. Caterpillar is not obligated to purchase any CleanSource UPS units. To date, sales by Caterpillar have been well short of the contractual minimums necessary for Caterpillar to retain exclusivity; however, we have continued to work with Caterpillar as our primary UPS OEM customer and have not sold the UPS to any of Caterpillar’s identified competitors.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agreement with Caterpillar expires in January 2007. While we intend to renew this agreement, and currently believe that Caterpillar desires and intends to renew the agreement, we cannot be sure that such renewal will take place. If we do not continue this OEM relationship with Caterpillar, our business and financial prospects likely would suffer.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underutilized manufacturing capacity and have no experience manufacturing our products in large quantities.</w:t>
      </w:r>
    </w:p>
    <w:p>
      <w:pPr>
        <w:spacing w:after="0" w:line="1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2001, we outfitted a 127,000 square foot facility used for manufacturing and testing of our three-phase product line, including our flywheel-based DC and UPS products. To be financially successful, and to utilize the capacity of this facility to absorb its associated overhead, we must achieve significantly higher sales volumes. We must accomplish this while also preserving the quality levels we achieved when manufacturing these products in more limited quantities. To date, we have not been successful at increasing our sales volume to a level that fully utilizes the capacity of the facility and we may never increase our sales volume to necessary levels. If we do not reach these necessary sales volume levels, or if we cannot sell our products at our suggested prices, our ability to reach profitability will be adversely affected.</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Achieving the necessary production levels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manufacture large quantities of our products successfully. Even if we are successful in developing our manufacturing capability and processes, we do not know whether we will do so in time to meet our product commercialization schedule or to satisfy the requirements of our customers.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build quality products to ensure acceptance of our products.</w:t>
      </w:r>
    </w:p>
    <w:p>
      <w:pPr>
        <w:spacing w:after="0" w:line="1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market perception of our products and related acceptance of the products is highly dependent upon the quality and reliability of the products that we build. Any quality problems attributable to the CleanSource DC, CleanSource UPS or CoolAir DC product lines may substantially impair our revenue prospects. Moreover, quality problems for our product lines could cause us to delay or cease shipments of products or to recall or field upgrade products, thus adversely affecting our ability to meet revenue or cost targets. In addition, while we seek to limit our liability as a result of product failure or defects through warranty and other limitations, if one of our products fails, a customer could suffer a significant loss and seek to hold us responsible for that loss.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recently introduced the CoolAir DC product but are not yet able to determine the rate of acceptance or likely success of this product.</w:t>
      </w:r>
    </w:p>
    <w:p>
      <w:pPr>
        <w:spacing w:after="0" w:line="20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began commercial production of our new CoolAir DC extended runtime product in the second quarter of 2006. Based on our experience with flywheel products, we believe that the market for power quality products is reluctant and slow to adopt new technologies and we anticipate this with CoolAir DC, as well. Acceptance of this product is an important part of our growth strategy and therefore is critical to our future success. If the market does not embrace this new technology, or if the market accepts it at a rate slower than what we anticipate, this could adversely impact our revenue, profitability and overall financial prospects. The successful market acceptance of our CoolAir DC product depends upon a number of factors including:</w:t>
      </w:r>
    </w:p>
    <w:p>
      <w:pPr>
        <w:spacing w:after="0" w:line="156"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competitiveness of this product compared to existing or alternative technologies;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quality and reliability compared to existing products;</w:t>
      </w:r>
    </w:p>
    <w:p>
      <w:pPr>
        <w:spacing w:after="0" w:line="9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explain and sell the value and benefits of this new technology to our potential customers and to enable them to trust their mission-critical power needs to our new technology;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displace existing entrenched technologies and vendors;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provide adequate marketing and sales channel support to accelerate product acceptance.</w:t>
      </w:r>
    </w:p>
    <w:p>
      <w:pPr>
        <w:spacing w:after="0" w:line="165"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Our CoolAir DC product relies on a new thermal and compressed air storage (TACAS) technology that has a limited operating history in commercial applications and requires a greater initial investment than competing solutions.</w:t>
      </w:r>
    </w:p>
    <w:p>
      <w:pPr>
        <w:spacing w:after="0" w:line="126"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Our recently introduced CoolAir DC product relies on our TACAS technology that has a limited operating history in commercial applications. Potential customers may be hesitant to purchase a product with a limited operating history to protect their “mission-critical” applications. In addition, the initial cost to purchase our CoolAir DC product typically exceeds the cost of a traditional battery-based solution. The lack of an operating history for our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TACAS technology and the higher start-up costs may cause the market for our CoolAir products to develop slower than we anticipate. We have invested significant amounts in the development of our TACAS technology and this technology is the focus of many of our future product plans. Therefore, if market acceptance of our TACAS-based products is slow to develop or fails to develop, we may lose a significant portion of our investment in this technology and our business and financial results will suffer.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operate without a significant backlog, which may cause our results of operations to fluctuate.</w:t>
      </w:r>
    </w:p>
    <w:p>
      <w:pPr>
        <w:spacing w:after="0" w:line="17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generally operate our business without any significant backlog of orders from customers. Normally our products are shipped and revenue is recognized at that time. The lack of backlog makes revenue in any quarter substantially dependent on orders booked and shipped throughout that quarter, and as a result, our results of operations tend to fluctuate from quarter to quarter, which may adversely impact the price of our stock.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may contribute to fluctuations in our quarterly operating results.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business has, on occasion, experienced seasonal customer buying patterns. In recent years, we have generally experienced relatively weaker demand in the first calendar quarter of the year as customers delay purchasing decisions while capital budgets are being approved. We believe that this pattern will continue. In addition, we anticipate that demand for our products in Europe and Africa may decline in the summer months, as compared to other regions, because of reduced corporate buying patterns during the vacation season. Seasonality may cause our results of operations to fluctuate from quarter to quarter, which may adversely impact the price of our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sole and limited source suppliers and outsource selected component manufacturing.</w:t>
      </w:r>
    </w:p>
    <w:p>
      <w:pPr>
        <w:spacing w:after="0" w:line="1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purchase several component parts from sole source and limited source suppliers. As a result of our current volumes, we lack significant leverage with these suppliers. If our suppliers receive excess demand for their products, we may receive a low priority for order fulfillment, as larger volume customers may receive priority, resulting in delays in our acquiring components. If we are delayed in acquiring components for our products, the manufacture and shipment of our products will also be delayed. For example, we purchase a particular type of power module from Semikron International, which is a single source supplier. Lead times for ordering materials and components vary significantly and depend on factors such as specific supplier requirements, contract terms,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also result in delays or require us to absorb price increases. Manufacturing delays could negatively impact our ability to sell our products and could damage our customer relationships.</w:t>
      </w:r>
    </w:p>
    <w:p>
      <w:pPr>
        <w:spacing w:after="0" w:line="12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To assure the availability of our products to our customers, we outsource the manufacturing of selected components prior to the receipt of purchase orders from customers based on internal product sales revenue forecasts. However, these forecasts do not represent binding purchase commitments from our customers. We do not recognize revenue for such products until the product is shipped to the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make design changes to our products from time to time, which could lead to obsolescence of inventory.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significant competition from other companies.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based energy storage systems and flywheel-based power quality systems. We may face future competition from companies that are developing other types of emerging power technologies, such as high-speed composite flywheels, ultra capacitors and superconducting magnetic energy storage. Our CoolAir DC product competes primarily against battery cabinet product offerings but may also compete against other emerging power technologies in the future.</w:t>
      </w:r>
    </w:p>
    <w:p>
      <w:pPr>
        <w:spacing w:after="0" w:line="107"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Many of our current and potential competitors have longer operating histories, broader name and brand recognition, a larger installed base of customers and significantly greater financial, technical, marketing and other resources.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protect our intellectual property and proprietary rights.</w:t>
      </w:r>
    </w:p>
    <w:p>
      <w:pPr>
        <w:spacing w:after="0" w:line="177" w:lineRule="exact"/>
        <w:rPr>
          <w:sz w:val="20"/>
          <w:szCs w:val="20"/>
          <w:color w:val="auto"/>
        </w:rPr>
      </w:pPr>
    </w:p>
    <w:p>
      <w:pPr>
        <w:ind w:right="160" w:firstLine="456"/>
        <w:spacing w:after="0" w:line="310" w:lineRule="auto"/>
        <w:rPr>
          <w:sz w:val="20"/>
          <w:szCs w:val="20"/>
          <w:color w:val="auto"/>
        </w:rPr>
      </w:pPr>
      <w:r>
        <w:rPr>
          <w:rFonts w:ascii="Arial" w:cs="Arial" w:eastAsia="Arial" w:hAnsi="Arial"/>
          <w:sz w:val="15"/>
          <w:szCs w:val="15"/>
          <w:color w:val="auto"/>
        </w:rPr>
        <w:t>Our success depends to a significant degree upon our ability to protect our proprietary technology, and we expect that future technological advancements made by us will be critical to sustain market acceptance of our products.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0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recent years, there has been significant litigation in the United States involving patents, trademarks and other intellectual property rights.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merits or its outcome, likely would be time consuming and expensive to resolve and would divert management’s time and attention. Any potential intellectual property litigation also could force us to take specific actions, including:</w:t>
      </w:r>
    </w:p>
    <w:p>
      <w:pPr>
        <w:spacing w:after="0" w:line="183"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cease selling our products that use the challenged intellectual property;</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cease to use an infringing trademark.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require substantial additional funds in the future to finance our product development and commercialization plans.</w:t>
      </w:r>
    </w:p>
    <w:p>
      <w:pPr>
        <w:spacing w:after="0" w:line="1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product development and commercialization schedule could be delayed if we are unable to fund our research and development activities, marketing activities or the development of our manufacturing capabilities with our revenue and our cash on hand. We expect that our current cash and investments, together with our other available sources of working capital, will be sufficient to fund corporate cash requirements for at least twelve months.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anti-takeover provisions that could discourage, delay or prevent our acquisition.</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Provisions of our certificate of incorporation and bylaws could have the effect of discouraging, delaying or preventing a merger or acquisition that a stockholder may consider favorable. Additionally, in December 2001 our board of directors approved a stockholder rights plan, which would require a potential acquiror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our stock price could result in claims against us.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Historically the market price of our common stock has fluctuated significantly. In 2006, the sales price of our common stock ranged from $2.65 to $5.91. In addition to those risks described earlier in this section, the market price of our common stock can be expected to fluctuate significantly in response to numerous other factors, many of which are beyond our control, including the following:</w:t>
      </w:r>
    </w:p>
    <w:p>
      <w:pPr>
        <w:spacing w:after="0" w:line="181"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those that sell products used in power quality systems;</w:t>
      </w:r>
    </w:p>
    <w:p>
      <w:pPr>
        <w:spacing w:after="0" w:line="90" w:lineRule="exact"/>
        <w:rPr>
          <w:rFonts w:ascii="Arial" w:cs="Arial" w:eastAsia="Arial" w:hAnsi="Arial"/>
          <w:sz w:val="18"/>
          <w:szCs w:val="18"/>
          <w:color w:val="auto"/>
        </w:rPr>
      </w:pPr>
    </w:p>
    <w:p>
      <w:pPr>
        <w:ind w:left="780" w:right="100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flywheel energy storage systems;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one or more key OEM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successfully expand our distribution channels;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changing external capital market conditions.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This prospectus and the documents incorporated by reference into this prospectus contain forward-looking statements within the meaning of Section 27A of the Securities Act of 1933, as amended, and Section 21E of the Securities Exchange Act of 1934, as amended. All statements other than historical or current facts, including, without limitation, statements about our business strategy, plans and objectives of management and our future prospects, are forward-looking statements. Although we believe that the expectations reflected in such forward-looking statements are reasonable, such forward-looking statements are subject to risks and uncertainties that could cause actual results to differ materially from these expectations. Such risks and uncertainties include, without limitation, the following:</w:t>
      </w:r>
    </w:p>
    <w:p>
      <w:pPr>
        <w:spacing w:after="0" w:line="185"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acceptance of our current and future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in markets for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business risks;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expansion of our product offerings and sales channels;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demand for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benefits attributable to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technologies and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competition;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economic, business and regulatory conditions.</w:t>
      </w:r>
    </w:p>
    <w:p>
      <w:pPr>
        <w:spacing w:after="0" w:line="17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You can identify these statements by forward-looking words such as “may,” “will,” “expect,” “intend,” “anticipate,” “believe,” “estimate,” “continue” and other similar words. You should read statements that contain these words carefully because they discuss our future expectations, make projections of our future results of operations or financial condition, or state other “forward-looking” information. We believe that it is important to communicate our future expectations to investors. However, there may be events in the future that we are not able to accurately predict or control. The factors listed in the section captioned “Risk Factors” as well as any cautionary language included in or incorporated by reference in the prospectus, provide examples of risks, uncertainties and events that may cause our actual results to differ materially from the expectations we described in our forward-looking statements. Except as required by law, we undertake no obligation to update publicly any forward-looking statements, whether as a result of new information, future events or otherwise.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Unless otherwise indicated in an accompanying prospectus supplement, we will use the net proceeds from the sale of the securities offered hereby for general corporate purposes, which may include working capital, capital expenditures, development costs, strategic investments or possible acquisitions. We have not allocated any portion of the net proceeds for any particular use at this time. The net proceeds may be invested temporarily until they are used for their stated purpose. Specific information concerning the use of proceeds from the sale of any securities will be included in the prospectus supplement relating to such securities. We will not receive any of the proceeds from the sale of securities that may be sold by selling securityholders.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deficiency of earnings to fixed charges for the indicated periods are set forth below. The information set forth below should be read in conjunction with the financial information incorporated by reference herein.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2001</w:t>
            </w:r>
          </w:p>
        </w:tc>
        <w:tc>
          <w:tcPr>
            <w:tcW w:w="20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2002</w:t>
            </w:r>
          </w:p>
        </w:tc>
        <w:tc>
          <w:tcPr>
            <w:tcW w:w="20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2003</w:t>
            </w:r>
          </w:p>
        </w:tc>
        <w:tc>
          <w:tcPr>
            <w:tcW w:w="20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2004</w:t>
            </w:r>
          </w:p>
        </w:tc>
        <w:tc>
          <w:tcPr>
            <w:tcW w:w="22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12"/>
                <w:szCs w:val="12"/>
                <w:color w:val="auto"/>
              </w:rPr>
            </w:pPr>
          </w:p>
        </w:tc>
        <w:tc>
          <w:tcPr>
            <w:tcW w:w="10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June 30, 2006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(in thousands, except for ratios)</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6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Deficiency of earnings to fixed charges</w:t>
            </w:r>
          </w:p>
        </w:tc>
        <w:tc>
          <w:tcPr>
            <w:tcW w:w="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$(27,962)</w:t>
            </w:r>
          </w:p>
        </w:tc>
        <w:tc>
          <w:tcPr>
            <w:tcW w:w="74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90"/>
              </w:rPr>
              <w:t>$(27,623)</w:t>
            </w:r>
          </w:p>
        </w:tc>
        <w:tc>
          <w:tcPr>
            <w:tcW w:w="740" w:type="dxa"/>
            <w:vAlign w:val="bottom"/>
            <w:gridSpan w:val="2"/>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86"/>
              </w:rPr>
              <w:t>$(21,703)</w:t>
            </w:r>
          </w:p>
        </w:tc>
        <w:tc>
          <w:tcPr>
            <w:tcW w:w="740" w:type="dxa"/>
            <w:vAlign w:val="bottom"/>
            <w:gridSpan w:val="2"/>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86"/>
              </w:rPr>
              <w:t>$(27,780)</w:t>
            </w:r>
          </w:p>
        </w:tc>
        <w:tc>
          <w:tcPr>
            <w:tcW w:w="76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6"/>
              </w:rPr>
              <w:t>$(22,891)</w:t>
            </w:r>
          </w:p>
        </w:tc>
        <w:tc>
          <w:tcPr>
            <w:tcW w:w="12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$(12,044)</w:t>
            </w:r>
          </w:p>
        </w:tc>
        <w:tc>
          <w:tcPr>
            <w:tcW w:w="0" w:type="dxa"/>
            <w:vAlign w:val="bottom"/>
          </w:tcPr>
          <w:p>
            <w:pPr>
              <w:spacing w:after="0"/>
              <w:rPr>
                <w:sz w:val="1"/>
                <w:szCs w:val="1"/>
                <w:color w:val="auto"/>
              </w:rPr>
            </w:pPr>
          </w:p>
        </w:tc>
      </w:tr>
      <w:tr>
        <w:trPr>
          <w:trHeight w:val="270"/>
        </w:trPr>
        <w:tc>
          <w:tcPr>
            <w:tcW w:w="6680" w:type="dxa"/>
            <w:vAlign w:val="bottom"/>
            <w:gridSpan w:val="2"/>
          </w:tcPr>
          <w:p>
            <w:pPr>
              <w:spacing w:after="0"/>
              <w:rPr>
                <w:sz w:val="20"/>
                <w:szCs w:val="20"/>
                <w:color w:val="auto"/>
              </w:rPr>
            </w:pPr>
            <w:r>
              <w:rPr>
                <w:rFonts w:ascii="Arial" w:cs="Arial" w:eastAsia="Arial" w:hAnsi="Arial"/>
                <w:sz w:val="14"/>
                <w:szCs w:val="14"/>
                <w:b w:val="1"/>
                <w:bCs w:val="1"/>
                <w:color w:val="auto"/>
              </w:rPr>
              <w:t>Ratio of earnings to fixed charges</w:t>
            </w:r>
          </w:p>
        </w:tc>
        <w:tc>
          <w:tcPr>
            <w:tcW w:w="54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20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20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20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fixed charges consist of interest incurred on indebtedness. We had no fixed charges for the periods presented above.</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had no shares of preferred stock outstanding for any period presented. As a result, the ratio of earnings to combined fixed charges and preferred stock dividends is the same as the ratio of earnings to fixed charges.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Active Power designs, manufactures and markets power quality products that provide consistent, reliable and cost-effective ride through, or temporary, power for the majority of power disturbances, such as voltage sags and surges, and bridge the gap between a power outage and restoration of power or the time required to switch to generator power. Our products are designed to be environmentally friendly compared to existing solutions without compromising functionality, efficiency or cost. We have shipped over 1,300 flywheels, or more than 325 megawatts of our products, representing $91.4 million in revenue, to business locations in over 35 countries around the world since our founding in 1992. We are headquartered in Austin, Texas.</w:t>
      </w:r>
    </w:p>
    <w:p>
      <w:pPr>
        <w:spacing w:after="0" w:line="116" w:lineRule="exact"/>
        <w:rPr>
          <w:sz w:val="20"/>
          <w:szCs w:val="20"/>
          <w:color w:val="auto"/>
        </w:rPr>
      </w:pPr>
    </w:p>
    <w:p>
      <w:pPr>
        <w:ind w:firstLine="456"/>
        <w:spacing w:after="0" w:line="263" w:lineRule="auto"/>
        <w:rPr>
          <w:sz w:val="20"/>
          <w:szCs w:val="20"/>
          <w:color w:val="auto"/>
        </w:rPr>
      </w:pPr>
      <w:r>
        <w:rPr>
          <w:rFonts w:ascii="Arial" w:cs="Arial" w:eastAsia="Arial" w:hAnsi="Arial"/>
          <w:sz w:val="17"/>
          <w:szCs w:val="17"/>
          <w:color w:val="auto"/>
        </w:rPr>
        <w:t>Our patented flywheel energy storage systems store kinetic energy by constantly spinning a compact steel wheel (“flywheel”) driven from utility power in a low-friction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fully restored or a backup electric generator starts and takes over generating longer-term backup power in the case of an extended electrical outage. We believe that our flywheel products provide many competitive advantages over traditional battery-based systems, including substantial space savings, high power densities, “green” energy storage and power efficiencies as high as 98% that reduce total operational energy costs. We offer our flywheel products with load capabilities from 65 kVA to 3600 kVA, while typically targetting higher power density applications above 200 kVA since the majority of these customers already have back-up generators. We market our flywheel products under the brand name CleanSource</w:t>
      </w:r>
      <w:r>
        <w:rPr>
          <w:rFonts w:ascii="Arial" w:cs="Arial" w:eastAsia="Arial" w:hAnsi="Arial"/>
          <w:sz w:val="21"/>
          <w:szCs w:val="21"/>
          <w:color w:val="auto"/>
          <w:vertAlign w:val="superscript"/>
        </w:rPr>
        <w:t>®</w:t>
      </w:r>
      <w:r>
        <w:rPr>
          <w:rFonts w:ascii="Arial" w:cs="Arial" w:eastAsia="Arial" w:hAnsi="Arial"/>
          <w:sz w:val="17"/>
          <w:szCs w:val="17"/>
          <w:color w:val="auto"/>
        </w:rPr>
        <w:t>. CleanSource DC is a non-chemical replacement for lead-acid batteries used for bridging power. Utilizing our flywheel energy storage technology, the CleanSource DC is a stand-alone direct current (DC) product that is compatible with all major brands of uninterruptible power supplies (UPS). We built on the technological success of CleanSource DC by creating a battery-free UPS, CleanSource UPS, which integrates the UPS electronics and our flywheel energy storage system into one compact cabinet. CleanSource UPS represents the majority of our current revenues. Combining our CleanSource UPS with a generator provides customers with complete short and long-term protection in the event of a power disturbance. We sell our CleanSource flywheel products to commercial and industrial customers across a variety of vertical markets including manufacturing, technology, communications, utilities, healthcare, banking and military and in all major geographic regions of the world, but particularly in North America and Europe.</w:t>
      </w:r>
    </w:p>
    <w:p>
      <w:pPr>
        <w:spacing w:after="0" w:line="14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To address the requirements of customers without backup generators that still need protection from utility disturbances, we also have developed a patented extended runtime product that we call CoolAir™ DC. We initially have targeted CoolAir DC at lower power levels than our flywheel products, and it is sold as a minute-for-minute replacement for lead-acid batteries. CoolAir DC can provide backup power for several minutes to hours depending on the customer application. CoolAir DC utilizes mature thermal and compressed air storage (TACAS) technologies combined in a proprietary manner to produce backup power during an electrical disturbance. This product discharges cool air as a by-product of its operation that also can be used by customers during an electrical disturbance as a source of backup cooling. In addition to offering a DC-only solution, when customers desire a complete backup solution with an extended runtime, we have introduced the CoolAir UPS that couples our CoolAir DC product with a third party double-conversion UPS. CoolAir initially is being targeted at small to medium-size data center customers in North America following its commercial introduction in the second quarter of 2006, and we expect an international version will be available in late 2006.</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Opportunities</w:t>
      </w:r>
    </w:p>
    <w:p>
      <w:pPr>
        <w:spacing w:after="0" w:line="17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According to a 2006 Frost &amp; Sullivan report, the overall annual worldwide UPS market exceeds $5.76 billion in sales, with an average annual growth rate of 6% projected through 2012. The UPS market consists of single-phase and three-phase segments based on user power level requirements. The three-phase segment is typically used by commercial and industrial customers, and the single-phase segment is typically used by residential and other lower power level applications. Active Power targets the three-phase UPS market, covering 20 kVA and higher power applications, that was estimated to make up approximately 33% of this market in 2005, or approximately $1.8 billion per year. The segment of the market above 200kVA that we target with our flywheel products was estimated by Frost &amp; Sullivan to be approximately $740 million per year in 2005, and is projected to grow at a 5.4% annual rate through 2012. The market between 20-200kVA, which is where we target our CoolAir products, was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estimated to be approximately $1.1 billion per year in 2005 and is expected to grow at an annual rate of approximately 5% through 2012.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following trends in power use will create additional market opportunities for us with our current product portfolio:</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Increasing awareness of need for backup power systems. </w:t>
      </w:r>
      <w:r>
        <w:rPr>
          <w:rFonts w:ascii="Arial" w:cs="Arial" w:eastAsia="Arial" w:hAnsi="Arial"/>
          <w:sz w:val="16"/>
          <w:szCs w:val="16"/>
          <w:color w:val="auto"/>
        </w:rPr>
        <w:t>Increases in the size and frequency of natural disasters, utility grid failures, and a general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in power demand, have increased the number of businesses that are exposed to the risks associated with, and the negative effects of, power quality interruptions. The transfer of manufacturing and enterprise services to developing countries with poor quality infrastructure also is increasing the visibility of the economic effects of poor power quality. Further, many developing economies lack adequate power infrastructure to ensure continuous power for industry, which impacts productivity and efficiency. Collectively, this increased awareness of the risks of business interruption due to power quality or supply interruption is driving more businesses to consider the need for more reliable backup power systems.</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Trend toward higher power installations</w:t>
      </w:r>
      <w:r>
        <w:rPr>
          <w:rFonts w:ascii="Arial" w:cs="Arial" w:eastAsia="Arial" w:hAnsi="Arial"/>
          <w:sz w:val="16"/>
          <w:szCs w:val="16"/>
          <w:color w:val="auto"/>
        </w:rPr>
        <w:t>. New computing capabilities and developments in higher performance microprocessor designs are increasing</w:t>
      </w:r>
      <w:r>
        <w:rPr>
          <w:rFonts w:ascii="Arial" w:cs="Arial" w:eastAsia="Arial" w:hAnsi="Arial"/>
          <w:sz w:val="16"/>
          <w:szCs w:val="16"/>
          <w:i w:val="1"/>
          <w:iCs w:val="1"/>
          <w:color w:val="auto"/>
        </w:rPr>
        <w:t xml:space="preserve"> </w:t>
      </w:r>
      <w:r>
        <w:rPr>
          <w:rFonts w:ascii="Arial" w:cs="Arial" w:eastAsia="Arial" w:hAnsi="Arial"/>
          <w:sz w:val="16"/>
          <w:szCs w:val="16"/>
          <w:color w:val="auto"/>
        </w:rPr>
        <w:t>power requirements for many industries. Often these higher power requirements are mirrored with shrinking space availability, requiring a power quality solution with greater power density that frees up space for more revenue generating computing applications. Alternatively, customers may desire to retrofit their existing facilities to handle more power since the cost of constructing new facility space continues to rise. High power installations are not limited to a particular vertical market or industry, but, by way of example, can include semiconductor plants, large hospital or medical complexes, large industrial manufacturing plants, broadcast/communications facilities, transportation facilities (airports, etc), and large computer data centers. Furthermore, in high power installations, customers are more likely to be comfortable with our products because they already are familiar with battery-free alternative technologies such as flywheels, rotary UPS systems, and are more likely to be using a backup power generator for their applications.</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Extended runtime applications</w:t>
      </w:r>
      <w:r>
        <w:rPr>
          <w:rFonts w:ascii="Arial" w:cs="Arial" w:eastAsia="Arial" w:hAnsi="Arial"/>
          <w:sz w:val="16"/>
          <w:szCs w:val="16"/>
          <w:color w:val="auto"/>
        </w:rPr>
        <w:t>. In certain applications, where extended bridging power may be required, users are looking to increase the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backup time that their power quality solutions can provide. The longer the backup time, the greater the ability to operate through a complete power disturbance or to conduct an orderly shut down of operations that can minimize the economic impact of a utility power interruption. A large portion of the 5-200 kVA UPS market, particularly in North America, currently operates without backup generator systems and have tended to rely only on battery-based UPS systems. These customers typically need five to fifteen minutes of runtime from their energy storage system, which today is primarily being served by battery-based technology. The backup power systems for many of these customers do not provide power to their cooling systems during a utility disturbance. This only increases the likelihood of a thermal overload of their computing systems increasing the risk of a disturbance to the customer’s mission-critical applications. As a result, a computing facility may overheat despite the availability of sufficient backup power for computer systems during a utility disturbance. The ability to solve cooling problems during a utility power disturbance, and the ability to extend the available runtime while eliminating the need for a costly generator or HVAC backup system is critical to meeting the backup power quality needs of the small and mid-sized commercial markets.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Key Strengths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key strengths and differentiators can be summarized as follows:</w:t>
      </w:r>
    </w:p>
    <w:p>
      <w:pPr>
        <w:spacing w:after="0" w:line="171"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i w:val="1"/>
          <w:iCs w:val="1"/>
          <w:color w:val="auto"/>
        </w:rPr>
        <w:t xml:space="preserve">Differentiated product offering that provides cost-saving opportunities. </w:t>
      </w:r>
      <w:r>
        <w:rPr>
          <w:rFonts w:ascii="Arial" w:cs="Arial" w:eastAsia="Arial" w:hAnsi="Arial"/>
          <w:sz w:val="15"/>
          <w:szCs w:val="15"/>
          <w:color w:val="auto"/>
        </w:rPr>
        <w:t>We believe our products offer higher reliability than competing battery alternatives</w:t>
      </w:r>
      <w:r>
        <w:rPr>
          <w:rFonts w:ascii="Arial" w:cs="Arial" w:eastAsia="Arial" w:hAnsi="Arial"/>
          <w:sz w:val="15"/>
          <w:szCs w:val="15"/>
          <w:i w:val="1"/>
          <w:iCs w:val="1"/>
          <w:color w:val="auto"/>
        </w:rPr>
        <w:t xml:space="preserve"> </w:t>
      </w:r>
      <w:r>
        <w:rPr>
          <w:rFonts w:ascii="Arial" w:cs="Arial" w:eastAsia="Arial" w:hAnsi="Arial"/>
          <w:sz w:val="15"/>
          <w:szCs w:val="15"/>
          <w:color w:val="auto"/>
        </w:rPr>
        <w:t>and are more easily maintained. We offer products with an estimated 20-year design life, compared to battery solutions that have average lifespans of as little as 3.5 years. Given their durable construction, and lack of heat-sensitive electrochemicals, our products can work in harsh environments with high reliability and without the operating costs associated with heating or cooling that may otherwise be required by a backup power system. Our flywheel products can provide up to 15 times more power in the same space as an alternative battery-based system. This increased power density allows us to free up valuable revenue-generating space for customers, or to allow them to provide higher backup power levels in their current space without the need for additional build out. Our flywheel products operate with up to 98% power efficiency that, given the long product lifetime, can translate into significant cost savings over the product’s lifecycle.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We estimate, when considering the need for ongoing maintenance, replacement costs and the physical environmental requirements of battery-based products, that the total cost of ownership of our flywheel-based products, which includes purchase price, installation, maintenance and energy costs accumulated over a 10-year period, is less than half of that of comparable battery-based system. Our megawatt class UPS platform allows us to compete for large system installations where there are fewer competitors and where battery-based solutions are less favorable due to greater space requirements and higher maintenance costs. We began production of our CoolAir product platform in the second quarter of 2006. CoolAir provides a minute-for-minute alternative to the backup power of batteries while also providing backup cooling during an outage. The CoolAir product platform also broadens our product range into the extended runtime category.</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Significant near-term growth opportunities in large commercial markets. </w:t>
      </w:r>
      <w:r>
        <w:rPr>
          <w:rFonts w:ascii="Arial" w:cs="Arial" w:eastAsia="Arial" w:hAnsi="Arial"/>
          <w:sz w:val="16"/>
          <w:szCs w:val="16"/>
          <w:color w:val="auto"/>
        </w:rPr>
        <w:t>With the increasing importance of consistent and reliable electric power, we are</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experiencing significant interest in our products and expect this to result in near-term and sustained growth opportunities. The build-out of large data centers in North America and Europe and the relative unreliability of utility-provided electricity have resulted in a global increase in investment in backup power systems in a wide range of industries, including healthcare, broadcast and communications, transportation and manufacturing. We currently are focused on serving the American and European markets. These markets represent approximately 65% of the global $5.76 billion UPS market according to a 2006 Frost &amp; Sullivan study. We plan to expand into other geographies beginning in 2007 including markets located in Asia and Latin America, where we believe that these same global power demand trends will offer us significant near and long-term growth opportunities.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Well-respected and established distribution partners. </w:t>
      </w:r>
      <w:r>
        <w:rPr>
          <w:rFonts w:ascii="Arial" w:cs="Arial" w:eastAsia="Arial" w:hAnsi="Arial"/>
          <w:sz w:val="16"/>
          <w:szCs w:val="16"/>
          <w:color w:val="auto"/>
        </w:rPr>
        <w:t>We maintain strategic alliances with several of the leading power technology distribution partners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United States, including Caterpillar, Eaton Electrical and General Electric, each of which has endorsed our products. These alliances provide us with sales distribution channels into commercialized global markets. For example, Caterpillar distributes our flywheel UPS system under the Caterpillar brand name through their global dealer network. We have a partnership with GE that gives GE the non-exclusive right to purchase and sell our CleanSource DC products, and Eaton Electrical also provides us with sales and services support for the CleanSource DC products. We have added other regional distributors for our CleanSource DC products, including Fuji Electric in Japan and Vega Power (ASEA E&amp;T) in the Republic of Korea.</w:t>
      </w:r>
    </w:p>
    <w:p>
      <w:pPr>
        <w:spacing w:after="0" w:line="120"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i w:val="1"/>
          <w:iCs w:val="1"/>
          <w:color w:val="auto"/>
        </w:rPr>
        <w:t xml:space="preserve">One of few economically viable, environmentally friendly and safe solutions. </w:t>
      </w:r>
      <w:r>
        <w:rPr>
          <w:rFonts w:ascii="Arial" w:cs="Arial" w:eastAsia="Arial" w:hAnsi="Arial"/>
          <w:sz w:val="16"/>
          <w:szCs w:val="16"/>
          <w:color w:val="auto"/>
        </w:rPr>
        <w:t>With the low operating costs (less than half the total costs of battery-based</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over a 10-year period) and 20-year design life span of our products, we believe we offer one of only a few economically viable, environmentally friendly and safe products available on the market today. Given heightened social awareness and increased environmental concerns, we believe our products are well-positioned to capitalize on this trend. We believe that we are particularly well-positioned for the European market, which is characterized by higher energy costs, more significant economic incentives to use green power and a greater environmental awareness. Our products do not have the safety, toxicity and environmental concerns of battery-based solutions and they are not subject to the same physical operating requirements and can perform in harsh climates and extreme conditions far better than battery-based products. Poorly maintained battery installations can present fire and safety risks up to and including fires and explosion, and we have successfully sold our products to many customers due to their problems with batteries (high cost, high maintenance, disposal issues, low reliability) and their need for a safer and environmentally friendly alternative.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Active Power’s primary operating goal is to provide innovative three-phase power quality solutions to enable businesses to continue to operate in the event of electrical power disturbances. Key elements of our strategy include: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Migrate to a systems solution provider from current product focus</w:t>
      </w:r>
    </w:p>
    <w:p>
      <w:pPr>
        <w:spacing w:after="0" w:line="171"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We believe that our approach of focusing on a solutions-based offering, including service, will accelerate our growth potential and path to operating profitability. Our history of product development has resulted in new and innovative products for solving power quality and reliability issues, including our CleanSource flywheel-based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products and our CoolAir TACAS-based products. Over the last five years we have improved and broadened our range of three-phase power quality products and introduced new technologies to meet user requirements at higher and lower power levels. During this period, we primarily have employed a narrow sales channel strategy to sell our products, which resulted in our functioning largely as a product supplier to our OEM partners and direct customers. However, our experience in the market has led us to conclude that many customers prefer to be provided with a complete power quality solution, including our products, ancillary products that are needed to complete the system solution such as switching gear and generators, design and installation services, as well as regular product maintenance and repair services. We believe that changing our sales focus to one of solutions-based rather than product-focused offerings will allow us to increase revenue opportunities, increase direct end-user contact to facilitate continuing product development, create opportunities for repeat business, and enhance our ability to sell higher margin service and repair business to our customers.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Broaden our available markets and channels of distribution</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Historically, the majority of our sales were made through our OEM channels. As recently as 2003, 72% of our revenues were made via our OEM channels, with the majority of this revenue coming from Caterpillar. Since then we have focused on establishing a direct sales channel that supplements our OEM channel while enabling us to expand into new geographies. We began this strategy by adding direct sales employees with power industry sales experience in Western Europe and in parts of the Caribbean and Mexico. By adding more direct and solution-focused sales personnel, we have increased the proportion of direct sales from 7% of revenue in 2002 to 48% of revenues in 2005. As we increase sales in a region, we add service personnel and project management skills to manage customer implementations and provide post-sales support. We also are adding new sales offices, complete with demonstration and service capabilities, to complement our sales activities and to create a more local presence for our international customers.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While the OEM channel has provided brand credibility to our company and our products, particularly in new markets and with larger customers, such as our multi-megawatt project customers, the OEM channel has not been effective in markets where, for example, the OEM did not have a significant existing power quality business in that market. In such situations we have elected to broaden our sales channels and have started selling products directly with Active Power personnel and through third-party representatives such as manufacturers’ representatives and value-added resellers (VARs). We will continue to evaluate our OEM, VAR partners and manufacturers’ representatives in each market to ensure adequate performance and growth, and to enhance the sales potential of each of our geographic regions. We also will continue to manage potential channel conflicts within markets, and continue to support the requirements of our partners to enable our success with this multi-channel global sales strategy.</w:t>
      </w:r>
    </w:p>
    <w:p>
      <w:pPr>
        <w:spacing w:after="0" w:line="118"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In 2005, we added approximately 23 manufacturers’ representatives primarily focused in North America. We also began to add more direct sales employees and sales agents to broaden our reach. We have developed a national account team in North America, which is focused on directly selling multiple units to Fortune 100 companies as a more efficient way of increasing sales volume. As we have expanded our direct selling capabilities, we also have expanded into new international markets and hired additional direct sales resources, particularly in Europe, the Middle East and Africa (EMEA) during 2005 and 2006.</w:t>
      </w:r>
    </w:p>
    <w:p>
      <w:pPr>
        <w:spacing w:after="0" w:line="98"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As we complete the broadening of our sales channels in the Americas and EMEA, we plan to expand our sales capabilities into other regions, principally Latin America and Asia beginning in 2007. These regions fit the profile of areas where our products have been most successful to date: areas with poor power infrastructure and with growing economies. We anticipate that this expansion will increase the available market for our products and provide opportunities for further growth.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 our customer service capabilities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expand our customer service capabilities so that we can:</w:t>
      </w:r>
    </w:p>
    <w:p>
      <w:pPr>
        <w:spacing w:after="0" w:line="212"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direct customer relationships;</w:t>
      </w:r>
    </w:p>
    <w:p>
      <w:pPr>
        <w:spacing w:after="0" w:line="211" w:lineRule="exact"/>
        <w:rPr>
          <w:rFonts w:ascii="Arial" w:cs="Arial" w:eastAsia="Arial" w:hAnsi="Arial"/>
          <w:sz w:val="18"/>
          <w:szCs w:val="18"/>
          <w:color w:val="auto"/>
        </w:rPr>
      </w:pPr>
    </w:p>
    <w:p>
      <w:pPr>
        <w:ind w:left="5620" w:right="5600" w:hanging="5166"/>
        <w:spacing w:after="0" w:line="408" w:lineRule="auto"/>
        <w:tabs>
          <w:tab w:leader="none" w:pos="772"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increase revenue and margins through increased service offerings; and 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receive more direct feedback from customers.</w:t>
      </w:r>
    </w:p>
    <w:p>
      <w:pPr>
        <w:spacing w:after="0" w:line="17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are increasing the size and geographical coverage of our service organization to mirror our expanding direct sales force and to enhance the direct service capabilities we provide to our end-user customers. Historically, our OEM partners managed end-user customers and captured the service revenues. We will place additional emphasis on developing new and innovative service solutions to augment our current offerings and to provide enhanced value for the customer. Service operations have been highly profitable segments for established power quality companies, and we believe that our expanded service organization will play a key role in generating new sales prospects, increasing revenues and providing us with more future sales opportunities as a result of direct client contact.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 our core technologies to develop next-generation products</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intend to continue to use our expertise in power electronics and advanced electromechanical technologies, combined with an integrated solutions approach to developing new and enhanced products, to continue to create innovative, environmentally friendly solutions that lower the cost and to increase the quality of electric power.</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continue to improve our designs for simplicity, service and cost. We also will continue with judicious cost reductions and feature enhancements to increase customer value and ensure competitively priced and comprehensively serviced solutions. In the last five years we have invested over $57 million in research and development of new products, features and technologies associated with power quality. We now have what we believe to be one of the broadest product offerings in the power quality market. We intend to leverage customer feedback and market intelligence so that we can capitalize on our engineering investment in our product and technology platforms, and we plan to introduce new product categories, features and benefits that will help us maintain our position as a technology leader in power quality solutions.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 our marketing focus to build the Active Power brand</w:t>
      </w:r>
    </w:p>
    <w:p>
      <w:pPr>
        <w:spacing w:after="0" w:line="171"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intend to further support our sales channels by increasing our marketing focus and by building the Active Power brand. In 2006 we added additional resources and changed our marketing focus to better leverage our multi-channel sales strategy with a more structured marketing philosophy. We believe a structured approach is necessary to create an integrated, scalable marketing plan that can support each channel, each product and each geography. We believe that more and better sales tools, more lead generation and more brand awareness due to our increased investment and market focus will lead to greater sales success.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Flywheel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Our flywheel energy storage system provides a highly reliable, low-cost and non-toxic replacement for lead-acid batteries used in conventional power quality installations. We have shipped over 1,300 flywheels, or more than 325 megawatts of our products to business locations in over 35 countries around the world.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Flywheel Market</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principle of using stored energy in the form of a flywheel to bridge the gap between a power failure and an emergency diesel generator has been well accepted in Europe and around the world since the 1970s. In some mature markets, these type of products have the majority of the large capacity UPS business. These earlier “diesel-rotary” UPS products were limited by roller-bearing technology and possessed no more than five seconds of stored energy, requiring special arrangements for the selection and starting of the diesel generator engine. The mechanically “in-line” nature of the system also limited the output power of these products. In the 1990s advances in design including the use of permanent magnets to reduce the load on main bearings increased the performance of flywheel-designed products. Against this background, the Active Power designed products deploy far more advanced technology and can address a large market that is knowledgeable and familiar with flywheel products.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flywheel products generally compete in the &gt;200kVA UPS market. The size of this market was estimated in 2005 to be approximately $740 million in annual sales in a 2006 Frost &amp; Sullivan market study, and is anticipated to grow by 5.4% annually through 2012. Traditionally this market has been served by battery-based UPS technologies; however, substitute products, such as flywheels, are now offering viable alternatives to conventional UPS technology.</w:t>
      </w:r>
    </w:p>
    <w:p>
      <w:pPr>
        <w:spacing w:after="0" w:line="10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At the &gt;200kVA power level, the primary market includes medium and large data centers, operator centers, telecommunications switching gear, broadcasting equipment and process-control (industrial) equipment. UPS systems at this level require special support for installing, auditing and maintaining the system. Hence, more products at this level are sold via direct sales and manufacturers’ representatives. In the reseller channel, mechanical and electrical contractors contribute significantly to the sales process and are an important advocate of a vendor’s product who can design a UPS manufacturer into a customer application. Most applications within this power category serve mission-critical applications. Therefore, downtime or power interruption for these applications can lead to severe financial losses for customers. This also makes this segment of the UPS market somewhat less sensitive to price because products are more likely to be evaluated in terms of product reliability, performance and power quality.</w:t>
      </w:r>
    </w:p>
    <w:p>
      <w:pPr>
        <w:spacing w:after="0" w:line="118"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Due to the mission critical nature of the applications supported, customers are more likely to select established power quality brands and prefer a direct relationship with the supplier. Therefore, assurance of a well-developed service organization is viewed as critically important. Today this market segment is dominated by a small number of global UPS manufacturers, including Liebert, American Power Conversion, MGE and Eaton. These companies have strong brand recognition, global service capabilities and broad distribution channels. Smaller, local companies also compete in most major markets.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biggest driver of growth for UPS systems, particularly in this high power segment, is the increase in power requirements of network and data storage equipment. This growth in power requirements is driving a change in backup power systems and we believe the number of new installations and build outs also will have a major impact on UPS growth. As power consumption is increasing, customers are looking to more efficient UPS designs that can save space, and that can operate with higher levels of efficiency to reduce electricity expenses. Conventional UPS systems use lead-acid battery-based backup solutions. While this technology is mature, there are known limitations, including the need to constantly monitor the level of availability, significant space requirements, susceptibility to high and low temperatures requiring that they be placed in temperature controlled rooms, toxicity and safety concerns, and significant annual operating and service costs. Alternative technologies that can offer higher reliability, lower total cost of operation and smaller, space efficient design, and that are safe and non-toxic, should be able to capture market share in this market segment. Flywheel-based products offer these advantages and have been in the market for a number of years to prove their reliability and efficiency. Flywheel products have been in the European market for several decades, and are more established as a viable battery alternative in that market generally. We believe that success in that market will be mirrored in other regions of the world, especially as flywheel-based products become more established.</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successful market penetration of the UPS market primarily depends on two factors. First, our ability to compete with existing double-conversion, battery-based UPS systems. Second, the acceptance of our flywheel-based UPS in industrial applications where batteries are not an option due to the harsh operating environment. Our current flywheel products have a shorter runtime than the battery-based systems (typically 15 seconds to 60 seconds as compared to 5 minutes to 15 minutes with battery-based solutions) at a comparable installed cost. However, our flywheel UPS, when compared to equivalent lead-acid battery-based solutions, offers a significantly higher power density (4 to 15 times greater), lower lifecycle cost, lower maintenance requirements, higher power efficiency (98% as compared with high 80 to low 90 percentages for comparable battery-based double-conversion UPS systems), broader power range, and a higher operating temperature range. These product features allow us to compete more effectively with battery-based alternatives.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Flywheel Technology</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patented flywheel energy storage system stores kinetic energy by constantly spinning a compact steel wheel (“flywheel”) acting as a motor driven by utility power in a low-friction environment. When the user requires short-term backup power (i.e., when the utility power used to spin the flywheel fluctuates or is interrupted), the flywheel’s inertia causes it to continue spinning. The resulting kinetic energy of the spinning flywheel generates electricity, known as “bridging power,” for short periods until utility power is restored or a backup electric generator starts and takes over generating longer-term backup power for extended electrical outages. We believe that, relative to other energy storage alternatives, our system provides high quality, reliable power at an effective cost.</w:t>
      </w:r>
    </w:p>
    <w:p>
      <w:pPr>
        <w:spacing w:after="0" w:line="1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primary benefits of our flywheel-based systems include power density and power efficiency of up to 98%. On average, our flywheel-based UPS systems can produce twice as much power as comparable battery-based systems and only require approximately one-half of the equivalent space, or footprint, resulting in a fourfold improvement in power density. Power density for backup power equipment is defined as the amount of backup power a product can provide in a given area. Providing a greater power density allows increased power loads in customer data centers and frees up space for computing systems instead of backup power quality systems. Power efficiency is a measure of the amount of power consumed by the power quality or backup system when operating. This consumed power is also called the standby loss. The more power efficient a backup power system is, the less power it consumes. Our flywheel-based products have lower standby losses (&lt;2%) than an equivalent battery-based system, meaning that they have higher power efficiency. As the customer’s costs of electricity rise, we believe that the efficiency of our flywheel-based systems offer greater energy savings resulting in lower total cost of ownership for the customer than battery-based systems.</w:t>
      </w:r>
    </w:p>
    <w:p>
      <w:pPr>
        <w:spacing w:after="0" w:line="12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Rather than rely on the flywheel concepts developed for other applications, we focused our development efforts on providing products that meet the specific needs of the three-phase power quality market. Users requiring backup power products desire products that can deliver high quality, reliable power at a reasonable price. As a result of these needs, we developed a flywheel system that operates at lower speeds (under 8,000 rotations per minute) than the original flywheel applications developed for space-based missions, and with increased reliability. These speeds are comparable to those of automobile engines and industrial machinery. This lower flywheel speed has allowed us to achieve a lower cost design by using an inexpensive bearing system and conventional steel in place of expensive composite materials.</w:t>
      </w:r>
    </w:p>
    <w:p>
      <w:pPr>
        <w:spacing w:after="0" w:line="14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The design of our flywheel system, which is displayed below, integrates the function of a motor (which utilizes electric current from the electric utility grid to provide the energy to rotate the flywheel), flywheel rotor (which spins constantly to maintain a ready source of kinetic energy), and generator (which converts the kinetic energy of the flywheel into electricity) into a single system. This integration further reduces the cost of our product and increases its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73025</wp:posOffset>
            </wp:positionV>
            <wp:extent cx="2984500" cy="2058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84500"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flywheel rotor is designed to spin in a near frictionless environment by the use of a low-cost combination of a magnetic and mechanical bearing system. The friction in the spinning chamber is further reduced by the creation of a partial vacuum, which reduces the amount of air in the chamber that otherwise creates drag on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flywheel rotor. The flywheel rotor stores energy in the form of kinetic energy by constantly rotating within the vacuum container. As the flywheel rotor slows down when a user requires power, the rotor’s magnetism is increased as it rotates past copper coils contained in the armature to generate constant output power. This enables the flywheel system to provide between 15 seconds and 60 seconds of electricity during power disturbances. While a lead-acid battery can typically provide backup power for a much longer period, this capability usually is not required when a customer also employs a backup generator. Our flywheel-based system can provide ride-through, or temporary, power for the majority of power disturbances, such as voltage sags and surges, and can bridge the gap between a power outage and the time required to switch to generator power.</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verified our flywheel design with both internal and external three-dimensional finite element analysis, as well as tests designed to determine the flywheel’s safety at varying speeds. We test each flywheel rotor with stringent quality control methods. These tests have demonstrated a factor of safety consistent with common industrial machines such as large motors and generators.</w:t>
      </w:r>
    </w:p>
    <w:p>
      <w:pPr>
        <w:spacing w:after="0" w:line="140" w:lineRule="exact"/>
        <w:rPr>
          <w:sz w:val="20"/>
          <w:szCs w:val="20"/>
          <w:color w:val="auto"/>
        </w:rPr>
      </w:pPr>
    </w:p>
    <w:p>
      <w:pPr>
        <w:jc w:val="center"/>
        <w:ind w:right="9780"/>
        <w:spacing w:after="0"/>
        <w:rPr>
          <w:sz w:val="20"/>
          <w:szCs w:val="20"/>
          <w:color w:val="auto"/>
        </w:rPr>
      </w:pPr>
      <w:r>
        <w:rPr>
          <w:rFonts w:ascii="Arial" w:cs="Arial" w:eastAsia="Arial" w:hAnsi="Arial"/>
          <w:sz w:val="16"/>
          <w:szCs w:val="16"/>
          <w:i w:val="1"/>
          <w:iCs w:val="1"/>
          <w:color w:val="auto"/>
        </w:rPr>
        <w:t>Our Flywheel Products</w:t>
      </w:r>
    </w:p>
    <w:p>
      <w:pPr>
        <w:spacing w:after="0" w:line="194" w:lineRule="exact"/>
        <w:rPr>
          <w:sz w:val="20"/>
          <w:szCs w:val="20"/>
          <w:color w:val="auto"/>
        </w:rPr>
      </w:pPr>
    </w:p>
    <w:p>
      <w:pPr>
        <w:jc w:val="center"/>
        <w:ind w:right="9760"/>
        <w:spacing w:after="0"/>
        <w:rPr>
          <w:sz w:val="20"/>
          <w:szCs w:val="20"/>
          <w:color w:val="auto"/>
        </w:rPr>
      </w:pPr>
      <w:r>
        <w:rPr>
          <w:rFonts w:ascii="Arial" w:cs="Arial" w:eastAsia="Arial" w:hAnsi="Arial"/>
          <w:sz w:val="18"/>
          <w:szCs w:val="18"/>
          <w:i w:val="1"/>
          <w:iCs w:val="1"/>
          <w:color w:val="auto"/>
        </w:rPr>
        <w:t>CleanSource DC</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CleanSource DC is a non-chemical replacement for lead-acid batteries used for short-term backup power in power quality installations. Utilizing our flywheel energy storage technology, CleanSource DC is a stand-alone direct current (DC) product that is compatible with all major brands of UPS. It is compact, quiet and has demonstrated field-proven reliability. When the UPS electronics detect a power disturbance, CleanSource DC draws on the power stored as kinetic energy in the flywheel to generate backup power.</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CleanSource DC can operate in conjunction with or can replace battery strings used in UPS and continuous power systems, or CPS. It also can replace the batteries now used with fuel cells and micro-turbines to meet peak power demands. This system is available in a variety of delivered power ratings up to 500 kW per flywheel system. We also can configure the units in parallel to meet higher power requirements. CleanSource DC has been designed for much longer service intervals and more extreme operating environments than typical lead-acid battery installations. Our longest continually running CleanSource DC unit was installed in June 1998. Our installed CleanSource DC units have accumulated approximately 6.8 million hours of field-proven reliability through June 30, 2006. The CleanSource DC comprised approximately 13% of our total revenue during 2005.</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CleanSource UPS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built on the technological success of CleanSource DC by creating a battery-free UPS, CleanSource UPS, which now represents the majority of our current revenues. Instead of a UPS and string of batteries in two separate cabinets, we have integrated the UPS electronics and our flywheel energy storage system into one compact cabinet. Our installed CleanSource UPS units have accumulated over 15.7 million hours of field operation as of June 30, 2006. The CleanSource UPS product family comprised approximately 69% of our total revenue during 2005, and 70% of our revenue in the quarter ending June 30, 2006.</w:t>
      </w:r>
    </w:p>
    <w:p>
      <w:pPr>
        <w:spacing w:after="0" w:line="11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CleanSource UPS design takes advantage of the many component similarities between CleanSource DC and standard UPS electronics. Each system requires power conversion electronics, fans for cooling, a frame for structural support, a user display with data reporting capability, and other overlapping functions. By combining these functions into a single system, as shown in the diagram below, we can provide a highly reliable, cost-efficient power quality solution.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CleanSource UPS System Efficiencies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i w:val="1"/>
          <w:iCs w:val="1"/>
          <w:color w:val="auto"/>
        </w:rPr>
        <w:t>System Efficiencies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95250</wp:posOffset>
            </wp:positionV>
            <wp:extent cx="2658745" cy="15265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58745"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Due to its proprietary cost-efficient design, CleanSource UPS can be competitively priced in relation to the installed cost of a conventional battery-based UPS. Due to its high operating efficiency, small footprint and long service life, we believe that the total cost of ownership of CleanSource UPS, which includes the purchase price, installation, maintenance and energy costs accumulated over a 10-year period, is less than half of that of conventional battery-based UPS systems. We designed CleanSource UPS to be compatible with new and installed standby generators, extending their application to use in a continuous power system, or CPS. We currently offer our CleanSource UPS product line in 65 kVA – 1200 kVA power ranges, and it can be configured in parallel up to 3600 kVA.</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megawatt-class CleanSource UPS platform uses a separate power electronics platform than the CleanSource UPS systems in the 65 kVA – 900 kVA power ranges. With its compact and efficient design, we believe that our megawatt-class product gives us a significant competitive advantage in the high power UPS market, which is currently served by only a few battery-free companies. We also have the ability to configure multiple megawatt-class UPS systems together in parallel up to 3600 kVA, as evidenced by our having sold multiple 2400/2000 kVA UPS. The customers of high power UPS systems demand that they be highly configurable. We believe that the ability to link multiple of our megawatt class UPS machines in parallel to support higher power levels will allow us to address the multi-megawatt market for power quality equipment by offering our customers a large building block, thereby requiring fewer UPS systems, to address their multi-megawatt power quality needs. We installed our first paralleled megawatt-class UPS system in 2005.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Flywheel Customers</w:t>
      </w:r>
    </w:p>
    <w:p>
      <w:pPr>
        <w:spacing w:after="0" w:line="17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Prior to 2003 our primary customers were OEMs. Our most significant OEM customer has been and continues to be Caterpillar, which distributes CleanSource UPS under its own brand name.</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2004 and 2005 we continued to make progress with our Active Power-branded sales channel by selling CleanSource UPS and DC products directly and through manufacturers’ representatives throughout North America and in several other international regions. This sales and distribution channel has increased our end-user interaction and allowed us to respond to customer needs more quickly. Our Active Power-branded sales channel contributed 48% of our revenues during 2005, as compared to 40% in 2004 and 25% in 2003.</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a representative sample of customers that use our flywheel products, and includes customers sold directly by us or by 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OEM partners: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400" w:type="dxa"/>
            <w:vAlign w:val="bottom"/>
          </w:tcPr>
          <w:p>
            <w:pPr>
              <w:ind w:left="1440"/>
              <w:spacing w:after="0"/>
              <w:rPr>
                <w:sz w:val="20"/>
                <w:szCs w:val="20"/>
                <w:color w:val="auto"/>
              </w:rPr>
            </w:pPr>
            <w:r>
              <w:rPr>
                <w:rFonts w:ascii="Arial" w:cs="Arial" w:eastAsia="Arial" w:hAnsi="Arial"/>
                <w:sz w:val="14"/>
                <w:szCs w:val="14"/>
                <w:b w:val="1"/>
                <w:bCs w:val="1"/>
                <w:color w:val="auto"/>
              </w:rPr>
              <w:t>Industry</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20" w:type="dxa"/>
            <w:vAlign w:val="bottom"/>
            <w:tcBorders>
              <w:bottom w:val="single" w:sz="8" w:color="auto"/>
            </w:tcBorders>
            <w:gridSpan w:val="3"/>
          </w:tcPr>
          <w:p>
            <w:pPr>
              <w:ind w:left="2020"/>
              <w:spacing w:after="0"/>
              <w:rPr>
                <w:sz w:val="20"/>
                <w:szCs w:val="20"/>
                <w:color w:val="auto"/>
              </w:rPr>
            </w:pPr>
            <w:r>
              <w:rPr>
                <w:rFonts w:ascii="Arial" w:cs="Arial" w:eastAsia="Arial" w:hAnsi="Arial"/>
                <w:sz w:val="14"/>
                <w:szCs w:val="14"/>
                <w:b w:val="1"/>
                <w:bCs w:val="1"/>
                <w:color w:val="auto"/>
              </w:rPr>
              <w:t>Representative Customers</w:t>
            </w:r>
          </w:p>
        </w:tc>
      </w:tr>
      <w:tr>
        <w:trPr>
          <w:trHeight w:val="275"/>
        </w:trPr>
        <w:tc>
          <w:tcPr>
            <w:tcW w:w="3420" w:type="dxa"/>
            <w:vAlign w:val="bottom"/>
            <w:gridSpan w:val="2"/>
          </w:tcPr>
          <w:p>
            <w:pPr>
              <w:spacing w:after="0"/>
              <w:rPr>
                <w:sz w:val="20"/>
                <w:szCs w:val="20"/>
                <w:color w:val="auto"/>
              </w:rPr>
            </w:pPr>
            <w:r>
              <w:rPr>
                <w:rFonts w:ascii="Arial" w:cs="Arial" w:eastAsia="Arial" w:hAnsi="Arial"/>
                <w:sz w:val="18"/>
                <w:szCs w:val="18"/>
                <w:color w:val="auto"/>
              </w:rPr>
              <w:t>Utilities</w:t>
            </w:r>
          </w:p>
        </w:tc>
        <w:tc>
          <w:tcPr>
            <w:tcW w:w="200" w:type="dxa"/>
            <w:vAlign w:val="bottom"/>
          </w:tcPr>
          <w:p>
            <w:pPr>
              <w:spacing w:after="0"/>
              <w:rPr>
                <w:sz w:val="23"/>
                <w:szCs w:val="23"/>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Southern Company</w:t>
            </w:r>
          </w:p>
        </w:tc>
        <w:tc>
          <w:tcPr>
            <w:tcW w:w="580" w:type="dxa"/>
            <w:vAlign w:val="bottom"/>
          </w:tcPr>
          <w:p>
            <w:pPr>
              <w:ind w:left="380"/>
              <w:spacing w:after="0"/>
              <w:rPr>
                <w:sz w:val="20"/>
                <w:szCs w:val="20"/>
                <w:color w:val="auto"/>
              </w:rPr>
            </w:pPr>
            <w:r>
              <w:rPr>
                <w:rFonts w:ascii="Arial" w:cs="Arial" w:eastAsia="Arial" w:hAnsi="Arial"/>
                <w:sz w:val="18"/>
                <w:szCs w:val="18"/>
                <w:color w:val="auto"/>
              </w:rPr>
              <w:t>•</w:t>
            </w:r>
          </w:p>
        </w:tc>
        <w:tc>
          <w:tcPr>
            <w:tcW w:w="2620" w:type="dxa"/>
            <w:vAlign w:val="bottom"/>
          </w:tcPr>
          <w:p>
            <w:pPr>
              <w:ind w:left="120"/>
              <w:spacing w:after="0"/>
              <w:rPr>
                <w:sz w:val="20"/>
                <w:szCs w:val="20"/>
                <w:color w:val="auto"/>
              </w:rPr>
            </w:pPr>
            <w:r>
              <w:rPr>
                <w:rFonts w:ascii="Arial" w:cs="Arial" w:eastAsia="Arial" w:hAnsi="Arial"/>
                <w:sz w:val="18"/>
                <w:szCs w:val="18"/>
                <w:color w:val="auto"/>
              </w:rPr>
              <w:t>AEP</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Reliant Energy</w:t>
            </w:r>
          </w:p>
        </w:tc>
        <w:tc>
          <w:tcPr>
            <w:tcW w:w="580" w:type="dxa"/>
            <w:vAlign w:val="bottom"/>
          </w:tcPr>
          <w:p>
            <w:pPr>
              <w:ind w:left="3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JEA</w:t>
            </w:r>
          </w:p>
        </w:tc>
      </w:tr>
      <w:tr>
        <w:trPr>
          <w:trHeight w:val="222"/>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Covington Electric Co-op</w:t>
            </w:r>
          </w:p>
        </w:tc>
        <w:tc>
          <w:tcPr>
            <w:tcW w:w="580" w:type="dxa"/>
            <w:vAlign w:val="bottom"/>
          </w:tcPr>
          <w:p>
            <w:pPr>
              <w:ind w:left="3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First Energy</w:t>
            </w:r>
          </w:p>
        </w:tc>
      </w:tr>
      <w:tr>
        <w:trPr>
          <w:trHeight w:val="331"/>
        </w:trPr>
        <w:tc>
          <w:tcPr>
            <w:tcW w:w="342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20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Telemundo</w:t>
            </w:r>
          </w:p>
        </w:tc>
        <w:tc>
          <w:tcPr>
            <w:tcW w:w="580" w:type="dxa"/>
            <w:vAlign w:val="bottom"/>
          </w:tcPr>
          <w:p>
            <w:pPr>
              <w:ind w:left="3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NBC</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Christian Television Network</w:t>
            </w:r>
          </w:p>
        </w:tc>
        <w:tc>
          <w:tcPr>
            <w:tcW w:w="580" w:type="dxa"/>
            <w:vAlign w:val="bottom"/>
          </w:tcPr>
          <w:p>
            <w:pPr>
              <w:ind w:left="380"/>
              <w:spacing w:after="0"/>
              <w:rPr>
                <w:sz w:val="20"/>
                <w:szCs w:val="20"/>
                <w:color w:val="auto"/>
              </w:rPr>
            </w:pPr>
            <w:r>
              <w:rPr>
                <w:rFonts w:ascii="Arial" w:cs="Arial" w:eastAsia="Arial" w:hAnsi="Arial"/>
                <w:sz w:val="18"/>
                <w:szCs w:val="18"/>
                <w:color w:val="auto"/>
              </w:rPr>
              <w:t>•</w:t>
            </w:r>
          </w:p>
        </w:tc>
        <w:tc>
          <w:tcPr>
            <w:tcW w:w="2620" w:type="dxa"/>
            <w:vAlign w:val="bottom"/>
          </w:tcPr>
          <w:p>
            <w:pPr>
              <w:ind w:left="120"/>
              <w:spacing w:after="0"/>
              <w:rPr>
                <w:sz w:val="20"/>
                <w:szCs w:val="20"/>
                <w:color w:val="auto"/>
              </w:rPr>
            </w:pPr>
            <w:r>
              <w:rPr>
                <w:rFonts w:ascii="Arial" w:cs="Arial" w:eastAsia="Arial" w:hAnsi="Arial"/>
                <w:sz w:val="18"/>
                <w:szCs w:val="18"/>
                <w:color w:val="auto"/>
              </w:rPr>
              <w:t>ABC</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Level 3 Communications</w:t>
            </w:r>
          </w:p>
        </w:tc>
        <w:tc>
          <w:tcPr>
            <w:tcW w:w="580" w:type="dxa"/>
            <w:vAlign w:val="bottom"/>
          </w:tcPr>
          <w:p>
            <w:pPr>
              <w:ind w:left="380"/>
              <w:spacing w:after="0"/>
              <w:rPr>
                <w:sz w:val="20"/>
                <w:szCs w:val="20"/>
                <w:color w:val="auto"/>
              </w:rPr>
            </w:pPr>
            <w:r>
              <w:rPr>
                <w:rFonts w:ascii="Arial" w:cs="Arial" w:eastAsia="Arial" w:hAnsi="Arial"/>
                <w:sz w:val="18"/>
                <w:szCs w:val="18"/>
                <w:color w:val="auto"/>
              </w:rPr>
              <w:t>•</w:t>
            </w:r>
          </w:p>
        </w:tc>
        <w:tc>
          <w:tcPr>
            <w:tcW w:w="2620" w:type="dxa"/>
            <w:vAlign w:val="bottom"/>
          </w:tcPr>
          <w:p>
            <w:pPr>
              <w:ind w:left="120"/>
              <w:spacing w:after="0"/>
              <w:rPr>
                <w:sz w:val="20"/>
                <w:szCs w:val="20"/>
                <w:color w:val="auto"/>
              </w:rPr>
            </w:pPr>
            <w:r>
              <w:rPr>
                <w:rFonts w:ascii="Arial" w:cs="Arial" w:eastAsia="Arial" w:hAnsi="Arial"/>
                <w:sz w:val="18"/>
                <w:szCs w:val="18"/>
                <w:color w:val="auto"/>
              </w:rPr>
              <w:t>AT&amp;T</w:t>
            </w:r>
          </w:p>
        </w:tc>
      </w:tr>
      <w:tr>
        <w:trPr>
          <w:trHeight w:val="222"/>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EchoStar Communications</w:t>
            </w:r>
          </w:p>
        </w:tc>
        <w:tc>
          <w:tcPr>
            <w:tcW w:w="580" w:type="dxa"/>
            <w:vAlign w:val="bottom"/>
          </w:tcPr>
          <w:p>
            <w:pPr>
              <w:ind w:left="3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Cable &amp; Wireless</w:t>
            </w:r>
          </w:p>
        </w:tc>
      </w:tr>
      <w:tr>
        <w:trPr>
          <w:trHeight w:val="331"/>
        </w:trPr>
        <w:tc>
          <w:tcPr>
            <w:tcW w:w="342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20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Abbot Laboratories</w:t>
            </w:r>
          </w:p>
        </w:tc>
        <w:tc>
          <w:tcPr>
            <w:tcW w:w="580" w:type="dxa"/>
            <w:vAlign w:val="bottom"/>
          </w:tcPr>
          <w:p>
            <w:pPr>
              <w:ind w:left="380"/>
              <w:spacing w:after="0"/>
              <w:rPr>
                <w:sz w:val="20"/>
                <w:szCs w:val="20"/>
                <w:color w:val="auto"/>
              </w:rPr>
            </w:pPr>
            <w:r>
              <w:rPr>
                <w:rFonts w:ascii="Arial" w:cs="Arial" w:eastAsia="Arial" w:hAnsi="Arial"/>
                <w:sz w:val="18"/>
                <w:szCs w:val="18"/>
                <w:color w:val="auto"/>
              </w:rPr>
              <w:t>•</w:t>
            </w:r>
          </w:p>
        </w:tc>
        <w:tc>
          <w:tcPr>
            <w:tcW w:w="2620" w:type="dxa"/>
            <w:vAlign w:val="bottom"/>
          </w:tcPr>
          <w:p>
            <w:pPr>
              <w:ind w:left="120"/>
              <w:spacing w:after="0"/>
              <w:rPr>
                <w:sz w:val="20"/>
                <w:szCs w:val="20"/>
                <w:color w:val="auto"/>
              </w:rPr>
            </w:pPr>
            <w:r>
              <w:rPr>
                <w:rFonts w:ascii="Arial" w:cs="Arial" w:eastAsia="Arial" w:hAnsi="Arial"/>
                <w:sz w:val="18"/>
                <w:szCs w:val="18"/>
                <w:color w:val="auto"/>
              </w:rPr>
              <w:t>Asea Brown Boveri</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GE Industrial Systems</w:t>
            </w:r>
          </w:p>
        </w:tc>
        <w:tc>
          <w:tcPr>
            <w:tcW w:w="580" w:type="dxa"/>
            <w:vAlign w:val="bottom"/>
          </w:tcPr>
          <w:p>
            <w:pPr>
              <w:ind w:left="3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STMicroelectronics</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Michelin</w:t>
            </w:r>
          </w:p>
        </w:tc>
        <w:tc>
          <w:tcPr>
            <w:tcW w:w="580" w:type="dxa"/>
            <w:vAlign w:val="bottom"/>
          </w:tcPr>
          <w:p>
            <w:pPr>
              <w:ind w:left="3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Goodyear</w:t>
            </w:r>
          </w:p>
        </w:tc>
      </w:tr>
      <w:tr>
        <w:trPr>
          <w:trHeight w:val="222"/>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Wyeth</w:t>
            </w:r>
          </w:p>
        </w:tc>
        <w:tc>
          <w:tcPr>
            <w:tcW w:w="580" w:type="dxa"/>
            <w:vAlign w:val="bottom"/>
          </w:tcPr>
          <w:p>
            <w:pPr>
              <w:ind w:left="3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Group Tonic</w:t>
            </w:r>
          </w:p>
        </w:tc>
      </w:tr>
      <w:tr>
        <w:trPr>
          <w:trHeight w:val="331"/>
        </w:trPr>
        <w:tc>
          <w:tcPr>
            <w:tcW w:w="3420" w:type="dxa"/>
            <w:vAlign w:val="bottom"/>
            <w:gridSpan w:val="2"/>
          </w:tcPr>
          <w:p>
            <w:pPr>
              <w:spacing w:after="0"/>
              <w:rPr>
                <w:sz w:val="20"/>
                <w:szCs w:val="20"/>
                <w:color w:val="auto"/>
              </w:rPr>
            </w:pPr>
            <w:r>
              <w:rPr>
                <w:rFonts w:ascii="Arial" w:cs="Arial" w:eastAsia="Arial" w:hAnsi="Arial"/>
                <w:sz w:val="18"/>
                <w:szCs w:val="18"/>
                <w:color w:val="auto"/>
              </w:rPr>
              <w:t>Technology</w:t>
            </w:r>
          </w:p>
        </w:tc>
        <w:tc>
          <w:tcPr>
            <w:tcW w:w="20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Fuji</w:t>
            </w:r>
          </w:p>
        </w:tc>
        <w:tc>
          <w:tcPr>
            <w:tcW w:w="580" w:type="dxa"/>
            <w:vAlign w:val="bottom"/>
          </w:tcPr>
          <w:p>
            <w:pPr>
              <w:ind w:left="3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Siemens</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Sun Microsystems</w:t>
            </w:r>
          </w:p>
        </w:tc>
        <w:tc>
          <w:tcPr>
            <w:tcW w:w="580" w:type="dxa"/>
            <w:vAlign w:val="bottom"/>
          </w:tcPr>
          <w:p>
            <w:pPr>
              <w:ind w:left="3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3M</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Hewlett Packard</w:t>
            </w:r>
          </w:p>
        </w:tc>
        <w:tc>
          <w:tcPr>
            <w:tcW w:w="580" w:type="dxa"/>
            <w:vAlign w:val="bottom"/>
          </w:tcPr>
          <w:p>
            <w:pPr>
              <w:ind w:left="3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Micron Technologies</w:t>
            </w:r>
          </w:p>
        </w:tc>
      </w:tr>
      <w:tr>
        <w:trPr>
          <w:trHeight w:val="222"/>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Freescale Semiconductor</w:t>
            </w:r>
          </w:p>
        </w:tc>
        <w:tc>
          <w:tcPr>
            <w:tcW w:w="58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1"/>
        </w:trPr>
        <w:tc>
          <w:tcPr>
            <w:tcW w:w="3420" w:type="dxa"/>
            <w:vAlign w:val="bottom"/>
            <w:gridSpan w:val="2"/>
          </w:tcPr>
          <w:p>
            <w:pPr>
              <w:spacing w:after="0"/>
              <w:rPr>
                <w:sz w:val="20"/>
                <w:szCs w:val="20"/>
                <w:color w:val="auto"/>
              </w:rPr>
            </w:pPr>
            <w:r>
              <w:rPr>
                <w:rFonts w:ascii="Arial" w:cs="Arial" w:eastAsia="Arial" w:hAnsi="Arial"/>
                <w:sz w:val="18"/>
                <w:szCs w:val="18"/>
                <w:color w:val="auto"/>
              </w:rPr>
              <w:t>Financial Institutions</w:t>
            </w:r>
          </w:p>
        </w:tc>
        <w:tc>
          <w:tcPr>
            <w:tcW w:w="20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Visa</w:t>
            </w:r>
          </w:p>
        </w:tc>
        <w:tc>
          <w:tcPr>
            <w:tcW w:w="580" w:type="dxa"/>
            <w:vAlign w:val="bottom"/>
          </w:tcPr>
          <w:p>
            <w:pPr>
              <w:ind w:left="3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GMAC</w:t>
            </w:r>
          </w:p>
        </w:tc>
      </w:tr>
      <w:tr>
        <w:trPr>
          <w:trHeight w:val="222"/>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MBNA</w:t>
            </w:r>
          </w:p>
        </w:tc>
        <w:tc>
          <w:tcPr>
            <w:tcW w:w="58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1"/>
        </w:trPr>
        <w:tc>
          <w:tcPr>
            <w:tcW w:w="3420" w:type="dxa"/>
            <w:vAlign w:val="bottom"/>
            <w:gridSpan w:val="2"/>
          </w:tcPr>
          <w:p>
            <w:pPr>
              <w:spacing w:after="0"/>
              <w:rPr>
                <w:sz w:val="20"/>
                <w:szCs w:val="20"/>
                <w:color w:val="auto"/>
              </w:rPr>
            </w:pPr>
            <w:r>
              <w:rPr>
                <w:rFonts w:ascii="Arial" w:cs="Arial" w:eastAsia="Arial" w:hAnsi="Arial"/>
                <w:sz w:val="18"/>
                <w:szCs w:val="18"/>
                <w:color w:val="auto"/>
              </w:rPr>
              <w:t>Healthcare, Government, Other</w:t>
            </w:r>
          </w:p>
        </w:tc>
        <w:tc>
          <w:tcPr>
            <w:tcW w:w="20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Albertsons</w:t>
            </w:r>
          </w:p>
        </w:tc>
        <w:tc>
          <w:tcPr>
            <w:tcW w:w="580" w:type="dxa"/>
            <w:vAlign w:val="bottom"/>
          </w:tcPr>
          <w:p>
            <w:pPr>
              <w:ind w:left="3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Nestle</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HEB</w:t>
            </w:r>
          </w:p>
        </w:tc>
        <w:tc>
          <w:tcPr>
            <w:tcW w:w="580" w:type="dxa"/>
            <w:vAlign w:val="bottom"/>
          </w:tcPr>
          <w:p>
            <w:pPr>
              <w:ind w:left="3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Lockheed Martin</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Fairview Hospital</w:t>
            </w:r>
          </w:p>
        </w:tc>
        <w:tc>
          <w:tcPr>
            <w:tcW w:w="580" w:type="dxa"/>
            <w:vAlign w:val="bottom"/>
          </w:tcPr>
          <w:p>
            <w:pPr>
              <w:ind w:left="3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US Air Force</w:t>
            </w:r>
          </w:p>
        </w:tc>
      </w:tr>
      <w:tr>
        <w:trPr>
          <w:trHeight w:val="222"/>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University of Michigan</w:t>
            </w:r>
          </w:p>
        </w:tc>
        <w:tc>
          <w:tcPr>
            <w:tcW w:w="3200" w:type="dxa"/>
            <w:vAlign w:val="bottom"/>
            <w:gridSpan w:val="2"/>
          </w:tcPr>
          <w:p>
            <w:pPr>
              <w:ind w:left="380"/>
              <w:spacing w:after="0"/>
              <w:rPr>
                <w:sz w:val="20"/>
                <w:szCs w:val="20"/>
                <w:color w:val="auto"/>
              </w:rPr>
            </w:pPr>
            <w:r>
              <w:rPr>
                <w:rFonts w:ascii="Arial" w:cs="Arial" w:eastAsia="Arial" w:hAnsi="Arial"/>
                <w:sz w:val="18"/>
                <w:szCs w:val="18"/>
                <w:color w:val="auto"/>
              </w:rPr>
              <w:t>•   US Dept. of Veterans’ Affairs</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7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CleanSource DC product competes with makers of lead-acid batteries and organizations developing battery-free technologies for UPS applications. Among the manufacturers of battery-free products, Piller, a European-based company, currently offers a flywheel energy storage system that competes with the CleanSource DC at comparable power levels. However, the Piller flywheel is only available with Piller’s proprietary UPS system. In addition, Pentadyne, a US-based private company, recently began to offer a DC flywheel energy storage system. Examples of other technologies potentially competitive with CleanSource DC include high-speed composite flywheels, ultra capacitors and superconducting magnetic energy storage. To date, however, we believe that none of these technologies has achieved a sufficient presence in our market to be considered a direct competitor.</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CleanSource UPS competes primarily with battery-based UPS manufacturers such as Eaton Electrical, Liebert and MGE UPS Systems. In addition, the CleanSource UPS competes with battery-free systems from Piller, Hitec and KS Techniques (previously EuroDiesel).</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With the megawatt-class CleanSource UPS, we are competing with the same group of competitors mentioned above. However, we believe this megawatt class UPS market currently comprises the largest percentage of battery-free UPS systems in the UPS market. We believe the broader market acceptance of battery-free technologies in this power range should strengthen our competitive position.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CoolAir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CoolAir Overview</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CoolAir DC provides backup power for several minutes to hours depending on the customer application. CoolAir DC utilizes mature thermal and compressed air storage (TACAS) technologies combined in a proprietary manner to produce backup power and backup cooling during an electrical disturbance. CoolAir DC is initially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targeted at lower power levels than our flywheel products, and is sold as a minute-for-minute replacement for lead-acid batteries. In addition to offering a DC-only solution, when customers desire a complete backup solution with an extended runtime, we have introduced the CoolAir UPS that couples our CoolAir DC product with a third party double-conversion UPS.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CoolAir Market</w:t>
      </w:r>
    </w:p>
    <w:p>
      <w:pPr>
        <w:spacing w:after="0" w:line="17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At its current power levels, the CoolAir product primarily competes in the 20-200kVA UPS power market against conventional battery-based UPS systems. According to an independent market analysis of the 2005 global UPS market by Frost &amp; Sullivan, this segment represented approximately 20% of the global UPS market in 2005, with annual sales of approximately $1.1 billion, and is projected to grow at an annual rate of approximately 5% through 2012.</w:t>
      </w:r>
    </w:p>
    <w:p>
      <w:pPr>
        <w:spacing w:after="0" w:line="10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primary customers in this power level include mission-critical and large-scale equipment, and typically are sold for operator centers, telecommunication equipment switching gear, broadcasting equipment, imaging diagnostic equipment, small and medium size data centers, and process and automation equipment. At this power level, compared to the market for our flywheel business, a greater percentage of sales is made regionally by local resellers. It is estimated that less than one-third of sales are made directly, compared to two thirds in the &gt;200kVA segment.</w:t>
      </w:r>
    </w:p>
    <w:p>
      <w:pPr>
        <w:spacing w:after="0" w:line="11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Frost &amp; Sullivan estimated sales growth in the 20-200 kVA market at approximately 13% in 2005, faster than the growth rate in the overall UPS market, particularly in North America and Asia, driven by strong demand in the healthcare, high-tech manufacturing and the financial services industries. Frost &amp; Sullivan also expects this segment to continue to grow faster than the overall UPS market.</w:t>
      </w:r>
    </w:p>
    <w:p>
      <w:pPr>
        <w:spacing w:after="0" w:line="14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primary drivers of growth in this segment are similar to those in our flywheel market and include renewed IT and process upgrades which are increasing power requirements for many organizations and forcing end-users to upgrade their existing power infrastructure. At this lower power level there are more competitors, particularly from Asia, which has contributed towards higher price competition and commoditization of product due to lack of innovation. Competitors have sourced manufacturing offshore to mitigate the effects of this price competition.</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Applications in this power segment are often mission critical, which means a high level of user involvement and interaction between the supplier and customer during the purchase process to ensure proper configuration, service, assurance, level of reliability and delivery. This leads to increased involvement of local manufacturers’ representatives and local consulting or electrical engineers in the sales process. Often the choice of sales channel varies by geographic region due to local alliances, local tariffs and regional voltages, as well as a supplier’s position in a given market.</w:t>
      </w:r>
    </w:p>
    <w:p>
      <w:pPr>
        <w:spacing w:after="0" w:line="113" w:lineRule="exact"/>
        <w:rPr>
          <w:sz w:val="20"/>
          <w:szCs w:val="20"/>
          <w:color w:val="auto"/>
        </w:rPr>
      </w:pPr>
    </w:p>
    <w:p>
      <w:pPr>
        <w:jc w:val="both"/>
        <w:ind w:right="160" w:firstLine="456"/>
        <w:spacing w:after="0" w:line="318" w:lineRule="auto"/>
        <w:rPr>
          <w:sz w:val="20"/>
          <w:szCs w:val="20"/>
          <w:color w:val="auto"/>
        </w:rPr>
      </w:pPr>
      <w:r>
        <w:rPr>
          <w:rFonts w:ascii="Arial" w:cs="Arial" w:eastAsia="Arial" w:hAnsi="Arial"/>
          <w:sz w:val="15"/>
          <w:szCs w:val="15"/>
          <w:color w:val="auto"/>
        </w:rPr>
        <w:t>Like the high-power market, brand and service capabilities are important competitive differentiators. If a workstation or equipment fails, customers may suffer potentially significant economic losses. This increased awareness and application criticality have led to an increased level of brand loyalty in this market. Customers want high reliability and features such as product certifications, high power correction factors, maintenance bypass features and monitoring services. These customers also recognize the need for service and after-sales maintenance. UPS products have become more reliable and robust over time, but the backup battery system remains a prevalent source of failure in UPS systems. As a result, monitoring services are as valuable to customers as maintenance.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most of these UPS systems are used in conjunction with an application, growth in the UPS market should be tied to growth in the application market.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in recent years the proliferation of the Internet and PCs has been the primary driver of growth.</w:t>
      </w:r>
    </w:p>
    <w:p>
      <w:pPr>
        <w:spacing w:after="0" w:line="165"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Overall, brand recognition and service capabilities are the most likely basis of competition due to the maturity of the markets and the lack of product innovation to differentiate similar product offerings. The ability to offer space savings, higher reliability and better service often will determine success in a market, although some markets, particularly in Asia continue to be driven primarily by price.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Thermal and Compressed Air Storage System Technology</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 September 2004 we first introduced a new battery-free technology that utilizes thermal and compressed air storage (TACAS) systems to provide backup power for an extended runtime (minutes to hours) while simultaneously providing backup cooling during an electrical outage or disturbance.</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During standby operation (when utility power is present), breathable compressed air can be used as an energy source stored in standard air cylinders. A nominal amount of electricity is used to keep the thermal storage material heated at the proper temperature using basic and redundant electric heating elements. In the event of a power disturbance, a valve is opened releasing the compressed air, which is routed through the thermal storage unit to gain additional energy. This heated air is then applied to an air motor (expansion turbine) that spins at high speeds and turns a permanent magnet alternator, which, in turn generates power that is used to support the critical load. Depending on the application, this product provides backup power for minutes to hours. When utility power is restored, the system can electrically recharge by using some electricity to compress air back into the cylinders and to re-heat the thermal storage material. The byproduct from operation of this system is a discharge of cool air which can be used to cool electronic equipment in the room prior to an orderly data center shutdown or until the data center cooling systems are restored on generator or utility power.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graphic depicts the TACAS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242570</wp:posOffset>
            </wp:positionV>
            <wp:extent cx="5462905" cy="28644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62905"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CoolAir Products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CoolAir DC</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first product based on this TACAS technology platform is being marketed as CoolAir DC. While CoolAir DC provides extended runtimes similar to battery solutions, it does so without any of the inherent limitations of batteries related to reliability, manageability and maintainability. CoolAir DC utilizes readily available compressed air and thermal energy storage along with simple and reliable mechanical components that combine to produce a predictable and reliable source of DC power that does not degrade over time. In addition, CoolAir DC has the capability to provide backup cooling that has become an important requirement of today’s datacenters because of ever-increasing power densities. In December 2004, we shipped our first CoolAir DC evaluation unit. We recorded our first sale of a CoolAir DC in December 2005, and began commercial production during the second quarter of 2006.</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CoolAir DC was developed to meet the needs of the market where customers require minutes to hours of backup power because they typically do not have backup generators. Based on our primary research, we believe a substantial portion of customers within the three-phase UPS market in North America do not have a backup generator and require extended runtimes between 5 and 30 minutes. Similarly, this market segment does not typically have their HVAC system on backup power so that during an outage critical equipment is not being cooled, even if it has backup power. Thus, having the CoolAir DC expel cool air during a power interruption can be of value to these customers by reducing the possibility of a thermal shutdown and allowing critical equipment to run for a longer duration in the event of an extended power outage. CoolAir DC is flexible in its configuration and can easily extend the runtime by simply adding more compressed air tanks. Applications demanding such extended runtime are, for example, the mid-range UPS market (roughly defined as 5 to 200 kVA), where 15 minutes of backup power is required to allow the customer to shut down its critical equipment in an orderly manner. The CoolAir DC system is currently available for a power rating from 32 to 80 kW.</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CoolAir DC has lower expected lifecycle costs than battery solutions due to its projected 20-year lifespan, as well as comparatively low maintenance and replacement part requirements. In some instances, the initial cost of CoolAir DC may be higher than batteries for a customer. To help mitigate this upfront financial impact on customers, we are offering customers a usage or lease option in addition to a purchase option. The usage option includes warranty, maintenance and testing for a single price per year during a 3, 5 or 10-year agreement. The usage model spreads out the payments over an agreed term, and offers customers a consistent, predictable cost over time. CoolAir DC can be sold with a UPS or sold into existing UPS installations to replace a customer’s lead-acid batteries.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CoolAir UPS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 provide the fastest route to market for a complete UPS solution for our customers requiring extended runtime, we have teamed with a division of General Electric Corporation to provide an Active Power-branded UPS, which is marketed as CoolAir UPS. This CoolAir UPS solution leverages the TACAS technology and simply couples the CoolAir DC unit with a GE-sourced double-conversion UPS. We can also sell the GE-sourced double-conversion UPS directly to customers without the CoolAir DC. In addition to all the energy storage benefits of the TACAS technology listed above, CoolAir UPS also provides benefits such as tighter voltage regulation and better transient response that leads to much improved output power quality relative to our competitors’ UPS products. With the ability to parallel the GE-sourced UPS, multiple CoolAir UPS systems may be connected in parallel to create a backup power system up to 800 kVA.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CoolAir Customers</w:t>
      </w:r>
    </w:p>
    <w:p>
      <w:pPr>
        <w:spacing w:after="0" w:line="171"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began commercially selling CoolAir DC in the second quarter of 2006, and so our customer base is limited. However, some of the markets and applications that we have already shipped or sold into include the following:</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81"/>
        </w:trPr>
        <w:tc>
          <w:tcPr>
            <w:tcW w:w="4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4740" w:type="dxa"/>
            <w:vAlign w:val="bottom"/>
            <w:gridSpan w:val="2"/>
          </w:tcPr>
          <w:p>
            <w:pPr>
              <w:ind w:left="100"/>
              <w:spacing w:after="0"/>
              <w:rPr>
                <w:sz w:val="20"/>
                <w:szCs w:val="20"/>
                <w:color w:val="auto"/>
              </w:rPr>
            </w:pPr>
            <w:r>
              <w:rPr>
                <w:rFonts w:ascii="Arial" w:cs="Arial" w:eastAsia="Arial" w:hAnsi="Arial"/>
                <w:sz w:val="14"/>
                <w:szCs w:val="14"/>
                <w:b w:val="1"/>
                <w:bCs w:val="1"/>
                <w:color w:val="auto"/>
              </w:rPr>
              <w:t>Application</w:t>
            </w:r>
          </w:p>
        </w:tc>
      </w:tr>
      <w:tr>
        <w:trPr>
          <w:trHeight w:val="195"/>
        </w:trPr>
        <w:tc>
          <w:tcPr>
            <w:tcW w:w="4960" w:type="dxa"/>
            <w:vAlign w:val="bottom"/>
          </w:tcPr>
          <w:p>
            <w:pPr>
              <w:spacing w:after="0" w:line="195" w:lineRule="exact"/>
              <w:rPr>
                <w:sz w:val="20"/>
                <w:szCs w:val="20"/>
                <w:color w:val="auto"/>
              </w:rPr>
            </w:pPr>
            <w:r>
              <w:rPr>
                <w:rFonts w:ascii="Arial" w:cs="Arial" w:eastAsia="Arial" w:hAnsi="Arial"/>
                <w:sz w:val="18"/>
                <w:szCs w:val="18"/>
                <w:color w:val="auto"/>
              </w:rPr>
              <w:t>Utilities</w:t>
            </w:r>
          </w:p>
        </w:tc>
        <w:tc>
          <w:tcPr>
            <w:tcW w:w="100" w:type="dxa"/>
            <w:vAlign w:val="bottom"/>
          </w:tcPr>
          <w:p>
            <w:pPr>
              <w:spacing w:after="0"/>
              <w:rPr>
                <w:sz w:val="16"/>
                <w:szCs w:val="16"/>
                <w:color w:val="auto"/>
              </w:rPr>
            </w:pPr>
          </w:p>
        </w:tc>
        <w:tc>
          <w:tcPr>
            <w:tcW w:w="4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Research Laboratory, Load Leveling</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Semiconductor Manufacturing</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Chip Manufacturing, Process Manufacturing</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Academic Institutions</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Data Center Operations</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Financial Institutions</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Data Center, Travel Center Operations</w:t>
            </w: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Solar Cell Manufacturing</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Load Leveling</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CoolAir DC competes primarily against battery cabinet offerings for 20–200 kVA UPS provided by suppliers such as Eaton Electrical, Liebert, American Power Conversion and MGE UPS Systems. To our knowledge, there are no commercially available battery-free extended runtime products within this market space. CoolAir DC provides extended runtimes similar to batteries, without any of their inherent limitations related to reliability, manageability and maintainability. In addition, CoolAir DC has the capability to provide back-up cooling that has become an important requirement of today’s data centers because of the ever-increasing power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densities that generate heat within data centers. Our ability to compete effectively with the CoolAir DC product will primarily depend on the rate of acceptance of this new technology in the small to medium business segment.</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CoolAir UPS is a 20–100 kVA double-conversion UPS solution that utilizes the TACAS technology for energy storage. With the CoolAir UPS, we compete against battery-based UPS solutions provided by the same group of competitors as mentioned above. Our ability to succeed within this space is also strongly dependent on the acceptance of the TACAS technology within this market segment. A differentiated offering and a strong value proposition for customers have allowed us to sign various top power quality manufacturers’ representatives to carry CoolAir UPS as their primary UPS offering. This manufacturers’ representative channel now provides significant coverage for the CoolAir UPS throughout United States.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the last several years our sales and marketing activities were focused principally on training and supporting our OEM customers. Since 2000 we have hosted numerous Caterpillar dealers and Eaton Electrical sales representatives to promote awareness of our UPS and DC products and to demonstrate the capabilities and market opportunities of these products. We also implemented several programs aimed at increasing OEM engagement and focusing on selling our products and have conducted regular intensive sales programs focused on enabling and educating our OEM partners throughout the United States and in Europe. These sales programs are used to increase product awareness and sales effectiveness.</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primary sales channels in North America have traditionally been through our OEM partners, Caterpillar and Eaton Electrical. As we began to broaden our sales channels in 2005, we shifted the focus of our sales and marketing activities to direct sales, while still supporting our existing channel partners. In 2005 we undertook a campaign to recruit regional manufacturers’ representatives in the United States and Canada, and added direct sales employees and sales agents for certain products and geographic regions, particularly in Europe, to increase our market coverage. In 2006 we have been growing our geographically dispersed direct sales force to focus on direct customer relationships within specific geographic regions and particularly on specific national accounts. Direct sales tend to improve our relationships with customers, improve our gross margins and add service revenue opportunities.</w:t>
      </w:r>
    </w:p>
    <w:p>
      <w:pPr>
        <w:spacing w:after="0" w:line="120"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Our primary sales channels in EMEA include direct sales and select VARs. We also provide services including engineering, installation, start-up, monitoring, and repair for our products under contracts with our customers.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marketing efforts focus on developing and sustaining key relationships with industry influencers, such as design engineers, and our channel partners, participating in trade shows to promote the brand and launch our products, and equipping and training our Active Power salespeople and our channel partners. We also work with OEM partners on promotional activities such as advertising development, direct mail and seminar strategies. We use our marketing resources to stimulate end-user interest through trade press articles, participation in industry conferences, online marketing, and limited direct mail to specific power quality prospects. In 2005 and 2006 we increased our marketing efforts in support of our direct selling activities in an effort to increase sales of Active Power-branded products and services.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Support</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first priority is to sell service contracts directly to our end-users to parallel our increased efforts to build our global direct sales force. In 2006 we began focusing on increasing our service revenues through increased customer coverage and additional value-add service offerings. We anticipate that in 2006 our service revenues will substantially grow through the direct sale of Active Power service contracts, parts, training, and installation. As we increase direct sales under the Active Power brand, we believe that this will provide us with more opportunities to increase the number of relationships with end-user customers and therefore increase service and support revenues from those customers.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Similar to our sales and marketing activities, prior to 2005 we focused on educating and training our OEM customers on the service and maintenance of our products. We believe their engagement reduced the need for us to have a large internal support organization by enabling our OEMs to provide installation, service and primary support to their customers. We also expanded our service coverage areas and entered into strategic partnerships to broaden our service reach in areas where it was impractical or inefficient to staff Active Power employees. The training programs are hosted at our Austin, Texas location where we have a sophisticated training facility, and where the service people can get hands-on-experience with our products. All of our OEM customers must be certified by Active Power in order to service our products.</w:t>
      </w:r>
    </w:p>
    <w:p>
      <w:pPr>
        <w:spacing w:after="0" w:line="14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will continue to support our OEM partners who sell service contracts for our products to their customers. We understand the importance of growing service in these OEM channels as we shift to our multi-channel sales strategy.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Caterpillar</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1999 we established a strategic relationship with Caterpillar, pursuant to which we granted Caterpillar the worldwide right to distribute many of our CleanSource UPS products under the “Cat UPS” brand name. Caterpillar is a market leader in new generator sales and has the largest installed base of existing standby generators in the world. By offering the Cat UPS with a standby generator, Caterpillar can transform a standby power system into a CPS. The combined solution reduces maintenance costs and increases reliability relative to traditional CPS products. Moreover, because Caterpillar’s product line now includes both a UPS and a generator along with switchgear Caterpillar is now selling, Caterpillar can install and service a complete CPS under a single and very recognizable brand name. We believe that this total solution gives both Caterpillar and Active Power a significant competitive advantage in the power quality market.</w:t>
      </w:r>
    </w:p>
    <w:p>
      <w:pPr>
        <w:spacing w:after="0" w:line="120"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i w:val="1"/>
          <w:iCs w:val="1"/>
          <w:color w:val="auto"/>
        </w:rPr>
        <w:t>UPS Development Agreement</w:t>
      </w:r>
      <w:r>
        <w:rPr>
          <w:rFonts w:ascii="Arial" w:cs="Arial" w:eastAsia="Arial" w:hAnsi="Arial"/>
          <w:sz w:val="16"/>
          <w:szCs w:val="16"/>
          <w:color w:val="auto"/>
        </w:rPr>
        <w:t>. We entered into a development agreement with Caterpillar in January 1999 for the creation and distribution of a UPS</w:t>
      </w:r>
      <w:r>
        <w:rPr>
          <w:rFonts w:ascii="Arial" w:cs="Arial" w:eastAsia="Arial" w:hAnsi="Arial"/>
          <w:sz w:val="16"/>
          <w:szCs w:val="16"/>
          <w:i w:val="1"/>
          <w:iCs w:val="1"/>
          <w:color w:val="auto"/>
        </w:rPr>
        <w:t xml:space="preserve"> </w:t>
      </w:r>
      <w:r>
        <w:rPr>
          <w:rFonts w:ascii="Arial" w:cs="Arial" w:eastAsia="Arial" w:hAnsi="Arial"/>
          <w:sz w:val="16"/>
          <w:szCs w:val="16"/>
          <w:color w:val="auto"/>
        </w:rPr>
        <w:t>marketed under the Caterpillar brand name. Under this agreement, Caterpillar invested $5 million in this development. We began shipments of the Cat UPS in 2000. While we retained sole ownership of the underlying flywheel energy storage technology, we jointly own with Caterpillar intellectual property directed to the integration of UPS electronics with the CleanSource flywheel technology. Either we or Caterpillar may license to others the intellectual property that we jointly own without seeking the consent of the other and the licensing party will solely retain all licensing revenue generated by licensing the joint intellectual property. However, we may not license the joint intellectual property to specifically identified competitors of Caterpillar until January 1, 2007. To date, neither party has licensed the technology to a third party.</w:t>
      </w:r>
    </w:p>
    <w:p>
      <w:pPr>
        <w:spacing w:after="0" w:line="118" w:lineRule="exact"/>
        <w:rPr>
          <w:sz w:val="20"/>
          <w:szCs w:val="20"/>
          <w:color w:val="auto"/>
        </w:rPr>
      </w:pPr>
    </w:p>
    <w:p>
      <w:pPr>
        <w:jc w:val="both"/>
        <w:ind w:right="80" w:firstLine="456"/>
        <w:spacing w:after="0" w:line="332" w:lineRule="auto"/>
        <w:rPr>
          <w:sz w:val="20"/>
          <w:szCs w:val="20"/>
          <w:color w:val="auto"/>
        </w:rPr>
      </w:pPr>
      <w:r>
        <w:rPr>
          <w:rFonts w:ascii="Arial" w:cs="Arial" w:eastAsia="Arial" w:hAnsi="Arial"/>
          <w:sz w:val="16"/>
          <w:szCs w:val="16"/>
          <w:color w:val="auto"/>
        </w:rPr>
        <w:t>We entered into a second development with Caterpillar in September 2001 to develop a high power flywheel UPS platform that Caterpillar may ship under the Cat UPS brand name. Caterpillar invested an additional $5 million in this development. We began shipping this high power UPS in the third quarter of 2003.</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Distribution Agreement</w:t>
      </w:r>
      <w:r>
        <w:rPr>
          <w:rFonts w:ascii="Arial" w:cs="Arial" w:eastAsia="Arial" w:hAnsi="Arial"/>
          <w:sz w:val="18"/>
          <w:szCs w:val="18"/>
          <w:color w:val="auto"/>
        </w:rPr>
        <w:t>. Under our distribution agreement with Caterpillar, we sell Cat UPS equipment to them at set prices. During 2005, 2004, and 2003,</w:t>
      </w:r>
      <w:r>
        <w:rPr>
          <w:rFonts w:ascii="Arial" w:cs="Arial" w:eastAsia="Arial" w:hAnsi="Arial"/>
          <w:sz w:val="18"/>
          <w:szCs w:val="18"/>
          <w:i w:val="1"/>
          <w:iCs w:val="1"/>
          <w:color w:val="auto"/>
        </w:rPr>
        <w:t xml:space="preserve"> </w:t>
      </w:r>
      <w:r>
        <w:rPr>
          <w:rFonts w:ascii="Arial" w:cs="Arial" w:eastAsia="Arial" w:hAnsi="Arial"/>
          <w:sz w:val="18"/>
          <w:szCs w:val="18"/>
          <w:color w:val="auto"/>
        </w:rPr>
        <w:t>we received approximately 42%, 54% and 60%, respectively, of our revenue from Caterpillar and its dealer network under this agreement. The principal provisions of this distribution agreement are summarized below:</w:t>
      </w:r>
    </w:p>
    <w:p>
      <w:pPr>
        <w:spacing w:after="0" w:line="181" w:lineRule="exact"/>
        <w:rPr>
          <w:sz w:val="20"/>
          <w:szCs w:val="20"/>
          <w:color w:val="auto"/>
        </w:rPr>
      </w:pPr>
    </w:p>
    <w:p>
      <w:pPr>
        <w:ind w:left="1260" w:hanging="455"/>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Caterpillar has semi-exclusive worldwide rights to distribute Cat UPS under the Caterpillar brand name;</w:t>
      </w:r>
    </w:p>
    <w:p>
      <w:pPr>
        <w:spacing w:after="0" w:line="90" w:lineRule="exact"/>
        <w:rPr>
          <w:rFonts w:ascii="Arial" w:cs="Arial" w:eastAsia="Arial" w:hAnsi="Arial"/>
          <w:sz w:val="18"/>
          <w:szCs w:val="18"/>
          <w:color w:val="auto"/>
        </w:rPr>
      </w:pPr>
    </w:p>
    <w:p>
      <w:pPr>
        <w:ind w:left="1260" w:right="40" w:hanging="455"/>
        <w:spacing w:after="0" w:line="332" w:lineRule="auto"/>
        <w:tabs>
          <w:tab w:leader="none" w:pos="1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Caterpillar meets minimum semi-annual sales requirements, we will not sell Cat UPS to specifically identified competitors of Caterpillar until January 1, 2007 or the termination of the distribution agreement (Caterpillar has not met the minimum annual sales requirements); and</w:t>
      </w:r>
    </w:p>
    <w:p>
      <w:pPr>
        <w:spacing w:after="0" w:line="4" w:lineRule="exact"/>
        <w:rPr>
          <w:rFonts w:ascii="Arial" w:cs="Arial" w:eastAsia="Arial" w:hAnsi="Arial"/>
          <w:sz w:val="16"/>
          <w:szCs w:val="16"/>
          <w:color w:val="auto"/>
        </w:rPr>
      </w:pPr>
    </w:p>
    <w:p>
      <w:pPr>
        <w:ind w:left="1260" w:right="140" w:hanging="455"/>
        <w:spacing w:after="0" w:line="268" w:lineRule="auto"/>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provide Caterpillar the same warranty Caterpillar provides to its customers who purchase electric power generation products (one year from delivery to the end-user).</w:t>
      </w:r>
    </w:p>
    <w:p>
      <w:pPr>
        <w:spacing w:after="0" w:line="132"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Under our existing agreement, Caterpillar may continue to distribute Cat UPS until January 1, 2007. At such time the agreement will continue for additional six-month periods unless either party provides to the other,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within ninety days of the end of a period, written notice of its decision not to renew the distribution agreement. The agreement may also be terminated by Caterpillar if we fail to cure any material breach by us, if the Cat UPS we manufacture consistently and materially fails to meet our published specifications, or if we substantially and continuously fail to meet agreed shipment dates for products ordered by Caterpillar. Finally, either party may terminate the agreement in the event of a change of control of the other.</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To date, sales by Caterpillar have been short of the contractual minimums necessary for Caterpillar to retain semi-exclusivity; however, we have continued to work with Caterpillar as our primary UPS OEM customer and have not sold the UPS to any of Caterpillar’s identified competitors. Our agreement with Caterpillar expires in January 2007. While we intend to renew this agreement, and currently believe that Caterpillar intends to renew the agreement, we cannot be sure that such renewal will take place.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Eaton Electrical</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Eaton Electrical is a global leader in power systems technology and has a broad range of UPS products and services available worldwide. Eaton Electrical sells and services the CleanSource DC product with its own UPS, delivering a battery-free backup power solution. Eaton Electrical has a well-established sales and service network that allows it to provide an effective sales channel and quality service to our end-users around the world. We recently renewed our worldwide distribution agreement with a one-year term that gives Eaton Electrical the non-exclusive right to distribute and sell the CleanSource DC worldwide. Eaton Electrical is under no obligation to purchase any CleanSource DC units from 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 Consumer and Industrial</w:t>
      </w:r>
    </w:p>
    <w:p>
      <w:pPr>
        <w:spacing w:after="0" w:line="17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i w:val="1"/>
          <w:iCs w:val="1"/>
          <w:color w:val="auto"/>
        </w:rPr>
        <w:t>Purchase Agreement</w:t>
      </w:r>
      <w:r>
        <w:rPr>
          <w:rFonts w:ascii="Arial" w:cs="Arial" w:eastAsia="Arial" w:hAnsi="Arial"/>
          <w:sz w:val="18"/>
          <w:szCs w:val="18"/>
          <w:color w:val="auto"/>
        </w:rPr>
        <w:t>. We have a purchase agreement with GE Consumer and Industrial (formerly GE Digital Energy), a division of General Electric</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responsible for power quality equipment. GE has the non-exclusive right to purchase and sell our CleanSource DC products. Sales of our products through this channel were negligible in 2005; however, we have experienced and are anticipating additional sales of our CleanSource DC products through this channel in 2006.</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Sourcing Agreement. </w:t>
      </w:r>
      <w:r>
        <w:rPr>
          <w:rFonts w:ascii="Arial" w:cs="Arial" w:eastAsia="Arial" w:hAnsi="Arial"/>
          <w:sz w:val="18"/>
          <w:szCs w:val="18"/>
          <w:color w:val="auto"/>
        </w:rPr>
        <w:t>During 2005, GE Zenith Controls and Active Power entered into a long-term supply agreement for uninterruptible power supplies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accessories. This agreement allows us to buy and resell GE’s 60 Hz double-conversion UPS line in North America. In 2005 we began selling these GE UPS systems on a stand-alone basis themselves; and in 2006 they are being sold along side our CoolAir DC product through our direct and manufacturers’ representative sales channels.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CleanSource DC Distributors</w:t>
      </w:r>
    </w:p>
    <w:p>
      <w:pPr>
        <w:spacing w:after="0" w:line="17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addition to Caterpillar, Eaton Electrical and GE, we have distribution agreements with other OEM customers that have coverage in other geographical areas (e.g., Japan and The Republic of South Korea). To date, none of these distributors has generated significant revenue for us.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SELLING SECURITYHOLDERS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selling securityholders may be our directors, executive officers, former directors, employees, former employees or other holders of our common stock. The common stock that may be sold by the selling securityholders was issued in various private placements in connection with our founding and incorporation in August 1992 or may be acquired after the date hereof by the exercise of options held by certain of our officers, directors and employees. The prospectus supplement for any offering of the common stock by selling securityholders will include the following information:</w:t>
      </w:r>
    </w:p>
    <w:p>
      <w:pPr>
        <w:spacing w:after="0" w:line="153"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names of the selling securityholders;</w:t>
      </w:r>
    </w:p>
    <w:p>
      <w:pPr>
        <w:spacing w:after="0" w:line="9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nature of any position, office or other material relationship which each selling stockholder has had within the last three years with us or any of our predecessors or affiliates;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held by each of the selling securityholders before and after the offering;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percentage of the common stock held by each of the selling securityholders before and after the offering;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of our common stock offered by each of the selling securityholders.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is a summary of the key terms and provisions of our capital stock. You should refer to the applicable provisions of our restated certificate of incorporation, our amended and restated bylaws, the Delaware General Corporation Law and the documents that we have incorporated by reference, including the description of our common stock contained in our registration statement on Form 8-A (filed June 30, 2000) (including any amendment or report filed for the purpose of updating such description), the description of our stock purchase rights contained in our registration statement on Form 8-A (filed December 14, 2001) (including any amendment or report filed for the purpose of updating such description) and the description of the Series A Junior Participating Preferred Stock contained in our Form 8-K (filed December 14, 2001) (including any amendment or report filed for the purpose of updating such description) for a complete statement of the terms and rights of our capital stock. See “Where You Can Find More Information” beginning on page 48.</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of the date of this prospectus, we are authorized to issue up to 150,000,000 shares of common stock, par value $0.001 per share, and up to 10,000,000 shares of preferred stock, par value $0.001 per share. Of such shares of preferred stock, 400,000 have been designated as “Series A Junior Participating Preferred Stock,” the rights, preferences and privileges of which are set forth in the Certificate of Designation of Series A Junior Participating Preferred Stock of Active Power filed with the Secretary of State of Delaware on December 18, 2001 (a form of which is included as an exhibit to our Form 8-K (filed December 14, 2001), which is incorporated herein by reference). As of August 9, 2006 we had 49,817,101 shares of common stock and no shares of preferred stock issued and outstanding.</w:t>
      </w:r>
    </w:p>
    <w:p>
      <w:pPr>
        <w:spacing w:after="0" w:line="144" w:lineRule="exact"/>
        <w:rPr>
          <w:sz w:val="20"/>
          <w:szCs w:val="20"/>
          <w:color w:val="auto"/>
        </w:rPr>
      </w:pPr>
    </w:p>
    <w:p>
      <w:pPr>
        <w:ind w:right="240" w:firstLine="456"/>
        <w:spacing w:after="0" w:line="228" w:lineRule="auto"/>
        <w:rPr>
          <w:sz w:val="20"/>
          <w:szCs w:val="20"/>
          <w:color w:val="auto"/>
        </w:rPr>
      </w:pPr>
      <w:r>
        <w:rPr>
          <w:rFonts w:ascii="Arial" w:cs="Arial" w:eastAsia="Arial" w:hAnsi="Arial"/>
          <w:sz w:val="18"/>
          <w:szCs w:val="18"/>
          <w:color w:val="auto"/>
        </w:rPr>
        <w:t>The registrar and transfer agent for our common stock is American Stock Transfer &amp; Trust Company and its address is 6201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Avenue, Brooklyn, NY 11219.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All of the outstanding shares of common stock are, and the common stock offered by any prospectus supplement will be, validly issued, fully paid and nonassessable upon issuance against full payment of the purchase price. Each share of common stock has an equal and ratable right to receive dividends when, as and if declared by the board of directors out of assets legally available therefor and subject to the dividend obligations to the holders of any preferred stock then outstanding.</w:t>
      </w:r>
    </w:p>
    <w:p>
      <w:pPr>
        <w:spacing w:after="0" w:line="14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the event of our liquidation, dissolution or winding up, the holders of common stock are entitled to share equally and ratably in the assets available for distribution after payment of all liabilities and subject to any prior rights of any holders of preferred stock that at the time may be outstanding.</w:t>
      </w:r>
    </w:p>
    <w:p>
      <w:pPr>
        <w:spacing w:after="0" w:line="8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holders of common stock have no preemptive, subscription or conversion rights, and are not subject to further calls or assessments of Active Power. There are no redemption or sinking fund provisions applicable to the common stock. Each share of common stock is entitled to one vote in the election of directors and on all other matters submitted to a vote of stockholders. Holders of common stock have no right to cumulate their votes in the election of directors, such that the holders of a majority of the shares of common stock can elect all of the members of the board of directors standing for election.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Of the authorized shares of preferred stock, 400,000 shares have been designated as “Series A Junior Participating Preferred Stock,” the rights, preferences and privileges of which are set forth in the Certificate of Designation of Series A Junior Participating Preferred Stock of Active Power filed with the Secretary of State of Delaware on December 18, 2001, a summary and form of which can be found in our Form 8-K filed December 14, 2001, which is incorporated herein by reference. Shares of preferred stock may be issued from time to time in one or more series, and the board of directors, without further approval of the stockholders, is authorized to fix the dividend rates and terms, conversion rights, voting rights, redemption rights and terms, liquidation preferences and any other rights, preferences, privileges and restrictions applicable to each series of preferred stock. The purpose of</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authorizing the board of directors to determine such rights, preferences, privileges and restrictions is to allow such determinations to be made by the board of directors instead of the stockholders and to avoid the expense of, and eliminate delays associated with, a stockholder vote on specific issues.</w:t>
      </w:r>
    </w:p>
    <w:p>
      <w:pPr>
        <w:spacing w:after="0" w:line="8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Undesignated preferred stock may enable our board of directors to render more difficult or to discourage an attempt to obtain control of us by means of a tender offer, proxy contest, merger or otherwise, and to thereby protect the continuity of our management. As a result, the issuance of shares of a series of preferred stock may discourage bids for our common stock or may otherwise adversely affect the market price of our common stock or any other series of our preferred stock. The issuance of shares of preferred stock may also adversely affect the rights of the holders of our common stock. For example, any preferred stock issued will rank senior to our common stock as to dividend rights and liquidation preference, may have full or limited voting rights and may be convertible into shares of common stock or other securities.</w:t>
      </w:r>
    </w:p>
    <w:p>
      <w:pPr>
        <w:spacing w:after="0" w:line="144"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following description of the terms of the preferred stock sets forth some of the general terms and provisions of our authorized preferred stock. If we offer preferred stock under this prospectus or any accompanying prospectus supplement, the terms may include the following:</w:t>
      </w:r>
    </w:p>
    <w:p>
      <w:pPr>
        <w:spacing w:after="0" w:line="126"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of each such series and the designation thereof;</w:t>
      </w:r>
    </w:p>
    <w:p>
      <w:pPr>
        <w:spacing w:after="0" w:line="90" w:lineRule="exact"/>
        <w:rPr>
          <w:rFonts w:ascii="Arial" w:cs="Arial" w:eastAsia="Arial" w:hAnsi="Arial"/>
          <w:sz w:val="18"/>
          <w:szCs w:val="18"/>
          <w:color w:val="auto"/>
        </w:rPr>
      </w:pPr>
    </w:p>
    <w:p>
      <w:pPr>
        <w:jc w:val="both"/>
        <w:ind w:left="780" w:hanging="326"/>
        <w:spacing w:after="0" w:line="259"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annual rate or amount of dividends, if any, payable on shares of each such series (which dividends would be payable in preference to any dividends on common stock), whether such dividends shall be cumulative or non-cumulative and the conditions upon which and/or the date when such dividends shall be payable;</w:t>
      </w:r>
    </w:p>
    <w:p>
      <w:pPr>
        <w:spacing w:after="0" w:line="59"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shares of each such series shall be redeemable and, if so, the terms and conditions of such redemption, including the time or times when and the price or prices at which shares of each such series may be redeemed;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amount, if any, payable on shares of each such series in the event of liquidation, dissolution or winding up of the affairs of the Company;</w:t>
      </w:r>
    </w:p>
    <w:p>
      <w:pPr>
        <w:spacing w:after="0" w:line="113" w:lineRule="exact"/>
        <w:rPr>
          <w:rFonts w:ascii="Arial" w:cs="Arial" w:eastAsia="Arial" w:hAnsi="Arial"/>
          <w:sz w:val="16"/>
          <w:szCs w:val="16"/>
          <w:color w:val="auto"/>
        </w:rPr>
      </w:pPr>
    </w:p>
    <w:p>
      <w:pPr>
        <w:ind w:left="780" w:right="280" w:hanging="326"/>
        <w:spacing w:after="0" w:line="256"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shares of each such series shall be convertible into or exchangeable for shares of any other class, or any series of the same or any other class, and, if so, the terms and conditions thereof, including the price or prices or the rate or rates at which shares of each such series shall be so convertible or exchangeable, and the adjustment which shall be made, and the circumstances in which such adjustments shall be made, in such conversion or exchange prices or rates; and</w:t>
      </w:r>
    </w:p>
    <w:p>
      <w:pPr>
        <w:spacing w:after="0" w:line="62" w:lineRule="exact"/>
        <w:rPr>
          <w:rFonts w:ascii="Arial" w:cs="Arial" w:eastAsia="Arial" w:hAnsi="Arial"/>
          <w:sz w:val="18"/>
          <w:szCs w:val="18"/>
          <w:color w:val="auto"/>
        </w:rPr>
      </w:pPr>
    </w:p>
    <w:p>
      <w:pPr>
        <w:ind w:left="780" w:right="56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shares of each such series shall have any voting rights in addition to those prescribed by law and, if so, the terms and conditions of exercise of voting rights.</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This description of the terms of the preferred stock is not complete and will be subject to and qualified by the certificate of designation relating to any applicable series of preferred stock.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Any debt securities that we offer under a prospectus supplement will be direct, unsecured general obligations. The debt securities will be either senior debt securities or unsecured subordinated debt securities. The debt securities will be issued under one or more separate indentures between us and a banking or financial institution, as trustee. Senior debt securities will be issued under a senior debt indenture and subordinated debt securities will be issued under a subordinated debt indenture. Together the senior debt indenture and the subordinated indenture are called “indentures.” The indentures will be supplemented by supplemental indentures, the material provisions of which will be described in a prospectus supplement.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used in this description, the words “Active Power,” “we,” “us” and “our” refer to Active Power, Inc. and not to any of its subsidiaries or affiliates.</w:t>
      </w:r>
    </w:p>
    <w:p>
      <w:pPr>
        <w:spacing w:after="0" w:line="19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have summarized some of the material provisions of the indentures below. This summary does not restate those agreements in their entirety. A form of senior indenture and a form of subordinated indenture have been filed as exhibits to the registration statement of which this prospectus is a part. We urge you to read each of the indentures because each one, and not this description, defines the rights of holders of debt securities.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defined in the indentures have the same meanings when used in this prospectus.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debt securities issued under the indentures will be our direct, unsecured general obligations. The senior debt securities will rank equally with all of our other senior and unsubordinated debt. The subordinated debt securities will have a junior position to all of our senior debt.</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portion of our assets are held by operating subsidiaries, including Active Power (Switzerland) AG, Active Power (Germany) GmbH, and Active Power (Italy) S.r.l., as well as other direct and indirect subsidiaries that we may establish from time to time. With respect to these assets, holders of senior debt securities that are not guaranteed by our operating subsidiaries and holders of subordinated debt securities will have a position junior to the prior claims of creditors of these subsidiaries, including trade creditors, debtholders, secured creditors, taxing authorities, guarantee holders and any preferred stockholders, except to the extent that we may ourself be a creditor with recognized claims against any subsidiary. Our ability to pay the principal, premium, if any, and interest on any debt securities is, to a large extent, dependent upon the payment to us by our subsidiaries of dividends, debt principal and interest or other charges.</w:t>
      </w:r>
    </w:p>
    <w:p>
      <w:pPr>
        <w:spacing w:after="0" w:line="12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following description sets forth the general terms and provisions that could apply to debt securities that we may offer to sell. A prospectus supplement relating to any series of debt securities being offered will include specific terms relating to the offering. These terms will include some or all of the following:</w:t>
      </w:r>
    </w:p>
    <w:p>
      <w:pPr>
        <w:spacing w:after="0" w:line="103"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title and type of the debt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principal amount of the debt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issue price of the debt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minimum denominations of the debt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interest rate which the debt securities will bear and the interest payment dates for the debt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conversion or exchange features;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optional redemption periods;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some or all of the debt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when a specified event occurs;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 including provisions for original issue discount securities, if offered;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None of the indentures will limit the amount of debt securities that may be issued. Each indenture will allow debt securities to be issued up to the principal amount that may be authorized by us and may be in any currency or currency unit designated by us.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securities of a series may be issued in registered, bearer, certificated or global form.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Guarantees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the applicable prospectus supplement relating to a series of our senior debt securities provides that those senior debt securities will have the benefit of a guarantee by any or all of our operating subsidiaries, payment of the principal, premium, if any, and interest on those senior debt securities will be unconditionally guaranteed on an unsecured, unsubordinated basis by such subsidiary or subsidiaries. The guarantee of senior debt securities will rank equally in right of payment with all of the unsecured and unsubordinated indebtedness of such subsidiary or subsidiaries.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If the applicable prospectus supplement relating to a series of our subordinated debt securities provides that those subordinated debt securities will have the benefit of a guarantee by any or all of our operating subsidiaries, payment of the principal, premium, if any, and interest on those subordinated debt securities will be unconditionally guaranteed on an unsecured, subordinated basis by such subsidiary or subsidiaries. The guarantee of the subordinated debt securities will be subordinated in right of payment to all of such subsidiary’s or subsidiaries’ existing and future senior indebtedness (as defined in the related prospectus supplement), including any guarantee of the senior debt securities, to the same extent and in the same manner as the subordinated debt securities are subordinated to our senior indebtedness (as defined in the related prospectus supplement). See “—Subordination” below.</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obligations of our operating subsidiaries under any such guarantee will be limited as necessary to prevent the guarantee from constituting a fraudulent conveyance or fraudulent transfer under applicable law.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Under the indentures, we:</w:t>
      </w:r>
    </w:p>
    <w:p>
      <w:pPr>
        <w:spacing w:after="0" w:line="212"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 pay the principal of, interest and any premium on, the debt securities when due;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 maintain a place of payment;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 deliver a certificate to the trustee at the end of each fiscal year reviewing our obligations under the indentures;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 preserve our corporate existence;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 deposit sufficient funds with any paying agent on or before the due date for any principal, interest or premium.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and Sale of Assets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indentures will provide that we may not consolidate with or merge into any other person or sell, convey, transfer or lease all or substantially all of our properties and assets (on a consolidated basis) to another person, unless:</w:t>
      </w:r>
    </w:p>
    <w:p>
      <w:pPr>
        <w:spacing w:after="0" w:line="172" w:lineRule="exact"/>
        <w:rPr>
          <w:sz w:val="20"/>
          <w:szCs w:val="20"/>
          <w:color w:val="auto"/>
        </w:rPr>
      </w:pPr>
    </w:p>
    <w:p>
      <w:pPr>
        <w:ind w:left="780" w:right="180" w:hanging="326"/>
        <w:spacing w:after="0" w:line="370" w:lineRule="auto"/>
        <w:tabs>
          <w:tab w:leader="none" w:pos="7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either: (a) Active Power is the surviving corporation; or (b) the person or entity formed by or surviving any such conversion, consolidation, amalgamation or merger (if other than Active Power) or to which such sale, assignment, transfer, conveyance or other disposition has been made is a</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0"/>
        <w:spacing w:after="0" w:line="268" w:lineRule="auto"/>
        <w:rPr>
          <w:sz w:val="20"/>
          <w:szCs w:val="20"/>
          <w:color w:val="auto"/>
        </w:rPr>
      </w:pPr>
      <w:r>
        <w:rPr>
          <w:rFonts w:ascii="Arial" w:cs="Arial" w:eastAsia="Arial" w:hAnsi="Arial"/>
          <w:sz w:val="18"/>
          <w:szCs w:val="18"/>
          <w:color w:val="auto"/>
        </w:rPr>
        <w:t>corporation, limited liability company or limited partnership organized or existing under the laws of the United States, any state of the United States or the District of Columbia;</w:t>
      </w:r>
    </w:p>
    <w:p>
      <w:pPr>
        <w:spacing w:after="0" w:line="64" w:lineRule="exact"/>
        <w:rPr>
          <w:sz w:val="20"/>
          <w:szCs w:val="20"/>
          <w:color w:val="auto"/>
        </w:rPr>
      </w:pPr>
    </w:p>
    <w:p>
      <w:pPr>
        <w:ind w:left="780" w:right="20" w:hanging="326"/>
        <w:spacing w:after="0" w:line="298" w:lineRule="auto"/>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the person or entity formed by or surviving any such conversion, consolidation, amalgamation or merger (if other than Active Power) or the person or entity to which such sale, assignment, transfer, conveyance or other disposition has been made assumes all the obligations of Active Power under the securities and the indentures pursuant to agreements reasonably satisfactory to the trustee;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such person or entity is a corporation, a corporate co-issuer of the securities will be added to the applicable indenture by agreements reasonably satisfactory to the trustee;</w:t>
      </w:r>
    </w:p>
    <w:p>
      <w:pPr>
        <w:spacing w:after="0" w:line="31" w:lineRule="exact"/>
        <w:rPr>
          <w:rFonts w:ascii="Arial" w:cs="Arial" w:eastAsia="Arial" w:hAnsi="Arial"/>
          <w:sz w:val="16"/>
          <w:szCs w:val="16"/>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the successor will not immediately be in default under the indentures; and</w:t>
      </w:r>
    </w:p>
    <w:p>
      <w:pPr>
        <w:spacing w:after="0" w:line="9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deliver an officer’s certificate and opinion of counsel to the trustee stating that such consolidation or merger complies with the indenture and that all conditions precedent set forth in the indenture have been complied with.</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assumption of our obligations by a successor, we will be discharged from all obligations under the indentures.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when used in the indentures, with respect to debt securities of any series, will mean any of the following:</w:t>
      </w:r>
    </w:p>
    <w:p>
      <w:pPr>
        <w:spacing w:after="0" w:line="90" w:lineRule="exact"/>
        <w:rPr>
          <w:sz w:val="20"/>
          <w:szCs w:val="20"/>
          <w:color w:val="auto"/>
        </w:rPr>
      </w:pPr>
    </w:p>
    <w:p>
      <w:pPr>
        <w:ind w:left="780" w:right="38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debt security of that series at its maturity;</w:t>
      </w:r>
    </w:p>
    <w:p>
      <w:pPr>
        <w:spacing w:after="0" w:line="90" w:lineRule="exact"/>
        <w:rPr>
          <w:rFonts w:ascii="Arial" w:cs="Arial" w:eastAsia="Arial" w:hAnsi="Arial"/>
          <w:sz w:val="18"/>
          <w:szCs w:val="18"/>
          <w:color w:val="auto"/>
        </w:rPr>
      </w:pPr>
    </w:p>
    <w:p>
      <w:pPr>
        <w:ind w:left="780" w:right="120" w:hanging="326"/>
        <w:spacing w:after="0" w:line="291"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default in the performance, or breach, of any covenant set forth in Article Ten of the indenture (other than a default in a covenant whose performance or whose breach is elsewhere specifically dealt with as an event of default or which has expressly been included in the indenture solely for the benefit of series of debt securities other than that series) and continuance of such default or breach for a period of 90 days after there has been given, by registered or certified mail, to Active Power by the trustee or to Active Power and the trustee by the holders of at least 25% in principal amount of the then-outstanding debt securities of that series a written notice specifying such default or breach and requiring it to be remedied and stating that such notice is a “Notice of Default” thereunder;</w:t>
      </w:r>
    </w:p>
    <w:p>
      <w:pPr>
        <w:spacing w:after="0" w:line="39" w:lineRule="exact"/>
        <w:rPr>
          <w:rFonts w:ascii="Arial" w:cs="Arial" w:eastAsia="Arial" w:hAnsi="Arial"/>
          <w:sz w:val="16"/>
          <w:szCs w:val="16"/>
          <w:color w:val="auto"/>
        </w:rPr>
      </w:pPr>
    </w:p>
    <w:p>
      <w:pPr>
        <w:ind w:left="780" w:right="20" w:hanging="326"/>
        <w:spacing w:after="0" w:line="291"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default in the performance, or breach, of any covenant in the indenture (other than a covenant in set forth in Article Ten of the indenture or any other covenant a default in whose performance or whose breach is elsewhere specifically dealt with as an event of default or which has expressly been included in the indenture solely for the benefit of series of debt securities other than that series), and continuance of such default or breach for a period of 120 days after there has been given, by registered or certified mail, to Active Power by the trustee or to Active Power and the trustee by the holders of at least 25% in principal amount of the then-outstanding debt securities of that series a written notice specifying such default or breach and requiring it to be remedied and stating that such notice is a “Notice of Default” thereunder;</w:t>
      </w:r>
    </w:p>
    <w:p>
      <w:pPr>
        <w:spacing w:after="0" w:line="39" w:lineRule="exact"/>
        <w:rPr>
          <w:rFonts w:ascii="Arial" w:cs="Arial" w:eastAsia="Arial" w:hAnsi="Arial"/>
          <w:sz w:val="16"/>
          <w:szCs w:val="16"/>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events of bankruptcy;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due; or</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in accordance with provisions of the indenture related to the issuance of debt securities.</w:t>
      </w:r>
    </w:p>
    <w:p>
      <w:pPr>
        <w:spacing w:after="0" w:line="13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an indenture. The trustee may withhold notice to the holders of debt securities of any default (except in the payment of principal, interest or any premium) if it considers the withholding of notice to be in the interests of the 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 specified percentage in aggregate principal amount of the debt securities of the series may declare the entire principal of all the debt securities of that series to be due and payable immediately. If this happens, subject to certain conditions, the holders of a specified percentage of the aggregate principal amount of the debt securities of that series can void the declaration.</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Other than its duties in case of a default, a trustee is not obligated to exercise any of its rights or powers under any indenture at the request, order or direction of any holders, unless the holders offer the trustee reasonable indemnity. If they provide this reasonable indemnification, the holders of a majority in principal amount outstanding of any series of debt securities may direct the time, method and place of conducting any proceeding or any remedy available to the trustee, or exercising any power conferred upon the trustee, for any series of debt securities.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Waivers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Subject to certain exceptions, the indentures, the securities issued thereunder or the subsidiary guarantees may be amended or supplemented with the consent of the holders of a majority in aggregate principal amount of the then-outstanding securities of each series of securities affected by such amendment or supplemental indenture, with each such series voting as a separate series (including without limitation, consents obtained in connection with a purchase of, or tender offer or exchange offer for, securities) and, subject to certain exceptions, any past default or compliance with any provisions may be waived with respect to each series of securities with the consent of the holders of a majority in principal amount of the then-outstanding securities of such series voting as a separate class (including consents obtained in connection with a purchase of, or tender offer or exchange offer for, securities).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Without the consent of each holder of the outstanding debt security affected, an amendment or waiver may not, among other things:</w:t>
      </w:r>
    </w:p>
    <w:p>
      <w:pPr>
        <w:spacing w:after="0" w:line="90" w:lineRule="exact"/>
        <w:rPr>
          <w:sz w:val="20"/>
          <w:szCs w:val="20"/>
          <w:color w:val="auto"/>
        </w:rPr>
      </w:pPr>
    </w:p>
    <w:p>
      <w:pPr>
        <w:ind w:left="780" w:right="40" w:hanging="326"/>
        <w:spacing w:after="0" w:line="254"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debt security, or reduce the principal amount thereof or the rate of interest thereon or any premium payable upon the redemption thereof, or reduce the amount of the principal of an original issue discount security that would be due and payable upon a declaration of acceleration of the maturity thereof pursuant to the indenture, or change any place of payment where, or the coin or currency in which, any debt security or any premium or the interest thereon is payable, or impair the right to institute suit for the enforcement of any such payment on or after the stated maturity thereof (or, in the case of redemption, on or after the redemption date therefor),</w:t>
      </w:r>
    </w:p>
    <w:p>
      <w:pPr>
        <w:spacing w:after="0" w:line="63" w:lineRule="exact"/>
        <w:rPr>
          <w:rFonts w:ascii="Arial" w:cs="Arial" w:eastAsia="Arial" w:hAnsi="Arial"/>
          <w:sz w:val="18"/>
          <w:szCs w:val="18"/>
          <w:color w:val="auto"/>
        </w:rPr>
      </w:pPr>
    </w:p>
    <w:p>
      <w:pPr>
        <w:jc w:val="both"/>
        <w:ind w:left="780" w:right="180" w:hanging="326"/>
        <w:spacing w:after="0" w:line="259"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percentage in principal amount of the then-outstanding debt securities of any series, the consent of whose holders is required for any such supplemental indenture, or the consent of whose holders is required for any waiver (of compliance with certain provisions of the indenture or certain defaults thereunder and their consequences) provided for in the indenture,</w:t>
      </w:r>
    </w:p>
    <w:p>
      <w:pPr>
        <w:spacing w:after="0" w:line="59" w:lineRule="exact"/>
        <w:rPr>
          <w:rFonts w:ascii="Arial" w:cs="Arial" w:eastAsia="Arial" w:hAnsi="Arial"/>
          <w:sz w:val="18"/>
          <w:szCs w:val="18"/>
          <w:color w:val="auto"/>
        </w:rPr>
      </w:pPr>
    </w:p>
    <w:p>
      <w:pPr>
        <w:ind w:left="780" w:right="160" w:hanging="326"/>
        <w:spacing w:after="0" w:line="290" w:lineRule="auto"/>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modify any of the provisions set forth in (i) sections related to matters addressed in items in the third paragraph of this caption, “– Amendments and Waivers,” immediately below, (ii) the provisions of the indenture related to the holder’s unconditional right to receive principal, premium, if any, and interest on the debt securities or (iii) the provisions of the indenture related to the waiver of past defaults under the indenture except to increase any such percentage or to provide that certain other provisions of the indenture cannot be modified or waived without the consent of the holder of each then-outstanding debt security affected thereby;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clause shall not be deemed to require the consent of any holder with respect to changes in the references to “the trustee” and concomitant changes in this section of the indenture, or the deletion of this proviso in the indenture, in accordance with the requirements of the indenture;</w:t>
      </w:r>
    </w:p>
    <w:p>
      <w:pPr>
        <w:spacing w:after="0" w:line="37" w:lineRule="exact"/>
        <w:rPr>
          <w:rFonts w:ascii="Arial" w:cs="Arial" w:eastAsia="Arial" w:hAnsi="Arial"/>
          <w:sz w:val="16"/>
          <w:szCs w:val="16"/>
          <w:color w:val="auto"/>
        </w:rPr>
      </w:pPr>
    </w:p>
    <w:p>
      <w:pPr>
        <w:ind w:left="780" w:right="460" w:hanging="326"/>
        <w:spacing w:after="0" w:line="26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waive a redemption payment with respect to any debt security;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purchase or repurchase of debt securities shall not be deemed a redemption of the debt securities;</w:t>
      </w:r>
    </w:p>
    <w:p>
      <w:pPr>
        <w:spacing w:after="0" w:line="50" w:lineRule="exact"/>
        <w:rPr>
          <w:rFonts w:ascii="Arial" w:cs="Arial" w:eastAsia="Arial" w:hAnsi="Arial"/>
          <w:sz w:val="18"/>
          <w:szCs w:val="18"/>
          <w:color w:val="auto"/>
        </w:rPr>
      </w:pPr>
    </w:p>
    <w:p>
      <w:pPr>
        <w:ind w:left="780" w:right="560" w:hanging="326"/>
        <w:spacing w:after="0" w:line="26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release any guarantor from any of its obligations under its guarantee or the indenture, except in accordance with the terms of the indenture (as supplemented by any supplemental indenture);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any change in the foregoing amendment and waiver provisions.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Notwithstanding the foregoing, without the consent of any holder of securities, Active Power, the guarantors and the trustee may amend the indentures or the securities issued thereunder to:</w:t>
      </w:r>
    </w:p>
    <w:p>
      <w:pPr>
        <w:spacing w:after="0" w:line="51"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cure any ambiguity or to correct or supplement any provision herein that may be inconsistent with any other provision therein;</w:t>
      </w:r>
    </w:p>
    <w:p>
      <w:pPr>
        <w:spacing w:after="0" w:line="90"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evidence the succession of another person or entity to Active Power and the assumption by any such successor of the covenants of Active Power therein and, to the extent applicable, to the debt securities;</w:t>
      </w:r>
    </w:p>
    <w:p>
      <w:pPr>
        <w:spacing w:after="0" w:line="50" w:lineRule="exact"/>
        <w:rPr>
          <w:rFonts w:ascii="Arial" w:cs="Arial" w:eastAsia="Arial" w:hAnsi="Arial"/>
          <w:sz w:val="18"/>
          <w:szCs w:val="18"/>
          <w:color w:val="auto"/>
        </w:rPr>
      </w:pPr>
    </w:p>
    <w:p>
      <w:pPr>
        <w:jc w:val="both"/>
        <w:ind w:left="780" w:right="180" w:hanging="326"/>
        <w:spacing w:after="0" w:line="259"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to provide for uncertificated debt securities in addition to or in place of certificated debt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uncertificated debt securities are issued in registered form for purposes of Section 163(f) of the Internal Revenue Code or in the manner such that the uncertificated debt securities are described in Section 163(f)(2)(B) of the Internal Revenue Code;</w:t>
      </w:r>
    </w:p>
    <w:p>
      <w:pPr>
        <w:spacing w:after="0" w:line="59" w:lineRule="exact"/>
        <w:rPr>
          <w:rFonts w:ascii="Arial" w:cs="Arial" w:eastAsia="Arial" w:hAnsi="Arial"/>
          <w:sz w:val="18"/>
          <w:szCs w:val="18"/>
          <w:color w:val="auto"/>
        </w:rPr>
      </w:pPr>
    </w:p>
    <w:p>
      <w:pPr>
        <w:ind w:left="780" w:right="80" w:hanging="326"/>
        <w:spacing w:after="0" w:line="259"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add a guarantee and cause any person or entity to become a guarantor, and/or to evidence the succession of another person or entity to a guarantor and the assumption by any such successor of the guarantee of such guarantor herein and, to the extent applicable, endorsed upon any debt securities of any series;</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secure the debt securities of any series;</w:t>
      </w:r>
    </w:p>
    <w:p>
      <w:pPr>
        <w:spacing w:after="0" w:line="90" w:lineRule="exact"/>
        <w:rPr>
          <w:rFonts w:ascii="Arial" w:cs="Arial" w:eastAsia="Arial" w:hAnsi="Arial"/>
          <w:sz w:val="18"/>
          <w:szCs w:val="18"/>
          <w:color w:val="auto"/>
        </w:rPr>
      </w:pPr>
    </w:p>
    <w:p>
      <w:pPr>
        <w:ind w:left="780" w:right="100" w:hanging="326"/>
        <w:spacing w:after="0" w:line="287" w:lineRule="auto"/>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to add to the covenants of Active Power such further covenants, restrictions, conditions or provisions as Active Power shall consider to be appropriate for the benefit of the holders of all or any series of debt securities (and if such covenants, restrictions, conditions or provisions are to be for the benefit of less than all series of debt securities, stating that such covenants are expressly being included solely for the benefit of such series) or to surrender any right or power herein conferred upon Active Power and to make the occurrence, or the occurrence and continuance, of a default in any such additional covenants, restrictions, conditions or provisions an event of default permitting the enforcement of all or any of the several remedies provided in the indenture as set forth therein;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debt securities of such series to waive such an event of default;</w:t>
      </w:r>
    </w:p>
    <w:p>
      <w:pPr>
        <w:spacing w:after="0" w:line="41" w:lineRule="exact"/>
        <w:rPr>
          <w:rFonts w:ascii="Arial" w:cs="Arial" w:eastAsia="Arial" w:hAnsi="Arial"/>
          <w:sz w:val="16"/>
          <w:szCs w:val="16"/>
          <w:color w:val="auto"/>
        </w:rPr>
      </w:pPr>
    </w:p>
    <w:p>
      <w:pPr>
        <w:ind w:left="780" w:hanging="326"/>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make any change to any provision of the indenture that does not adversely affect the rights or interests of any holder of debt securities;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provide for the issuance of additional debt securities in accordance with the provisions set forth in the indenture on the date of the indenture;</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add any additional defaults or events of default in respect of all or any series of debt securities;</w:t>
      </w:r>
    </w:p>
    <w:p>
      <w:pPr>
        <w:spacing w:after="0" w:line="90"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the indenture to such extent as shall be necessary to permit or facilitate the issuance of debt securities in bearer form, registrable or not registrable as to principal, and with or without interest coupons;</w:t>
      </w:r>
    </w:p>
    <w:p>
      <w:pPr>
        <w:spacing w:after="0" w:line="50" w:lineRule="exact"/>
        <w:rPr>
          <w:rFonts w:ascii="Arial" w:cs="Arial" w:eastAsia="Arial" w:hAnsi="Arial"/>
          <w:sz w:val="18"/>
          <w:szCs w:val="18"/>
          <w:color w:val="auto"/>
        </w:rPr>
      </w:pPr>
    </w:p>
    <w:p>
      <w:pPr>
        <w:ind w:left="780" w:right="60" w:hanging="326"/>
        <w:spacing w:after="0" w:line="357" w:lineRule="auto"/>
        <w:tabs>
          <w:tab w:leader="none" w:pos="7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 xml:space="preserve">to change or eliminate any of the provisions of the indenture;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such change or elimination shall become effective only when there is no debt security outstanding of any series created prior to the execution of such supplemental indenture that is entitled to the benefit of such provision;</w:t>
      </w:r>
    </w:p>
    <w:p>
      <w:pPr>
        <w:ind w:left="780" w:right="6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 as permitted thereunder, including to reopen any series of any debt securities as permitted thereunder;</w:t>
      </w:r>
    </w:p>
    <w:p>
      <w:pPr>
        <w:spacing w:after="0" w:line="50"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debt securities of one or more series and to add to or change any of the provisions of the indenture as shall be necessary to provide for or facilitate the administration of the trusts hereunder by more than one trustee, pursuant to the requirements of the indenture;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80" w:hanging="326"/>
        <w:spacing w:after="0" w:line="256"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conform the text of the indenture (and/or any supplemental indenture) or any debt securities issued thereunder to any provision of a description of such debt securities appearing in a prospectus or prospectus supplement or an offering memorandum or offering circular to the extent that such provision was intended to be a verbatim recreation of a provision of the indenture (and/or any supplemental indenture) or any debt securities issued thereunder; or</w:t>
      </w:r>
    </w:p>
    <w:p>
      <w:pPr>
        <w:spacing w:after="0" w:line="62"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modify, eliminate or add to the provisions of the indenture to such extent as shall be necessary to effect the qualification of the indenture under the Trust Indenture Act or under any similar federal statute subsequently enacted, and to add to the indenture such other provisions as may be expressly required under the Trust Indenture Act.</w:t>
      </w:r>
    </w:p>
    <w:p>
      <w:pPr>
        <w:spacing w:after="0" w:line="14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Under the indentures the consent of the holders is not necessary to approve the particular form of any proposed amendment. It is sufficient if such consent approves the substance of the proposed amendment. After an amendment under the indentures becomes effective, Active Power is required to mail to the holders a notice briefly describing such amendment. However, the failure to give such notice to all the holders, or any defect therein, will not impair or affect the validity of the amendment.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77"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Active Power may, at its option and at any time, elect to have all of its obligations discharged with respect to the outstanding debt securities and all obligations of any guarantors of the debt securities discharged with respect to their guarantees (“Legal Defeasance”) except for:</w:t>
      </w:r>
    </w:p>
    <w:p>
      <w:pPr>
        <w:spacing w:after="0" w:line="4" w:lineRule="exact"/>
        <w:rPr>
          <w:sz w:val="20"/>
          <w:szCs w:val="20"/>
          <w:color w:val="auto"/>
        </w:rPr>
      </w:pPr>
    </w:p>
    <w:p>
      <w:pPr>
        <w:ind w:left="780" w:right="50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payments in respect of the principal of, or interest or premium, if any, on such debt securities when such payments are due from the trust referred to below;</w:t>
      </w:r>
    </w:p>
    <w:p>
      <w:pPr>
        <w:spacing w:after="0" w:line="50" w:lineRule="exact"/>
        <w:rPr>
          <w:rFonts w:ascii="Arial" w:cs="Arial" w:eastAsia="Arial" w:hAnsi="Arial"/>
          <w:sz w:val="18"/>
          <w:szCs w:val="18"/>
          <w:color w:val="auto"/>
        </w:rPr>
      </w:pPr>
    </w:p>
    <w:p>
      <w:pPr>
        <w:ind w:left="780" w:right="200" w:hanging="326"/>
        <w:spacing w:after="0" w:line="357" w:lineRule="auto"/>
        <w:tabs>
          <w:tab w:leader="none" w:pos="7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Active Power’s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ind w:left="780" w:hanging="326"/>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and Active Power’s and each guarantor’s obligations in connection therewith;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Active Power may, at its option and at any time, elect to have the obligations of Active Power released with respect to certain provisions of the indenture, including certain provisions set forth in any supplemental indenture (such release and termination being referred to as “Covenant Defeasance”), and thereafter any omission to comply with such obligations or provisions will not constitute a default or event of default. In the event Covenant Defeasance occurs in accordance with the indenture, the events of default described under the third and fourth items of the first paragraph under the caption “– Events of Default”, in each case, will no longer constitute an event of default.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212" w:lineRule="exact"/>
        <w:rPr>
          <w:sz w:val="20"/>
          <w:szCs w:val="20"/>
          <w:color w:val="auto"/>
        </w:rPr>
      </w:pPr>
    </w:p>
    <w:p>
      <w:pPr>
        <w:ind w:left="780" w:hanging="326"/>
        <w:spacing w:after="0" w:line="294" w:lineRule="auto"/>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Active Power must irrevocably deposit with the trustee, in trust, for the benefit of the holders of the debt securities, cash in U.S. dollars, non-callable government securities, or a combination of cash in U.S. dollars and non-callable U.S. government securities, in amounts as will be sufficient, in the opinion of a nationally recognized investment bank, appraisal firm or firm of independent public accountants to pay the principal of, or interest and premium, if any, on the outstanding debt securities on the stated date for payment thereof or on the applicable redemption date, as the case may be, and Active Power must specify whether the debt securities are being defeased to such stated date for payment or to a particular redemption date;</w:t>
      </w:r>
    </w:p>
    <w:p>
      <w:pPr>
        <w:spacing w:after="0" w:line="34" w:lineRule="exact"/>
        <w:rPr>
          <w:rFonts w:ascii="Arial" w:cs="Arial" w:eastAsia="Arial" w:hAnsi="Arial"/>
          <w:sz w:val="16"/>
          <w:szCs w:val="16"/>
          <w:color w:val="auto"/>
        </w:rPr>
      </w:pPr>
    </w:p>
    <w:p>
      <w:pPr>
        <w:ind w:left="780" w:hanging="326"/>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the case of Legal Defeasance, Active Power has delivered to the trustee an opinion of counsel reasonably acceptable to the trustee confirming that</w:t>
      </w:r>
    </w:p>
    <w:p>
      <w:pPr>
        <w:spacing w:after="0" w:line="38"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8"/>
          <w:szCs w:val="18"/>
          <w:color w:val="auto"/>
        </w:rPr>
        <w:t>(a) Active Power has received from, or there has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40"/>
        <w:spacing w:after="0" w:line="323" w:lineRule="auto"/>
        <w:rPr>
          <w:sz w:val="20"/>
          <w:szCs w:val="20"/>
          <w:color w:val="auto"/>
        </w:rPr>
      </w:pPr>
      <w:r>
        <w:rPr>
          <w:rFonts w:ascii="Arial" w:cs="Arial" w:eastAsia="Arial" w:hAnsi="Arial"/>
          <w:sz w:val="15"/>
          <w:szCs w:val="15"/>
          <w:color w:val="auto"/>
        </w:rPr>
        <w:t>been published by, the Internal Revenue Service a ruling or (b) since the issue date of the debt securities, there has been a change in the applicable federal income tax law, in either case to the effect that, and based thereon such opinion of counsel will confirm that, the holders of the outstanding notes will not recognize income, gain or loss for federal income tax purposes as a result of such Legal Defeasance and will be subject to federal income tax on the same amounts, in the same manner and at the same time as would have been the case if such Legal Defeasance had not occurred;</w:t>
      </w:r>
    </w:p>
    <w:p>
      <w:pPr>
        <w:spacing w:after="0" w:line="30" w:lineRule="exact"/>
        <w:rPr>
          <w:sz w:val="20"/>
          <w:szCs w:val="20"/>
          <w:color w:val="auto"/>
        </w:rPr>
      </w:pPr>
    </w:p>
    <w:p>
      <w:pPr>
        <w:ind w:left="780" w:right="120" w:hanging="326"/>
        <w:spacing w:after="0" w:line="256"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Covenant Defeasance, Active Power has delivered to the trustee an opinion of counsel reasonably acceptable to the trustee confirming that the holders of the outstanding debt securities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w:t>
      </w:r>
    </w:p>
    <w:p>
      <w:pPr>
        <w:spacing w:after="0" w:line="5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deposit will not result in a breach or violation of, or constitute a default under, any other instrument to which Active Power or any guarantor is a party or by which Active Power or any guarantor is bound;</w:t>
      </w:r>
    </w:p>
    <w:p>
      <w:pPr>
        <w:spacing w:after="0" w:line="50" w:lineRule="exact"/>
        <w:rPr>
          <w:rFonts w:ascii="Arial" w:cs="Arial" w:eastAsia="Arial" w:hAnsi="Arial"/>
          <w:sz w:val="18"/>
          <w:szCs w:val="18"/>
          <w:color w:val="auto"/>
        </w:rPr>
      </w:pPr>
    </w:p>
    <w:p>
      <w:pPr>
        <w:ind w:left="780" w:right="120" w:hanging="326"/>
        <w:spacing w:after="0" w:line="259"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Active Power or any of its subsidiaries is a party or by which Active Power or any of its subsidiaries is bound;</w:t>
      </w:r>
    </w:p>
    <w:p>
      <w:pPr>
        <w:spacing w:after="0" w:line="59" w:lineRule="exact"/>
        <w:rPr>
          <w:rFonts w:ascii="Arial" w:cs="Arial" w:eastAsia="Arial" w:hAnsi="Arial"/>
          <w:sz w:val="18"/>
          <w:szCs w:val="18"/>
          <w:color w:val="auto"/>
        </w:rPr>
      </w:pPr>
    </w:p>
    <w:p>
      <w:pPr>
        <w:ind w:left="780" w:right="80" w:hanging="326"/>
        <w:spacing w:after="0" w:line="259"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Active Power must deliver to the trustee an officers’ certificate stating that the deposit was not made by Active Power with the intent of preferring the holders of debt securities over the other creditors of Active Power with the intent of defeating, hindering, delaying or defrauding creditors of Active Power or others;</w:t>
      </w:r>
    </w:p>
    <w:p>
      <w:pPr>
        <w:spacing w:after="0" w:line="59"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Active Power must deliver to the trustee an officers’ certificate, stating that all conditions precedent set forth in the first through the seventh items of this paragraph have been complied with; and</w:t>
      </w:r>
    </w:p>
    <w:p>
      <w:pPr>
        <w:spacing w:after="0" w:line="50" w:lineRule="exact"/>
        <w:rPr>
          <w:rFonts w:ascii="Arial" w:cs="Arial" w:eastAsia="Arial" w:hAnsi="Arial"/>
          <w:sz w:val="18"/>
          <w:szCs w:val="18"/>
          <w:color w:val="auto"/>
        </w:rPr>
      </w:pPr>
    </w:p>
    <w:p>
      <w:pPr>
        <w:jc w:val="both"/>
        <w:ind w:left="780" w:right="40" w:hanging="326"/>
        <w:spacing w:after="0" w:line="306" w:lineRule="auto"/>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Active Power must deliver to the trustee an opinion of counsel (which opinion of counsel may be subject to customary assumptions, qualifications and exclusions), stating that all conditions precedent set forth in the second, third and fifth items of this paragraph have been complied with;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opinion of counsel with respect to the fifth item of this paragraph may be to the knowledge of such counsel.</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indentures will be discharged and will cease to be of further effect (except as to surviving rights of registration of transfer or exchange of the securities, as expressly provided for in the indenture) as to all outstanding securities issued thereunder and the guarantees issued thereunder when:</w:t>
      </w:r>
    </w:p>
    <w:p>
      <w:pPr>
        <w:spacing w:after="0" w:line="4" w:lineRule="exact"/>
        <w:rPr>
          <w:sz w:val="20"/>
          <w:szCs w:val="20"/>
          <w:color w:val="auto"/>
        </w:rPr>
      </w:pPr>
    </w:p>
    <w:p>
      <w:pPr>
        <w:ind w:left="780" w:right="80" w:hanging="326"/>
        <w:spacing w:after="0" w:line="303" w:lineRule="auto"/>
        <w:tabs>
          <w:tab w:leader="none" w:pos="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either (a) all the securities theretofore authenticated and delivered (except lost, stolen or destroyed securities that have been replaced or paid and securities for whose payment money or certain United States governmental obligations have theretofore been deposited in trust or segregated and held in trust by Active Power and thereafter repaid to Active Power or discharged from such trust) have been delivered to the trustee for cancellation or</w:t>
      </w:r>
    </w:p>
    <w:p>
      <w:pPr>
        <w:spacing w:after="0" w:line="1" w:lineRule="exact"/>
        <w:rPr>
          <w:rFonts w:ascii="Arial" w:cs="Arial" w:eastAsia="Arial" w:hAnsi="Arial"/>
          <w:sz w:val="15"/>
          <w:szCs w:val="15"/>
          <w:color w:val="auto"/>
        </w:rPr>
      </w:pPr>
    </w:p>
    <w:p>
      <w:pPr>
        <w:ind w:left="780" w:right="20"/>
        <w:spacing w:after="0" w:line="287" w:lineRule="auto"/>
        <w:rPr>
          <w:rFonts w:ascii="Arial" w:cs="Arial" w:eastAsia="Arial" w:hAnsi="Arial"/>
          <w:sz w:val="15"/>
          <w:szCs w:val="15"/>
          <w:color w:val="auto"/>
        </w:rPr>
      </w:pPr>
      <w:r>
        <w:rPr>
          <w:rFonts w:ascii="Arial" w:cs="Arial" w:eastAsia="Arial" w:hAnsi="Arial"/>
          <w:sz w:val="16"/>
          <w:szCs w:val="16"/>
          <w:color w:val="auto"/>
        </w:rPr>
        <w:t>(b) all securities not theretofore delivered to the trustee for cancellation have become due and payable or will become due and payable at their stated maturity within one year, or are to be called for redemption within one year under arrangements satisfactory to the trustee for the giving of notice of redemption by the trustee in the name, and at the expense, of Active Power, and Active Power or the guarantors have irrevocably deposited or caused to be deposited with the trustee funds or U.S. government obligations, or a combination thereof, in an amount sufficient to pay and discharge the entire indebtedness on the securities not theretofore delivered to the trustee for cancellation, for principal of and premium, if any, on and interest on the securities to the date of deposit (in the case of securities that have become due and payable) or to the stated maturity or redemption date, as the case may be, together with instructions from Active Power irrevocably directing the trustee to apply such funds to the payment thereof at maturity or redemption, as the case may be;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Active Power or the subsidiary guarantors have paid all other sums then due and payable under the indenture by Active Power; and</w:t>
      </w:r>
    </w:p>
    <w:p>
      <w:pPr>
        <w:spacing w:after="0" w:line="9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Active Power has delivered to the trustee an officers’ certificate and an opinion of counsel, which, taken together, state that all conditions precedent under the indenture relating to the satisfaction and discharge of the indenture have been complied with.</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Partners and Stockholders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 director, officer, employee, incorporator, partner or stockholder of Active Power or any guarantor, as such, shall have any liability for any obligations of Active Power or the guarantors under the securities, the indentures, the guarantees or for any claim based on, in respect of, or by reason of, such obligations or their creation. Each holder, upon Active Power’s issuance of the securities and execution of the indentures, waives and releases all such liability. The waiver and release are part of the consideration for issuance of the securities. Such waiver may not be effective to waive liabilities under the federal securities laws, and it is the view of the SEC that such a waiver is against public policy.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Unless stated otherwise in the prospectus supplement for each issuance of debt securities, the securities will be issued in denominations of $2,000 each and integral multiples of $1,000.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trustee will initially act as paying agent and registrar for the securities. Active Power may change the paying agent or registrar without prior notice to the holders of the securities, and Active Power may act as paying agent or registrar.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 holder may transfer or exchange securities in accordance with the indentures. The registrar and the trustee may require a holder, among other things, to furnish appropriate endorsements and transfer documents and Active Power may require a holder to pay any taxes and fees required by law or permitted by the applicable indenture. Active Power is not required to transfer or exchange any security selected for redemption. Also, Active Power is not required to transfer or exchange any security for a period of 15 days before a selection of securities to be redeemed.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payment of principal of, premium, if any, and interest on, subordinated debt securities and any other payment obligations of Active Power in respect of subordinated debt securities (including any obligation to repurchase subordinated debt securities) is subordinated in certain circumstances in right of payment, as set forth in the subordinated indenture, to the prior payment in full in cash of all senior debt.</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Active Power also may not make any payment, whether by redemption, purchase, retirement, defeasance or otherwise, upon or in respect of subordinated debt securities, except from the trust described under “— Legal Defeasance and Covenant Defeasance,” if</w:t>
      </w:r>
    </w:p>
    <w:p>
      <w:pPr>
        <w:spacing w:after="0" w:line="172"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default in the payment of the principal of all or any portion of the obligations on any senior debt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90" w:lineRule="exact"/>
        <w:rPr>
          <w:rFonts w:ascii="Arial" w:cs="Arial" w:eastAsia="Arial" w:hAnsi="Arial"/>
          <w:sz w:val="18"/>
          <w:szCs w:val="18"/>
          <w:color w:val="auto"/>
        </w:rPr>
      </w:pPr>
    </w:p>
    <w:p>
      <w:pPr>
        <w:ind w:left="780" w:right="260" w:hanging="326"/>
        <w:spacing w:after="0" w:line="306" w:lineRule="auto"/>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other default occurs and is continuing with respect to designated senior debt pursuant to which the maturity thereof may be accelerated (“</w:t>
      </w:r>
      <w:r>
        <w:rPr>
          <w:rFonts w:ascii="Arial" w:cs="Arial" w:eastAsia="Arial" w:hAnsi="Arial"/>
          <w:sz w:val="16"/>
          <w:szCs w:val="16"/>
          <w:i w:val="1"/>
          <w:iCs w:val="1"/>
          <w:color w:val="auto"/>
        </w:rPr>
        <w:t>non-payment default</w:t>
      </w:r>
      <w:r>
        <w:rPr>
          <w:rFonts w:ascii="Arial" w:cs="Arial" w:eastAsia="Arial" w:hAnsi="Arial"/>
          <w:sz w:val="16"/>
          <w:szCs w:val="16"/>
          <w:color w:val="auto"/>
        </w:rPr>
        <w:t>”) and, solely with respect to this clause, the trustee for the subordinated debt securities receives a notice of the default (a “</w:t>
      </w:r>
      <w:r>
        <w:rPr>
          <w:rFonts w:ascii="Arial" w:cs="Arial" w:eastAsia="Arial" w:hAnsi="Arial"/>
          <w:sz w:val="16"/>
          <w:szCs w:val="16"/>
          <w:i w:val="1"/>
          <w:iCs w:val="1"/>
          <w:color w:val="auto"/>
        </w:rPr>
        <w:t>Payment Blockage Notice</w:t>
      </w:r>
      <w:r>
        <w:rPr>
          <w:rFonts w:ascii="Arial" w:cs="Arial" w:eastAsia="Arial" w:hAnsi="Arial"/>
          <w:sz w:val="16"/>
          <w:szCs w:val="16"/>
          <w:color w:val="auto"/>
        </w:rPr>
        <w:t>”) from the trustee or other representative for the holders of such designated senior debt.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Cash payments on subordinated debt securities shall be resumed (a) in the case of a payment default, upon the date on which such default is cured or waived and (b) in case of a nonpayment default, the earlier of the date on which such nonpayment default is cured or waived or 179 days after the date on which the applicable Payment Blockage Notice is received, unless the maturity of any designated senior debt has been accelerated or a bankruptcy event of default has occurred and is continuing. No new period of payment blockage may be commenced unless and until 360 days have elapsed since the date of commencement of the payment blockage period resulting from the immediately prior Payment Blockage Notice. No nonpayment default in respect of designated senior debt that existed or was continuing on the date of delivery of any Payment Blockage Notice to the trustee for the subordinated debt securities shall be, or be made, the basis for a subsequent Payment Blockage Notice unless such default shall have been cured or waived for a period of no less than 90 consecutive days.</w:t>
      </w:r>
    </w:p>
    <w:p>
      <w:pPr>
        <w:spacing w:after="0" w:line="10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indenture also requires that we promptly notify holders of senior debt if payment of subordinated debt securities is accelerated because of an event of default.</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Upon any payment or distribution of assets or securities of Active Power, in connection with any dissolution or winding up or total or partial liquidation or reorganization of Active Power, whether voluntary or involuntary, or in bankruptcy, insolvency, receivership or other proceedings or other marshalling of assets for the benefit of creditors, all amounts due or to become due upon all senior debt shall first be paid in full, in cash or cash equivalents, before the holders of the subordinated debt securities or the trustee on their behalf shall be entitled to receive any payment by Active Power on account of the subordinated debt securities, or any payment to acquire any of the subordinated debt securities for cash, property or securities, or any distribution with respect to the securities of any cash, property or securities. Before any payment may be made by, or on behalf of, Active Power on any security (other than with the money, securities or proceeds held under any defeasance trust established in accordance with the indenture), in connection with any such dissolution, winding up, liquidation or reorganization, any payment or distribution of assets or securities for Active Power, to which the holders of subordinated debt securities or the trustee on their behalf would be entitled shall be made by Active Power or by any receiver, trustee in bankruptcy, liquidating trustee, agent or other similar person or entity making such payment or distribution or by the holders or the trustee if received by them or it, directly to the holders of senior debt or their representatives or to any trustee or trustees under any indenture pursuant to which any such senior debt may have been issued, as their respective interests appear, to the extent necessary to pay all such senior debt in full, in cash or cash equivalents, after giving effect to any concurrent payment, distribution or provision therefor to or for the holders of such senior debt.</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of these subordination provisions, in the event of the liquidation, bankruptcy, reorganization, insolvency, receivership or similar proceeding or an assignment for the benefit of the creditors of Active Power or a marshalling of assets or liabilities of Active Power, holders of subordinated debt securities may receive ratably less than other creditors.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Principal, interest and any premium on fully registered securities will be paid at designated places. Payment will be made by check mailed to the persons in whose names the debt securities are registered on days specified in the indentures or any prospectus supplement. Debt securities payments in other forms will be paid at a place designated by us and specified in a prospectus supplement.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Fully registered securities may be transferred or exchanged at the corporation trust office of the trustee or at any other office or agency maintained by us for such purposes, without the payment of any service charge except for any tax or governmental charge.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debt securities of a series may be issued in whole or in part in the form of one or more global certificates that we will deposit with a depository identified in the applicable prospectus supplement. Unless and until it is exchanged in whole or in part for the individual debt securities that it represents, a global security may not be transferred except as a whole:</w:t>
      </w:r>
    </w:p>
    <w:p>
      <w:pPr>
        <w:spacing w:after="0" w:line="59"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by the applicable depository to a nominee of the depository;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by any nominee to the depository itself or another nominee;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by the depository or any nominee to a successor depository or any nominee of the successor.</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will describe the specific terms of the depository arrangement with respect to a series of debt securities in the applicable prospectus supplement. We anticipate that the following provisions will generally apply to depository arrangements.</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When we issue a global security in registered form, the depository for the global security or its nominee will credit, on its book-entry registration and transfer system, the respective principal amounts of the individual debt securities represented by that global security to the accounts of persons that have accounts with the depository (“</w:t>
      </w:r>
      <w:r>
        <w:rPr>
          <w:rFonts w:ascii="Arial" w:cs="Arial" w:eastAsia="Arial" w:hAnsi="Arial"/>
          <w:sz w:val="16"/>
          <w:szCs w:val="16"/>
          <w:i w:val="1"/>
          <w:iCs w:val="1"/>
          <w:color w:val="auto"/>
        </w:rPr>
        <w:t>participants</w:t>
      </w:r>
      <w:r>
        <w:rPr>
          <w:rFonts w:ascii="Arial" w:cs="Arial" w:eastAsia="Arial" w:hAnsi="Arial"/>
          <w:sz w:val="16"/>
          <w:szCs w:val="16"/>
          <w:color w:val="auto"/>
        </w:rPr>
        <w:t>”). Those accounts will be designated by the dealers, underwriters or agents with respect to the underlying debt securities or by us if those debt securities are offered and sold directly by us. Ownership of beneficial interests in a global security will be limited to participants or persons that may hold interests through participants. For interests of participants, ownership of beneficial interests in the global security will be shown on records maintained by the applicable depository or its nominee. For interests of persons other than participants, that ownership information will be shown on the records of participants. Transfer of that ownership will be effected only through those records. The laws of some states require that certain purchasers of securities take physical delivery of securities in definitive form. These limits and laws may impair our ability to transfer beneficial interests in a global security.</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long as the depository for a global security, or its nominee, is the registered owner of that global security, the depository or nominee will be considered the sole owner or holder of the debt securities represented by the global security for all purposes under the applicable indenture. Except as provided below, owners of beneficial interests in a global security:</w:t>
      </w:r>
    </w:p>
    <w:p>
      <w:pPr>
        <w:spacing w:after="0" w:line="181" w:lineRule="exact"/>
        <w:rPr>
          <w:sz w:val="20"/>
          <w:szCs w:val="20"/>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will not be entitled to have any of the underlying debt securities registered in their names;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any of the underlying debt securities in definitive form;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will not be considered the owners or holders under the indenture relating to those debt securities.</w:t>
      </w:r>
    </w:p>
    <w:p>
      <w:pPr>
        <w:spacing w:after="0" w:line="171"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Payments of principal of, any premium on and any interest on individual debt securities represented by a global security registered in the name of a depository or its nominee will be made to the depository or its nominee as the registered owner of the global security representing such debt securities. Neither we, the trustee for the debt securities, any paying agent nor the registrar for the debt securities will be responsible for any aspect of the records relating to or payments made by the depository or any participants on account of beneficial interests in the global security.</w:t>
      </w:r>
    </w:p>
    <w:p>
      <w:pPr>
        <w:spacing w:after="0" w:line="11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We expect that the depository or its nominee, upon receipt of any payment of principal, any premium or interest relating to a global security representing any series of debt securities, immediately will credit participants’ accounts with the payments. Those payments will be credited in amounts proportional to the respective beneficial interests of the participants in the principal amount of the global security as shown on the records of the depository or its nominee. We also expect that payments by participants to owners of beneficial interests in the global security held through those participants will be governed by standing instructions and customary practices. This is now the case with securities held for the accounts of customers registered in “street name.” Those payments will be the sole responsibility of those participants.</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depository for a series of debt securities is at any time unwilling, unable or ineligible to continue as depository and we do not appoint a successor depository within 90 days, we will issue individual debt securities of that series in exchange for the global security or securities representing that series. In addition, we may at any time in our sole discretion determine not to have any debt securities of a series represented by one or more global securities. In that event, we will issue individual debt securities of that series in exchange for the global security or securities. Furthermore, if we specify, an owner of a beneficial interest in a global security may, on terms acceptable to us, the trustee and the applicable depository, receive individual debt securities of that series in exchange for those beneficial interests. The foregoing is subject to any limitations described in the applicable prospectus supplement. In any such instance, the owner of the beneficial interest will be entitled to physical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delivery of individual debt securities equal in principal amount to the beneficial interest and to have the debt securities registered in its name. Those individual debt securities will be issued in any authorized denominations.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indenture and the debt securities will be governed by and construed in accordance with the laws of the State of New York.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Notices to holders of debt securities will be given by mail to the addresses of such holders as they appear in the security register for such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1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 banking or financial institution will be the trustee under the indentures. A successor trustee may be appointed in accordance with the terms of the indentures.</w:t>
      </w:r>
    </w:p>
    <w:p>
      <w:pPr>
        <w:spacing w:after="0" w:line="132"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indentures, and the provisions of the Trust Indenture Act incorporated by reference therein, will contain certain limitations on the rights of the trustee, should it become a creditor of us, to obtain payment of claims in certain cases or to realize on certain property received in respect of any such claim as security or otherwise. The trustee will be permitted to engage in other transactions; however, if it acquires any conflicting interest (within the meaning of the Trust Indenture Act), it must eliminate such conflicting interest or resign.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single banking or financial institution may act as trustee with respect to both the subordinated indenture and the senior indenture. If this occurs, and should a default occur with respect to either the subordinated debt securities or the senior debt securities, such banking or financial institution would be required to resign as trustee under one of the indentures within 90 days of such default, pursuant to the Trust Indenture Act, unless such default were cured, duly waived or otherwise eliminated.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WARRANTS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issue warrants to purchase common stock, preferred stock, debt securities or units.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will specify the following terms of any warrants in respect of which this prospectus is being delivered:</w:t>
      </w:r>
    </w:p>
    <w:p>
      <w:pPr>
        <w:spacing w:after="0" w:line="113" w:lineRule="exact"/>
        <w:rPr>
          <w:sz w:val="20"/>
          <w:szCs w:val="20"/>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securities purchasable upon exercise of such warrants;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price at which, and the currency or currencies in which the securities purchasable upon exercise of, such warrants may be purchased;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applicable, a discussion of any material U.S. federal income tax considerations;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have any warrants issued and outstanding.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20"/>
          </w:cols>
          <w:pgMar w:left="240" w:top="45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specified in the applicable prospectus supplement, we may issue units consisting of one or more shares of common stock, shares of preferred stock, debt securities, warrants or any combination of such securities.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applicable prospectus supplement will specify the following terms of any units in respect of which this prospectus is being delivered:</w:t>
      </w:r>
    </w:p>
    <w:p>
      <w:pPr>
        <w:spacing w:after="0" w:line="90" w:lineRule="exact"/>
        <w:rPr>
          <w:sz w:val="20"/>
          <w:szCs w:val="20"/>
          <w:color w:val="auto"/>
        </w:rPr>
      </w:pPr>
    </w:p>
    <w:p>
      <w:pPr>
        <w:ind w:left="780" w:right="140" w:hanging="326"/>
        <w:spacing w:after="0" w:line="26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terms of the units and of any of the common stock, preferred stock, debt securities, warrants or purchase contracts comprising the units, including whether and under what circumstances the securities comprising the units may be traded separately;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currently have any units issued and outstanding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selling securityholders may sell the securities being offered hereby in one or more of the following ways from time to time:</w:t>
      </w:r>
    </w:p>
    <w:p>
      <w:pPr>
        <w:spacing w:after="0" w:line="212" w:lineRule="exact"/>
        <w:rPr>
          <w:sz w:val="20"/>
          <w:szCs w:val="20"/>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through agents to the public or to investors;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one or more underwriters for resale to the public or to investors;</w:t>
      </w:r>
    </w:p>
    <w:p>
      <w:pPr>
        <w:spacing w:after="0" w:line="9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to or through a market maker or into an existing trading market, on an exchange or otherwise;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directly to investors;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through a combination of these methods of sale.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set forth in a prospectus supplement the terms of the offering of securities, including:</w:t>
      </w:r>
    </w:p>
    <w:p>
      <w:pPr>
        <w:spacing w:after="0" w:line="90" w:lineRule="exact"/>
        <w:rPr>
          <w:sz w:val="20"/>
          <w:szCs w:val="20"/>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name or names of any agents or underwriters;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name or names of, and the number of shares of common stock being sold by any selling securityholders participating in the offering;</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purchase price of the securities being offered and the proceeds we and/or the selling securityholders will receive from the sale;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 and/or the selling securityholders;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public offering price;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securities exchanges on which such securities may be listed.</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term “selling securityholders” includes donees, pledgees, transferees or other successors-in-interest selling securities received after the date of this prospectus from a selling securityholder as a gift, pledge, partnership distribution or other non-sale related transfer.</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If we and/or the selling securityholders use underwriters for a sale of securities, the underwriters will acquire the securities for their own account. The underwriters may resell the securities in one or more transactions, including negotiated transactions, at a fixed public offering price or at varying prices determined at the time of sale. The obligations of the underwriters to purchase the securities will be subject to the conditions set forth in the applicable underwriting agreement. The underwriters will be obligated to purchase all the securities of the series offered if they purchase any of the securities of that series. We may change from time to time any initial public offering price and any discounts or concessions the underwriters allow or reallow or pay to dealers. We may use underwriters with whom we and/or the selling securityholders have a material relationship. We will describe in the prospectus supplement naming the underwriter the nature of any such relationship.</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and/or the selling securityholders may designate agents who agree to use their reasonable efforts to solicit purchases for the period of their appointment or to sell securities on a continuing basis.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and/or the selling securityholders may also sell securities directly to one or more purchasers without using underwriters or agents.</w:t>
      </w:r>
    </w:p>
    <w:p>
      <w:pPr>
        <w:spacing w:after="0" w:line="17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compliance with National Association of Securities Dealers guidelines, the maximum compensation to the underwriters in connection with the sale of securities pursuant to this prospectus and any prospectus supplement will not exceed 8% of the total offering price to the public of such securities.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Underwriters, dealers and agents that participate in the distribution of the securities may be underwriters as defined in the Securities Act and any discounts or commissions they receive from us and/or the selling securityholders and any profit on their resale of the securities may be treated as underwriting discounts and commissions under the Securities Act. We will identify in the applicable prospectus supplement any underwriters, dealers or agents and will describe their compensation. We and/or the selling securityholders may have agreements with the underwriters, dealers and agents to indemnify them against specified civil liabilities, including liabilities under the Securities Act. Underwriters, dealers and agents may engage in transactions with or perform services for us or selling securityholders in the ordinary course of their businesses.</w:t>
      </w:r>
    </w:p>
    <w:p>
      <w:pPr>
        <w:spacing w:after="0" w:line="12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We will bear all costs, expenses and fees in connection with the registration of the securities as well as the expenses of all commissions and discounts, if any, attributable to the sales of securities by us. The selling securityholders will bear all commissions and discounts attributable to the sales of securities by them.</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Unless otherwise specified in the applicable prospectus supplement, each class or series of securities will be a new issue with no established trading market, other than our common stock, which is listed on the Nasdaq National Market. We may elect to list any other class or series of securities on any exchange or national securities market,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the offering. “Covered” short sales are sales made in an amount not greater than the underwriters’ option to purchase additional securities, if any, from us or the selling securityholders in the offering. If the underwriters have an over-allotment option to purchase additional securities from us or the selling securityholders, the underwriters may close out any covered short position by either exercising their over-allotment option or purchasing securities in the open market. In determining the source of securities to close out the covered short position, the underwriters may consider, among other things, the price of securities available for purchase in the open market as compared to the price at which they may purchase securities through the over-allotment option. “Naked” short sales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w:t>
      </w:r>
    </w:p>
    <w:p>
      <w:pPr>
        <w:spacing w:after="0" w:line="12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the Nasdaq National Market or otherwise and, if commenced, may be discontinued at any time.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legal matters relating to the validity of the securities will be passed upon for us by Andrews Kurth LLP, Austin, Texas.</w:t>
      </w: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financial statements of Active Power, Inc. included in Active Power’s Annual Report (Form 10-K) for the year ended December 31, 2005, and Active Power’s management’s assessment of the effectiveness of internal control over financial reporting as of December 31, 2005 included therein, have been audited by Ernst &amp; Young LLP, independent registered public accounting firm, as set forth in their reports thereon, included therein, and incorporated herein by reference. Such consolidated financial statements and management’s assessment are incorporated herein by reference in reliance upon such reports given on the authority of such firm as experts in accounting and auditing.</w:t>
      </w:r>
    </w:p>
    <w:p>
      <w:pPr>
        <w:spacing w:after="0" w:line="1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60"/>
          </w:cols>
          <w:pgMar w:left="240" w:top="459" w:right="3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This prospectus, which constitutes a part of the registration statement on Form S-3 that we have filed with the SEC under the Securities Act of 1933, as amended, or Securities Act, does not contain all of the information set forth in the registration statement. The SEC allows us to “incorporate by reference” the information we file with them, which means that we can disclose important information to you by referring you to those documents that are considered part of this prospectus. Later information that we file with the SEC will automatically update and supersede this information. We incorporate by reference the documents listed below and any future filings made with the SEC under Section 13(a), 13(c), 14 or 15(d) of the Securities Exchange Act of 1934 by us (i) after the date of the filing of this registration statement and prior to its effectiveness and (ii) until our offering of securities has been completed. This prospectus is part of a registration statement filed with the SEC.</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documents which we have previously filed with the SEC pursuant to the Exchange Act are incorporated into this prospectus by reference:</w:t>
      </w:r>
    </w:p>
    <w:p>
      <w:pPr>
        <w:spacing w:after="0" w:line="235" w:lineRule="exact"/>
        <w:rPr>
          <w:sz w:val="20"/>
          <w:szCs w:val="20"/>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2005 (filed February 27,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2006, filed with the SEC on April 27,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June 30, 2006, filed with the SEC on July 28,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Current Report on Form 8-K filed March 14,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Current Report on Form 8-K filed April 26,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Current Report on Form 8-K filed May 10,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Current Report on Form 8-K filed May 24,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Current Report on Form 8-K filed June 6,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Current Report on Form 8-K filed July 26, 2006;</w:t>
      </w:r>
    </w:p>
    <w:p>
      <w:pPr>
        <w:spacing w:after="0" w:line="9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June 30, 2000), including any amendment or report filed for the purpose of updating such description; and</w:t>
      </w:r>
    </w:p>
    <w:p>
      <w:pPr>
        <w:spacing w:after="0" w:line="5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description of our stock purchase rights contained in our registration statement on Form 8-A (filed December 14, 2001), including any amendment or report filed for the purpose of updating such description.</w:t>
      </w:r>
    </w:p>
    <w:p>
      <w:pPr>
        <w:spacing w:after="0" w:line="50" w:lineRule="exact"/>
        <w:rPr>
          <w:rFonts w:ascii="Arial" w:cs="Arial" w:eastAsia="Arial" w:hAnsi="Arial"/>
          <w:sz w:val="18"/>
          <w:szCs w:val="18"/>
          <w:color w:val="auto"/>
        </w:rPr>
      </w:pPr>
    </w:p>
    <w:p>
      <w:pPr>
        <w:ind w:left="780" w:right="40" w:hanging="326"/>
        <w:spacing w:after="0" w:line="259"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the description of the rights, preferences and privileges of our Series A Junior Preferred Stock which are set forth in the Certificate of Designation of Series A Junior Participating Preferred Stock of Active Power filed with the Secretary of State of Delaware on December 18, 2001 and a form of which is included as an exhibit to our Form 8-K, filed December 14, 2001</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You may request a copy of the filings incorporated by reference in this prospectus, at no cost, by writing or calling us at: Active Power, Inc., 2128 W. Braker Lane, BK12, Austin, Texas 78758, Attention: Secretary (telephone: (512) 836-6464). You can access electronic copies of our Annual Reports on Form 10-K, Quarterly Reports on Form 10-Q and Current Reports on Form 8-K and all amendments to those reports, free of charge, on our website at http://www.activepower.com. Access to those electronic filings is available as soon as reasonably practicable after filing with, or furnishing to, the SEC. </w:t>
      </w:r>
      <w:r>
        <w:rPr>
          <w:rFonts w:ascii="Arial" w:cs="Arial" w:eastAsia="Arial" w:hAnsi="Arial"/>
          <w:sz w:val="18"/>
          <w:szCs w:val="18"/>
          <w:b w:val="1"/>
          <w:bCs w:val="1"/>
          <w:color w:val="auto"/>
        </w:rPr>
        <w:t>We</w:t>
      </w:r>
      <w:r>
        <w:rPr>
          <w:rFonts w:ascii="Arial" w:cs="Arial" w:eastAsia="Arial" w:hAnsi="Arial"/>
          <w:sz w:val="18"/>
          <w:szCs w:val="18"/>
          <w:color w:val="auto"/>
        </w:rPr>
        <w:t xml:space="preserve"> </w:t>
      </w:r>
      <w:r>
        <w:rPr>
          <w:rFonts w:ascii="Arial" w:cs="Arial" w:eastAsia="Arial" w:hAnsi="Arial"/>
          <w:sz w:val="18"/>
          <w:szCs w:val="18"/>
          <w:b w:val="1"/>
          <w:bCs w:val="1"/>
          <w:color w:val="auto"/>
        </w:rPr>
        <w:t>make our website content available for information purposes only. It should not be relied upon for investment purposes, nor is it incorporated by reference in this prospectus.</w:t>
      </w:r>
    </w:p>
    <w:p>
      <w:pPr>
        <w:spacing w:after="0" w:line="144"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You can also find SEC reports at the SEC’s website (http://www.sec.gov). In addition, such reports, proxy statements and other information may be inspected and copied at the public reference facilities maintained by the SEC at 100 F Street, N.E., Room 1580, Washington, D.C. 20549. You also may obtain copies of such material by mail from the Public Reference Section of the SEC at 100 F Street, N.E., Room 1580, Washington, D.C. 20549 at prescribed rates. Please call the SEC at 1-800-SEC-0330 for more information on the public reference rooms.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495300</wp:posOffset>
            </wp:positionV>
            <wp:extent cx="725043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626110</wp:posOffset>
            </wp:positionV>
            <wp:extent cx="1895475" cy="437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9547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$75,000,000</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Debt Securities, Common Stock,</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Preferred Stock, Warrants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125095</wp:posOffset>
            </wp:positionV>
            <wp:extent cx="12433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Offered by</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Selling Securityholders</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PROSPECTUS</w:t>
      </w:r>
    </w:p>
    <w:p>
      <w:pPr>
        <w:spacing w:after="0" w:line="198" w:lineRule="exact"/>
        <w:rPr>
          <w:sz w:val="20"/>
          <w:szCs w:val="20"/>
          <w:color w:val="auto"/>
        </w:rPr>
      </w:pPr>
    </w:p>
    <w:p>
      <w:pPr>
        <w:ind w:left="6020"/>
        <w:spacing w:after="0"/>
        <w:rPr>
          <w:sz w:val="20"/>
          <w:szCs w:val="20"/>
          <w:color w:val="auto"/>
        </w:rPr>
      </w:pPr>
      <w:r>
        <w:rPr>
          <w:rFonts w:ascii="Arial" w:cs="Arial" w:eastAsia="Arial" w:hAnsi="Arial"/>
          <w:sz w:val="24"/>
          <w:szCs w:val="24"/>
          <w:b w:val="1"/>
          <w:bCs w:val="1"/>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1187450</wp:posOffset>
            </wp:positionV>
            <wp:extent cx="725043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77" w:lineRule="exact"/>
        <w:rPr>
          <w:sz w:val="20"/>
          <w:szCs w:val="20"/>
          <w:color w:val="auto"/>
        </w:rPr>
      </w:pPr>
    </w:p>
    <w:p>
      <w:pPr>
        <w:ind w:right="500" w:firstLine="456"/>
        <w:spacing w:after="0" w:line="370" w:lineRule="auto"/>
        <w:rPr>
          <w:sz w:val="20"/>
          <w:szCs w:val="20"/>
          <w:color w:val="auto"/>
        </w:rPr>
      </w:pPr>
      <w:r>
        <w:rPr>
          <w:rFonts w:ascii="Arial" w:cs="Arial" w:eastAsia="Arial" w:hAnsi="Arial"/>
          <w:sz w:val="15"/>
          <w:szCs w:val="15"/>
          <w:color w:val="auto"/>
        </w:rPr>
        <w:t>The expenses to be paid in connection with the issuance and distribution of the securities being registered, other than underwriting discounts and commissions, are as set forth in the following table. All amounts shown are estimates except for the Securities and Exchange Commission registration fee.</w:t>
      </w:r>
    </w:p>
    <w:p>
      <w:pPr>
        <w:spacing w:after="0" w:line="11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7,371.13</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Printing expenses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50,000.00</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45,000.00</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100,000.00</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Trustees’ and Transfer Agents’ fees and expenses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10,000.00</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Blue sky fees and expenses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22"/>
        </w:trPr>
        <w:tc>
          <w:tcPr>
            <w:tcW w:w="9540" w:type="dxa"/>
            <w:vAlign w:val="bottom"/>
          </w:tcPr>
          <w:p>
            <w:pPr>
              <w:ind w:left="4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217,371.13</w:t>
            </w:r>
          </w:p>
        </w:tc>
      </w:tr>
      <w:tr>
        <w:trPr>
          <w:trHeight w:val="20"/>
        </w:trPr>
        <w:tc>
          <w:tcPr>
            <w:tcW w:w="9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7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Active Power, Inc. is incorporated under the laws of the State of Delaware. Section 145 (“Section 145”) of Title 8 of the Delaware General Corporation Law (“Delaware Code”) gives a corporation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145 also gives a corporation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 Section 145 further provides that, to the extent that a present or former director or officer of a corporation has been successful on the merits or otherwise in defense of any such action, suit or proceeding, or in defense of any claim, issue or matter therein, such person shall be indemnified against expenses (including attorneys’ fees) actually and reasonably incurred by such person in connection therewith.</w:t>
      </w:r>
    </w:p>
    <w:p>
      <w:pPr>
        <w:spacing w:after="0" w:line="12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145 also authorizes a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arising out of his status as such, whether or not the corporation would otherwise have the power to indemnify him under Section 145.</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restated certificate of incorporation and restated bylaws provide for the indemnification of officers and directors to the fullest extent permitted by the Delaware Code.</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All of our directors and officers are covered by insurance policies against certain liabilities for actions taken in their capacities as such, including liabilities under the Securities Act of 1933.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80" w:type="dxa"/>
            <w:vAlign w:val="bottom"/>
          </w:tcPr>
          <w:p>
            <w:pPr>
              <w:spacing w:after="0"/>
              <w:rPr>
                <w:sz w:val="14"/>
                <w:szCs w:val="14"/>
                <w:color w:val="auto"/>
              </w:rPr>
            </w:pPr>
          </w:p>
        </w:tc>
        <w:tc>
          <w:tcPr>
            <w:tcW w:w="10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Exhibit</w:t>
            </w:r>
          </w:p>
        </w:tc>
      </w:tr>
      <w:tr>
        <w:trPr>
          <w:trHeight w:val="215"/>
        </w:trPr>
        <w:tc>
          <w:tcPr>
            <w:tcW w:w="800" w:type="dxa"/>
            <w:vAlign w:val="bottom"/>
          </w:tcPr>
          <w:p>
            <w:pPr>
              <w:ind w:left="180"/>
              <w:spacing w:after="0"/>
              <w:rPr>
                <w:sz w:val="20"/>
                <w:szCs w:val="20"/>
                <w:color w:val="auto"/>
              </w:rPr>
            </w:pPr>
            <w:r>
              <w:rPr>
                <w:rFonts w:ascii="Arial" w:cs="Arial" w:eastAsia="Arial" w:hAnsi="Arial"/>
                <w:sz w:val="18"/>
                <w:szCs w:val="18"/>
                <w:color w:val="auto"/>
              </w:rPr>
              <w:t>1.1*</w:t>
            </w:r>
          </w:p>
        </w:tc>
        <w:tc>
          <w:tcPr>
            <w:tcW w:w="10620" w:type="dxa"/>
            <w:vAlign w:val="bottom"/>
            <w:gridSpan w:val="2"/>
          </w:tcPr>
          <w:p>
            <w:pPr>
              <w:ind w:left="100"/>
              <w:spacing w:after="0"/>
              <w:rPr>
                <w:sz w:val="20"/>
                <w:szCs w:val="20"/>
                <w:color w:val="auto"/>
              </w:rPr>
            </w:pPr>
            <w:r>
              <w:rPr>
                <w:rFonts w:ascii="Arial" w:cs="Arial" w:eastAsia="Arial" w:hAnsi="Arial"/>
                <w:sz w:val="18"/>
                <w:szCs w:val="18"/>
                <w:color w:val="auto"/>
              </w:rPr>
              <w:t>— Form of Underwriting Agreement.</w:t>
            </w: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4.1</w:t>
            </w:r>
          </w:p>
        </w:tc>
        <w:tc>
          <w:tcPr>
            <w:tcW w:w="10620" w:type="dxa"/>
            <w:vAlign w:val="bottom"/>
            <w:gridSpan w:val="2"/>
          </w:tcPr>
          <w:p>
            <w:pPr>
              <w:ind w:left="100"/>
              <w:spacing w:after="0"/>
              <w:rPr>
                <w:sz w:val="20"/>
                <w:szCs w:val="20"/>
                <w:color w:val="auto"/>
              </w:rPr>
            </w:pPr>
            <w:r>
              <w:rPr>
                <w:rFonts w:ascii="Arial" w:cs="Arial" w:eastAsia="Arial" w:hAnsi="Arial"/>
                <w:sz w:val="18"/>
                <w:szCs w:val="18"/>
                <w:color w:val="auto"/>
                <w:w w:val="91"/>
              </w:rPr>
              <w:t>— Specimen certificate for shares of common stock (filed as Exhibit 4.1 to Active Power’s registration statement on Form S-1 (SEC File No. 333-</w:t>
            </w:r>
          </w:p>
        </w:tc>
      </w:tr>
      <w:tr>
        <w:trPr>
          <w:trHeight w:val="216"/>
        </w:trPr>
        <w:tc>
          <w:tcPr>
            <w:tcW w:w="800" w:type="dxa"/>
            <w:vAlign w:val="bottom"/>
          </w:tcPr>
          <w:p>
            <w:pPr>
              <w:spacing w:after="0"/>
              <w:rPr>
                <w:sz w:val="18"/>
                <w:szCs w:val="18"/>
                <w:color w:val="auto"/>
              </w:rPr>
            </w:pPr>
          </w:p>
        </w:tc>
        <w:tc>
          <w:tcPr>
            <w:tcW w:w="10620" w:type="dxa"/>
            <w:vAlign w:val="bottom"/>
            <w:gridSpan w:val="2"/>
          </w:tcPr>
          <w:p>
            <w:pPr>
              <w:ind w:left="380"/>
              <w:spacing w:after="0"/>
              <w:rPr>
                <w:sz w:val="20"/>
                <w:szCs w:val="20"/>
                <w:color w:val="auto"/>
              </w:rPr>
            </w:pPr>
            <w:r>
              <w:rPr>
                <w:rFonts w:ascii="Arial" w:cs="Arial" w:eastAsia="Arial" w:hAnsi="Arial"/>
                <w:sz w:val="18"/>
                <w:szCs w:val="18"/>
                <w:color w:val="auto"/>
              </w:rPr>
              <w:t>36946)).</w:t>
            </w: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4.2</w:t>
            </w:r>
          </w:p>
        </w:tc>
        <w:tc>
          <w:tcPr>
            <w:tcW w:w="10620" w:type="dxa"/>
            <w:vAlign w:val="bottom"/>
            <w:gridSpan w:val="2"/>
          </w:tcPr>
          <w:p>
            <w:pPr>
              <w:ind w:left="100"/>
              <w:spacing w:after="0"/>
              <w:rPr>
                <w:sz w:val="20"/>
                <w:szCs w:val="20"/>
                <w:color w:val="auto"/>
              </w:rPr>
            </w:pPr>
            <w:r>
              <w:rPr>
                <w:rFonts w:ascii="Arial" w:cs="Arial" w:eastAsia="Arial" w:hAnsi="Arial"/>
                <w:sz w:val="18"/>
                <w:szCs w:val="18"/>
                <w:color w:val="auto"/>
                <w:w w:val="90"/>
              </w:rPr>
              <w:t>— Rights Agreement, dated as of December 13, 2001, between the Active Power and Equiserve Trust N.A., which includes the form of Certificate</w:t>
            </w:r>
          </w:p>
        </w:tc>
      </w:tr>
      <w:tr>
        <w:trPr>
          <w:trHeight w:val="216"/>
        </w:trPr>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40" w:type="dxa"/>
            <w:vAlign w:val="bottom"/>
          </w:tcPr>
          <w:p>
            <w:pPr>
              <w:jc w:val="center"/>
              <w:spacing w:after="0"/>
              <w:rPr>
                <w:sz w:val="20"/>
                <w:szCs w:val="20"/>
                <w:color w:val="auto"/>
              </w:rPr>
            </w:pPr>
            <w:r>
              <w:rPr>
                <w:rFonts w:ascii="Arial" w:cs="Arial" w:eastAsia="Arial" w:hAnsi="Arial"/>
                <w:sz w:val="18"/>
                <w:szCs w:val="18"/>
                <w:color w:val="auto"/>
                <w:w w:val="89"/>
              </w:rPr>
              <w:t>of Designation for the Series A Junior Participating Preferred Stock as Exhibit A, the form of Rights Certificate as Exhibit B and the Summary of</w:t>
            </w:r>
          </w:p>
        </w:tc>
      </w:tr>
      <w:tr>
        <w:trPr>
          <w:trHeight w:val="216"/>
        </w:trPr>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40" w:type="dxa"/>
            <w:vAlign w:val="bottom"/>
          </w:tcPr>
          <w:p>
            <w:pPr>
              <w:jc w:val="center"/>
              <w:spacing w:after="0"/>
              <w:rPr>
                <w:sz w:val="20"/>
                <w:szCs w:val="20"/>
                <w:color w:val="auto"/>
              </w:rPr>
            </w:pPr>
            <w:r>
              <w:rPr>
                <w:rFonts w:ascii="Arial" w:cs="Arial" w:eastAsia="Arial" w:hAnsi="Arial"/>
                <w:sz w:val="18"/>
                <w:szCs w:val="18"/>
                <w:color w:val="auto"/>
                <w:w w:val="89"/>
              </w:rPr>
              <w:t>Rights to Purchase Series A Preferred Stock as Exhibit C (filed as Exhibit 4.1 to Active Power’s Current Report on Form 8-K filed December 14,</w:t>
            </w:r>
          </w:p>
        </w:tc>
      </w:tr>
      <w:tr>
        <w:trPr>
          <w:trHeight w:val="216"/>
        </w:trPr>
        <w:tc>
          <w:tcPr>
            <w:tcW w:w="800" w:type="dxa"/>
            <w:vAlign w:val="bottom"/>
          </w:tcPr>
          <w:p>
            <w:pPr>
              <w:spacing w:after="0"/>
              <w:rPr>
                <w:sz w:val="18"/>
                <w:szCs w:val="18"/>
                <w:color w:val="auto"/>
              </w:rPr>
            </w:pPr>
          </w:p>
        </w:tc>
        <w:tc>
          <w:tcPr>
            <w:tcW w:w="10620" w:type="dxa"/>
            <w:vAlign w:val="bottom"/>
            <w:gridSpan w:val="2"/>
          </w:tcPr>
          <w:p>
            <w:pPr>
              <w:ind w:left="380"/>
              <w:spacing w:after="0"/>
              <w:rPr>
                <w:sz w:val="20"/>
                <w:szCs w:val="20"/>
                <w:color w:val="auto"/>
              </w:rPr>
            </w:pPr>
            <w:r>
              <w:rPr>
                <w:rFonts w:ascii="Arial" w:cs="Arial" w:eastAsia="Arial" w:hAnsi="Arial"/>
                <w:sz w:val="18"/>
                <w:szCs w:val="18"/>
                <w:color w:val="auto"/>
              </w:rPr>
              <w:t>2001).</w:t>
            </w: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4.3*</w:t>
            </w:r>
          </w:p>
        </w:tc>
        <w:tc>
          <w:tcPr>
            <w:tcW w:w="10620" w:type="dxa"/>
            <w:vAlign w:val="bottom"/>
            <w:gridSpan w:val="2"/>
          </w:tcPr>
          <w:p>
            <w:pPr>
              <w:ind w:left="100"/>
              <w:spacing w:after="0"/>
              <w:rPr>
                <w:sz w:val="20"/>
                <w:szCs w:val="20"/>
                <w:color w:val="auto"/>
              </w:rPr>
            </w:pPr>
            <w:r>
              <w:rPr>
                <w:rFonts w:ascii="Arial" w:cs="Arial" w:eastAsia="Arial" w:hAnsi="Arial"/>
                <w:sz w:val="18"/>
                <w:szCs w:val="18"/>
                <w:color w:val="auto"/>
              </w:rPr>
              <w:t>— Specimen certificate for shares of Preferred Stock.</w:t>
            </w: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4.4**</w:t>
            </w:r>
          </w:p>
        </w:tc>
        <w:tc>
          <w:tcPr>
            <w:tcW w:w="10620" w:type="dxa"/>
            <w:vAlign w:val="bottom"/>
            <w:gridSpan w:val="2"/>
          </w:tcPr>
          <w:p>
            <w:pPr>
              <w:ind w:left="100"/>
              <w:spacing w:after="0"/>
              <w:rPr>
                <w:sz w:val="20"/>
                <w:szCs w:val="20"/>
                <w:color w:val="auto"/>
              </w:rPr>
            </w:pPr>
            <w:r>
              <w:rPr>
                <w:rFonts w:ascii="Arial" w:cs="Arial" w:eastAsia="Arial" w:hAnsi="Arial"/>
                <w:sz w:val="18"/>
                <w:szCs w:val="18"/>
                <w:color w:val="auto"/>
              </w:rPr>
              <w:t>— Form of Senior Debt Indenture (including form of senior debt security).</w:t>
            </w: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4.5**</w:t>
            </w:r>
          </w:p>
        </w:tc>
        <w:tc>
          <w:tcPr>
            <w:tcW w:w="10620" w:type="dxa"/>
            <w:vAlign w:val="bottom"/>
            <w:gridSpan w:val="2"/>
          </w:tcPr>
          <w:p>
            <w:pPr>
              <w:ind w:left="100"/>
              <w:spacing w:after="0"/>
              <w:rPr>
                <w:sz w:val="20"/>
                <w:szCs w:val="20"/>
                <w:color w:val="auto"/>
              </w:rPr>
            </w:pPr>
            <w:r>
              <w:rPr>
                <w:rFonts w:ascii="Arial" w:cs="Arial" w:eastAsia="Arial" w:hAnsi="Arial"/>
                <w:sz w:val="18"/>
                <w:szCs w:val="18"/>
                <w:color w:val="auto"/>
              </w:rPr>
              <w:t>— Form of Subordinated Debt Indenture (including form of subordinated debt security).</w:t>
            </w: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4.6*</w:t>
            </w:r>
          </w:p>
        </w:tc>
        <w:tc>
          <w:tcPr>
            <w:tcW w:w="10620" w:type="dxa"/>
            <w:vAlign w:val="bottom"/>
            <w:gridSpan w:val="2"/>
          </w:tcPr>
          <w:p>
            <w:pPr>
              <w:ind w:left="100"/>
              <w:spacing w:after="0"/>
              <w:rPr>
                <w:sz w:val="20"/>
                <w:szCs w:val="20"/>
                <w:color w:val="auto"/>
              </w:rPr>
            </w:pPr>
            <w:r>
              <w:rPr>
                <w:rFonts w:ascii="Arial" w:cs="Arial" w:eastAsia="Arial" w:hAnsi="Arial"/>
                <w:sz w:val="18"/>
                <w:szCs w:val="18"/>
                <w:color w:val="auto"/>
              </w:rPr>
              <w:t>— Form of Warrant Agreement (including form of warrant certificate).</w:t>
            </w: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5.1*</w:t>
            </w:r>
          </w:p>
        </w:tc>
        <w:tc>
          <w:tcPr>
            <w:tcW w:w="10620" w:type="dxa"/>
            <w:vAlign w:val="bottom"/>
            <w:gridSpan w:val="2"/>
          </w:tcPr>
          <w:p>
            <w:pPr>
              <w:ind w:left="100"/>
              <w:spacing w:after="0"/>
              <w:rPr>
                <w:sz w:val="20"/>
                <w:szCs w:val="20"/>
                <w:color w:val="auto"/>
              </w:rPr>
            </w:pPr>
            <w:r>
              <w:rPr>
                <w:rFonts w:ascii="Arial" w:cs="Arial" w:eastAsia="Arial" w:hAnsi="Arial"/>
                <w:sz w:val="18"/>
                <w:szCs w:val="18"/>
                <w:color w:val="auto"/>
              </w:rPr>
              <w:t>— Opinion of Andrews Kurth LLP.</w:t>
            </w: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12.1**</w:t>
            </w:r>
          </w:p>
        </w:tc>
        <w:tc>
          <w:tcPr>
            <w:tcW w:w="10620" w:type="dxa"/>
            <w:vAlign w:val="bottom"/>
            <w:gridSpan w:val="2"/>
          </w:tcPr>
          <w:p>
            <w:pPr>
              <w:ind w:left="100"/>
              <w:spacing w:after="0"/>
              <w:rPr>
                <w:sz w:val="20"/>
                <w:szCs w:val="20"/>
                <w:color w:val="auto"/>
              </w:rPr>
            </w:pPr>
            <w:r>
              <w:rPr>
                <w:rFonts w:ascii="Arial" w:cs="Arial" w:eastAsia="Arial" w:hAnsi="Arial"/>
                <w:sz w:val="18"/>
                <w:szCs w:val="18"/>
                <w:color w:val="auto"/>
              </w:rPr>
              <w:t>— Statement of Computation of Ratios.</w:t>
            </w: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23.1**</w:t>
            </w:r>
          </w:p>
        </w:tc>
        <w:tc>
          <w:tcPr>
            <w:tcW w:w="10620" w:type="dxa"/>
            <w:vAlign w:val="bottom"/>
            <w:gridSpan w:val="2"/>
          </w:tcPr>
          <w:p>
            <w:pPr>
              <w:ind w:left="100"/>
              <w:spacing w:after="0"/>
              <w:rPr>
                <w:sz w:val="20"/>
                <w:szCs w:val="20"/>
                <w:color w:val="auto"/>
              </w:rPr>
            </w:pPr>
            <w:r>
              <w:rPr>
                <w:rFonts w:ascii="Arial" w:cs="Arial" w:eastAsia="Arial" w:hAnsi="Arial"/>
                <w:sz w:val="18"/>
                <w:szCs w:val="18"/>
                <w:color w:val="auto"/>
              </w:rPr>
              <w:t>— Consent of Ernst &amp; Young LLP.</w:t>
            </w: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23.2*</w:t>
            </w:r>
          </w:p>
        </w:tc>
        <w:tc>
          <w:tcPr>
            <w:tcW w:w="10620" w:type="dxa"/>
            <w:vAlign w:val="bottom"/>
            <w:gridSpan w:val="2"/>
          </w:tcPr>
          <w:p>
            <w:pPr>
              <w:ind w:left="100"/>
              <w:spacing w:after="0"/>
              <w:rPr>
                <w:sz w:val="20"/>
                <w:szCs w:val="20"/>
                <w:color w:val="auto"/>
              </w:rPr>
            </w:pPr>
            <w:r>
              <w:rPr>
                <w:rFonts w:ascii="Arial" w:cs="Arial" w:eastAsia="Arial" w:hAnsi="Arial"/>
                <w:sz w:val="18"/>
                <w:szCs w:val="18"/>
                <w:color w:val="auto"/>
              </w:rPr>
              <w:t>— Consent of Andrews Kurth LLP (included in Exhibit 5.1).</w:t>
            </w: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24.1**</w:t>
            </w:r>
          </w:p>
        </w:tc>
        <w:tc>
          <w:tcPr>
            <w:tcW w:w="10620" w:type="dxa"/>
            <w:vAlign w:val="bottom"/>
            <w:gridSpan w:val="2"/>
          </w:tcPr>
          <w:p>
            <w:pPr>
              <w:ind w:left="100"/>
              <w:spacing w:after="0"/>
              <w:rPr>
                <w:sz w:val="20"/>
                <w:szCs w:val="20"/>
                <w:color w:val="auto"/>
              </w:rPr>
            </w:pPr>
            <w:r>
              <w:rPr>
                <w:rFonts w:ascii="Arial" w:cs="Arial" w:eastAsia="Arial" w:hAnsi="Arial"/>
                <w:sz w:val="18"/>
                <w:szCs w:val="18"/>
                <w:color w:val="auto"/>
              </w:rPr>
              <w:t>— Power of Attorney (included in signature page).</w:t>
            </w:r>
          </w:p>
        </w:tc>
      </w:tr>
      <w:tr>
        <w:trPr>
          <w:trHeight w:val="222"/>
        </w:trPr>
        <w:tc>
          <w:tcPr>
            <w:tcW w:w="800" w:type="dxa"/>
            <w:vAlign w:val="bottom"/>
          </w:tcPr>
          <w:p>
            <w:pPr>
              <w:ind w:left="180"/>
              <w:spacing w:after="0"/>
              <w:rPr>
                <w:sz w:val="20"/>
                <w:szCs w:val="20"/>
                <w:color w:val="auto"/>
              </w:rPr>
            </w:pPr>
            <w:r>
              <w:rPr>
                <w:rFonts w:ascii="Arial" w:cs="Arial" w:eastAsia="Arial" w:hAnsi="Arial"/>
                <w:sz w:val="18"/>
                <w:szCs w:val="18"/>
                <w:color w:val="auto"/>
              </w:rPr>
              <w:t>25.1*</w:t>
            </w:r>
          </w:p>
        </w:tc>
        <w:tc>
          <w:tcPr>
            <w:tcW w:w="10620" w:type="dxa"/>
            <w:vAlign w:val="bottom"/>
            <w:gridSpan w:val="2"/>
          </w:tcPr>
          <w:p>
            <w:pPr>
              <w:ind w:left="100"/>
              <w:spacing w:after="0"/>
              <w:rPr>
                <w:sz w:val="20"/>
                <w:szCs w:val="20"/>
                <w:color w:val="auto"/>
              </w:rPr>
            </w:pPr>
            <w:r>
              <w:rPr>
                <w:rFonts w:ascii="Arial" w:cs="Arial" w:eastAsia="Arial" w:hAnsi="Arial"/>
                <w:sz w:val="18"/>
                <w:szCs w:val="18"/>
                <w:color w:val="auto"/>
              </w:rPr>
              <w:t>— Statement of Eligibility of Trustee on Form T–1.</w:t>
            </w:r>
          </w:p>
        </w:tc>
      </w:tr>
    </w:tbl>
    <w:p>
      <w:pPr>
        <w:spacing w:after="0" w:line="196" w:lineRule="exact"/>
        <w:rPr>
          <w:sz w:val="20"/>
          <w:szCs w:val="20"/>
          <w:color w:val="auto"/>
        </w:rPr>
      </w:pPr>
    </w:p>
    <w:p>
      <w:pPr>
        <w:ind w:left="220" w:hanging="212"/>
        <w:spacing w:after="0"/>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To be filed by amendment hereto or by a report filed under the Securities Exchange Act of 1934, and incorporated herein by reference.</w:t>
      </w:r>
    </w:p>
    <w:p>
      <w:pPr>
        <w:spacing w:after="0" w:line="212"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Filed herewith.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The undersigned registrant hereby undertakes:</w:t>
      </w:r>
    </w:p>
    <w:p>
      <w:pPr>
        <w:spacing w:after="0" w:line="212" w:lineRule="exact"/>
        <w:rPr>
          <w:sz w:val="20"/>
          <w:szCs w:val="20"/>
          <w:color w:val="auto"/>
        </w:rPr>
      </w:pPr>
    </w:p>
    <w:p>
      <w:pPr>
        <w:ind w:left="760" w:hanging="306"/>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11" w:lineRule="exact"/>
        <w:rPr>
          <w:rFonts w:ascii="Arial" w:cs="Arial" w:eastAsia="Arial" w:hAnsi="Arial"/>
          <w:sz w:val="18"/>
          <w:szCs w:val="18"/>
          <w:color w:val="auto"/>
        </w:rPr>
      </w:pPr>
    </w:p>
    <w:p>
      <w:pPr>
        <w:ind w:left="1700" w:hanging="558"/>
        <w:spacing w:after="0"/>
        <w:tabs>
          <w:tab w:leader="none" w:pos="17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11" w:lineRule="exact"/>
        <w:rPr>
          <w:rFonts w:ascii="Arial" w:cs="Arial" w:eastAsia="Arial" w:hAnsi="Arial"/>
          <w:sz w:val="18"/>
          <w:szCs w:val="18"/>
          <w:color w:val="auto"/>
        </w:rPr>
      </w:pPr>
    </w:p>
    <w:p>
      <w:pPr>
        <w:ind w:left="1700" w:right="60" w:hanging="558"/>
        <w:spacing w:after="0" w:line="290" w:lineRule="auto"/>
        <w:tabs>
          <w:tab w:leader="none" w:pos="17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under the Securities Act of 1933 if, in the aggregate, the changes in volume and price represent no more than 20% change in the maximum aggregate offering price set forth in the “Calculation of Registration Fee” table in the effective registration statement;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700" w:right="200" w:hanging="558"/>
        <w:spacing w:after="0" w:line="268" w:lineRule="auto"/>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2" w:lineRule="exact"/>
        <w:rPr>
          <w:sz w:val="20"/>
          <w:szCs w:val="20"/>
          <w:color w:val="auto"/>
        </w:rPr>
      </w:pPr>
    </w:p>
    <w:p>
      <w:pPr>
        <w:ind w:left="1120"/>
        <w:spacing w:after="0" w:line="298"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paragraphs A(1)(i), A(1)(ii) and A(1)(iii) do not apply if the information required to be included in a post-effective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under the Securities Act of 1933 that is a part of this registration statement.</w:t>
      </w:r>
    </w:p>
    <w:p>
      <w:pPr>
        <w:spacing w:after="0" w:line="153" w:lineRule="exact"/>
        <w:rPr>
          <w:sz w:val="20"/>
          <w:szCs w:val="20"/>
          <w:color w:val="auto"/>
        </w:rPr>
      </w:pPr>
    </w:p>
    <w:p>
      <w:pPr>
        <w:ind w:left="1120" w:right="40" w:hanging="437"/>
        <w:spacing w:after="0" w:line="259" w:lineRule="auto"/>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0" w:lineRule="exact"/>
        <w:rPr>
          <w:rFonts w:ascii="Arial" w:cs="Arial" w:eastAsia="Arial" w:hAnsi="Arial"/>
          <w:sz w:val="18"/>
          <w:szCs w:val="18"/>
          <w:color w:val="auto"/>
        </w:rPr>
      </w:pPr>
    </w:p>
    <w:p>
      <w:pPr>
        <w:ind w:left="1120" w:right="820" w:hanging="437"/>
        <w:spacing w:after="0" w:line="268" w:lineRule="auto"/>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2" w:lineRule="exact"/>
        <w:rPr>
          <w:rFonts w:ascii="Arial" w:cs="Arial" w:eastAsia="Arial" w:hAnsi="Arial"/>
          <w:sz w:val="18"/>
          <w:szCs w:val="18"/>
          <w:color w:val="auto"/>
        </w:rPr>
      </w:pPr>
    </w:p>
    <w:p>
      <w:pPr>
        <w:ind w:left="1120" w:hanging="437"/>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11" w:lineRule="exact"/>
        <w:rPr>
          <w:rFonts w:ascii="Arial" w:cs="Arial" w:eastAsia="Arial" w:hAnsi="Arial"/>
          <w:sz w:val="18"/>
          <w:szCs w:val="18"/>
          <w:color w:val="auto"/>
        </w:rPr>
      </w:pPr>
    </w:p>
    <w:p>
      <w:pPr>
        <w:ind w:left="1700" w:right="380" w:hanging="558"/>
        <w:spacing w:after="0" w:line="332" w:lineRule="auto"/>
        <w:tabs>
          <w:tab w:leader="none" w:pos="17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Each prospectus filed by the registrant pursuant to Rule 424(b)(3) under the Securities Act of 1933 shall be deemed to be part of this registration statement as of the date the filed prospectus was deemed part of and included in this registration statement; and</w:t>
      </w:r>
    </w:p>
    <w:p>
      <w:pPr>
        <w:spacing w:after="0" w:line="125" w:lineRule="exact"/>
        <w:rPr>
          <w:rFonts w:ascii="Arial" w:cs="Arial" w:eastAsia="Arial" w:hAnsi="Arial"/>
          <w:sz w:val="16"/>
          <w:szCs w:val="16"/>
          <w:color w:val="auto"/>
        </w:rPr>
      </w:pPr>
    </w:p>
    <w:p>
      <w:pPr>
        <w:ind w:left="1700" w:hanging="558"/>
        <w:spacing w:after="0" w:line="286" w:lineRule="auto"/>
        <w:tabs>
          <w:tab w:leader="none" w:pos="17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this registration statement in reliance on Rule 430B relating to an offering made pursuant to Rule 415(a)(1)(i), (vii), or (x) under the Securities Act of 1933 for the purpose of providing the information required by Section 10(a) of the Securities Act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under the Securities Act of 1933, for liability purposes of the issuer and any person that is at that date an underwriter, such date shall be deemed to be a new effective date of this registration statement relating to the securities in this registration statement to which that prospectus relates, and the offering of such securities at that time shall be deemed to be the initial bona fide offering thereof. Provided, however, that no statement made in a registration statement or prospectus that is part of this registration statement or made in a document incorporated or deemed incorporated by reference into this registration statement or prospectus that is part of the registration statement will, as to a purchaser with a time of contract of sale prior to such effective date, supersede or modify any statement that was made in this registration statement or prospectus that was part of this registration statement or made in any such document immediately prior to such effective date.</w:t>
      </w:r>
    </w:p>
    <w:p>
      <w:pPr>
        <w:spacing w:after="0" w:line="164" w:lineRule="exact"/>
        <w:rPr>
          <w:rFonts w:ascii="Arial" w:cs="Arial" w:eastAsia="Arial" w:hAnsi="Arial"/>
          <w:sz w:val="16"/>
          <w:szCs w:val="16"/>
          <w:color w:val="auto"/>
        </w:rPr>
      </w:pPr>
    </w:p>
    <w:p>
      <w:pPr>
        <w:ind w:left="1700" w:right="40" w:hanging="558"/>
        <w:spacing w:after="0" w:line="288" w:lineRule="auto"/>
        <w:tabs>
          <w:tab w:leader="none" w:pos="17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If the registrant is subject to Rule 430C under the Securities Act of 1933, each prospectus filed pursuant to Rule 424(b) under the Securities Act of 1933 as part of a registration statement relating to an offering, other than registration statements relying on Rule 430B under the Securities Act of 1933 or other than prospectuses filed in reliance on Rule 430A under the Securities Act of 1933,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0" w:lineRule="exact"/>
        <w:rPr>
          <w:rFonts w:ascii="Arial" w:cs="Arial" w:eastAsia="Arial" w:hAnsi="Arial"/>
          <w:sz w:val="16"/>
          <w:szCs w:val="16"/>
          <w:color w:val="auto"/>
        </w:rPr>
      </w:pPr>
    </w:p>
    <w:p>
      <w:pPr>
        <w:ind w:left="1120" w:right="100" w:hanging="437"/>
        <w:spacing w:after="0" w:line="306" w:lineRule="auto"/>
        <w:tabs>
          <w:tab w:leader="none" w:pos="11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That, for the purpose of determining liability of a registrant under the Securities Act of 1933 to any purchaser in the initial distribution of the securities, each undersigned registrant undertakes that in a primary offering of securities of an undersigned registrant pursuant to this registration statement, regardless of the underwriting method used to sell the securities to the purchaser, if the securities are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40" w:right="200"/>
        <w:spacing w:after="0" w:line="268" w:lineRule="auto"/>
        <w:rPr>
          <w:sz w:val="20"/>
          <w:szCs w:val="20"/>
          <w:color w:val="auto"/>
        </w:rPr>
      </w:pPr>
      <w:r>
        <w:rPr>
          <w:rFonts w:ascii="Arial" w:cs="Arial" w:eastAsia="Arial" w:hAnsi="Arial"/>
          <w:sz w:val="18"/>
          <w:szCs w:val="18"/>
          <w:color w:val="auto"/>
        </w:rPr>
        <w:t>offered or sold to such purchaser by means of any of the following communications, the undersigned registrant will be a seller to the purchaser and will be considered to offer or sell such securities to such purchaser:</w:t>
      </w:r>
    </w:p>
    <w:p>
      <w:pPr>
        <w:spacing w:after="0" w:line="172" w:lineRule="exact"/>
        <w:rPr>
          <w:sz w:val="20"/>
          <w:szCs w:val="20"/>
          <w:color w:val="auto"/>
        </w:rPr>
      </w:pPr>
    </w:p>
    <w:p>
      <w:pPr>
        <w:ind w:left="1700" w:right="200" w:hanging="558"/>
        <w:spacing w:after="0" w:line="268" w:lineRule="auto"/>
        <w:tabs>
          <w:tab w:leader="none" w:pos="1700" w:val="left"/>
        </w:tabs>
        <w:numPr>
          <w:ilvl w:val="4"/>
          <w:numId w:val="44"/>
        </w:numPr>
        <w:rPr>
          <w:rFonts w:ascii="Arial" w:cs="Arial" w:eastAsia="Arial" w:hAnsi="Arial"/>
          <w:sz w:val="18"/>
          <w:szCs w:val="18"/>
          <w:color w:val="auto"/>
        </w:rPr>
      </w:pPr>
      <w:r>
        <w:rPr>
          <w:rFonts w:ascii="Arial" w:cs="Arial" w:eastAsia="Arial" w:hAnsi="Arial"/>
          <w:sz w:val="18"/>
          <w:szCs w:val="18"/>
          <w:color w:val="auto"/>
        </w:rPr>
        <w:t>Any preliminary prospectus or prospectus of an undersigned registrant relating to the offering required to be filed pursuant to Rule 424 under the Securities Act of 1933;</w:t>
      </w:r>
    </w:p>
    <w:p>
      <w:pPr>
        <w:spacing w:after="0" w:line="172" w:lineRule="exact"/>
        <w:rPr>
          <w:rFonts w:ascii="Arial" w:cs="Arial" w:eastAsia="Arial" w:hAnsi="Arial"/>
          <w:sz w:val="18"/>
          <w:szCs w:val="18"/>
          <w:color w:val="auto"/>
        </w:rPr>
      </w:pPr>
    </w:p>
    <w:p>
      <w:pPr>
        <w:ind w:left="1700" w:right="340" w:hanging="558"/>
        <w:spacing w:after="0" w:line="268" w:lineRule="auto"/>
        <w:tabs>
          <w:tab w:leader="none" w:pos="1700" w:val="left"/>
        </w:tabs>
        <w:numPr>
          <w:ilvl w:val="4"/>
          <w:numId w:val="4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an undersigned registrant or used or referred to by an undersigned registrant;</w:t>
      </w:r>
    </w:p>
    <w:p>
      <w:pPr>
        <w:spacing w:after="0" w:line="172" w:lineRule="exact"/>
        <w:rPr>
          <w:rFonts w:ascii="Arial" w:cs="Arial" w:eastAsia="Arial" w:hAnsi="Arial"/>
          <w:sz w:val="18"/>
          <w:szCs w:val="18"/>
          <w:color w:val="auto"/>
        </w:rPr>
      </w:pPr>
    </w:p>
    <w:p>
      <w:pPr>
        <w:ind w:left="1700" w:right="140" w:hanging="558"/>
        <w:spacing w:after="0" w:line="268" w:lineRule="auto"/>
        <w:tabs>
          <w:tab w:leader="none" w:pos="1700" w:val="left"/>
        </w:tabs>
        <w:numPr>
          <w:ilvl w:val="4"/>
          <w:numId w:val="4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an undersigned registrant or its securities provided by or on behalf of an undersigned registrant; and</w:t>
      </w:r>
    </w:p>
    <w:p>
      <w:pPr>
        <w:spacing w:after="0" w:line="172" w:lineRule="exact"/>
        <w:rPr>
          <w:rFonts w:ascii="Arial" w:cs="Arial" w:eastAsia="Arial" w:hAnsi="Arial"/>
          <w:sz w:val="18"/>
          <w:szCs w:val="18"/>
          <w:color w:val="auto"/>
        </w:rPr>
      </w:pPr>
    </w:p>
    <w:p>
      <w:pPr>
        <w:ind w:left="1700" w:hanging="558"/>
        <w:spacing w:after="0"/>
        <w:tabs>
          <w:tab w:leader="none" w:pos="1700" w:val="left"/>
        </w:tabs>
        <w:numPr>
          <w:ilvl w:val="4"/>
          <w:numId w:val="4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an undersigned registrant to the purchaser.</w:t>
      </w:r>
    </w:p>
    <w:p>
      <w:pPr>
        <w:spacing w:after="0" w:line="171" w:lineRule="exact"/>
        <w:rPr>
          <w:rFonts w:ascii="Arial" w:cs="Arial" w:eastAsia="Arial" w:hAnsi="Arial"/>
          <w:sz w:val="18"/>
          <w:szCs w:val="18"/>
          <w:color w:val="auto"/>
        </w:rPr>
      </w:pPr>
    </w:p>
    <w:p>
      <w:pPr>
        <w:ind w:right="60" w:firstLine="464"/>
        <w:spacing w:after="0" w:line="255" w:lineRule="auto"/>
        <w:tabs>
          <w:tab w:leader="none" w:pos="661"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2" w:lineRule="exact"/>
        <w:rPr>
          <w:rFonts w:ascii="Arial" w:cs="Arial" w:eastAsia="Arial" w:hAnsi="Arial"/>
          <w:sz w:val="18"/>
          <w:szCs w:val="18"/>
          <w:color w:val="auto"/>
        </w:rPr>
      </w:pPr>
    </w:p>
    <w:p>
      <w:pPr>
        <w:ind w:right="160" w:firstLine="464"/>
        <w:spacing w:after="0" w:line="290" w:lineRule="auto"/>
        <w:tabs>
          <w:tab w:leader="none" w:pos="661"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any registrant, we have been advised that in the opinion of the Securities and Exchange Commission such indemnification is against public policy and is, therefore, unenforceable. In the event that a claim for indemnification against such liabilities (other than the payment by any registrant of expenses incurred or paid by a director, officer or controlling person of such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18" w:lineRule="exact"/>
        <w:rPr>
          <w:rFonts w:ascii="Arial" w:cs="Arial" w:eastAsia="Arial" w:hAnsi="Arial"/>
          <w:sz w:val="16"/>
          <w:szCs w:val="16"/>
          <w:color w:val="auto"/>
        </w:rPr>
      </w:pPr>
    </w:p>
    <w:p>
      <w:pPr>
        <w:ind w:left="680" w:hanging="216"/>
        <w:spacing w:after="0"/>
        <w:tabs>
          <w:tab w:leader="none" w:pos="6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11" w:lineRule="exact"/>
        <w:rPr>
          <w:rFonts w:ascii="Arial" w:cs="Arial" w:eastAsia="Arial" w:hAnsi="Arial"/>
          <w:sz w:val="18"/>
          <w:szCs w:val="18"/>
          <w:color w:val="auto"/>
        </w:rPr>
      </w:pPr>
    </w:p>
    <w:p>
      <w:pPr>
        <w:ind w:left="1120" w:right="320" w:hanging="437"/>
        <w:spacing w:after="0" w:line="305" w:lineRule="auto"/>
        <w:tabs>
          <w:tab w:leader="none" w:pos="1120" w:val="left"/>
        </w:tabs>
        <w:numPr>
          <w:ilvl w:val="2"/>
          <w:numId w:val="45"/>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Rules 424(b)(1) or</w:t>
      </w:r>
    </w:p>
    <w:p>
      <w:pPr>
        <w:ind w:left="1380" w:hanging="251"/>
        <w:spacing w:after="0"/>
        <w:tabs>
          <w:tab w:leader="none" w:pos="1380" w:val="left"/>
        </w:tabs>
        <w:numPr>
          <w:ilvl w:val="3"/>
          <w:numId w:val="45"/>
        </w:numPr>
        <w:rPr>
          <w:rFonts w:ascii="Arial" w:cs="Arial" w:eastAsia="Arial" w:hAnsi="Arial"/>
          <w:sz w:val="16"/>
          <w:szCs w:val="16"/>
          <w:color w:val="auto"/>
        </w:rPr>
      </w:pPr>
      <w:r>
        <w:rPr>
          <w:rFonts w:ascii="Arial" w:cs="Arial" w:eastAsia="Arial" w:hAnsi="Arial"/>
          <w:sz w:val="16"/>
          <w:szCs w:val="16"/>
          <w:color w:val="auto"/>
        </w:rPr>
        <w:t>or 497(h) under the Securities Act shall be deemed to be part of this registration statement as of the time it was declared effective.</w:t>
      </w:r>
    </w:p>
    <w:p>
      <w:pPr>
        <w:spacing w:after="0" w:line="228" w:lineRule="exact"/>
        <w:rPr>
          <w:rFonts w:ascii="Arial" w:cs="Arial" w:eastAsia="Arial" w:hAnsi="Arial"/>
          <w:sz w:val="16"/>
          <w:szCs w:val="16"/>
          <w:color w:val="auto"/>
        </w:rPr>
      </w:pPr>
    </w:p>
    <w:p>
      <w:pPr>
        <w:ind w:left="1120" w:right="20" w:hanging="437"/>
        <w:spacing w:after="0" w:line="259" w:lineRule="auto"/>
        <w:tabs>
          <w:tab w:leader="none" w:pos="11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0" w:lineRule="exact"/>
        <w:rPr>
          <w:rFonts w:ascii="Arial" w:cs="Arial" w:eastAsia="Arial" w:hAnsi="Arial"/>
          <w:sz w:val="18"/>
          <w:szCs w:val="18"/>
          <w:color w:val="auto"/>
        </w:rPr>
      </w:pPr>
    </w:p>
    <w:p>
      <w:pPr>
        <w:ind w:left="660" w:hanging="196"/>
        <w:spacing w:after="0"/>
        <w:tabs>
          <w:tab w:leader="none" w:pos="6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w:t>
      </w:r>
    </w:p>
    <w:p>
      <w:pPr>
        <w:spacing w:after="0" w:line="38" w:lineRule="exact"/>
        <w:rPr>
          <w:rFonts w:ascii="Arial" w:cs="Arial" w:eastAsia="Arial" w:hAnsi="Arial"/>
          <w:sz w:val="16"/>
          <w:szCs w:val="16"/>
          <w:color w:val="auto"/>
        </w:rPr>
      </w:pPr>
    </w:p>
    <w:p>
      <w:pPr>
        <w:ind w:firstLine="8"/>
        <w:spacing w:after="0" w:line="261" w:lineRule="auto"/>
        <w:tabs>
          <w:tab w:leader="none" w:pos="239" w:val="left"/>
        </w:tabs>
        <w:numPr>
          <w:ilvl w:val="0"/>
          <w:numId w:val="46"/>
        </w:numPr>
        <w:rPr>
          <w:rFonts w:ascii="Arial" w:cs="Arial" w:eastAsia="Arial" w:hAnsi="Arial"/>
          <w:sz w:val="18"/>
          <w:szCs w:val="18"/>
          <w:color w:val="auto"/>
        </w:rPr>
      </w:pPr>
      <w:r>
        <w:rPr>
          <w:rFonts w:ascii="Arial" w:cs="Arial" w:eastAsia="Arial" w:hAnsi="Arial"/>
          <w:sz w:val="18"/>
          <w:szCs w:val="18"/>
          <w:color w:val="auto"/>
        </w:rPr>
        <w:t>of subsection 310 of the Trust Indenture Act in accordance with the rules and regulations prescribed by the SEC under section 305(b)(2) of the Trust Indenture Act.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7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Austin, State of Texas, on the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September , 2006.</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ACTIVE POWER, INC.</w:t>
            </w:r>
          </w:p>
        </w:tc>
      </w:tr>
      <w:tr>
        <w:trPr>
          <w:trHeight w:val="434"/>
        </w:trPr>
        <w:tc>
          <w:tcPr>
            <w:tcW w:w="3680" w:type="dxa"/>
            <w:vAlign w:val="bottom"/>
          </w:tcPr>
          <w:p>
            <w:pPr>
              <w:spacing w:after="0"/>
              <w:rPr>
                <w:sz w:val="20"/>
                <w:szCs w:val="20"/>
                <w:color w:val="auto"/>
              </w:rPr>
            </w:pPr>
            <w:r>
              <w:rPr>
                <w:rFonts w:ascii="Arial" w:cs="Arial" w:eastAsia="Arial" w:hAnsi="Arial"/>
                <w:sz w:val="18"/>
                <w:szCs w:val="18"/>
                <w:color w:val="auto"/>
              </w:rPr>
              <w:t>Dated: September 1, 2006</w:t>
            </w:r>
          </w:p>
        </w:tc>
        <w:tc>
          <w:tcPr>
            <w:tcW w:w="2380" w:type="dxa"/>
            <w:vAlign w:val="bottom"/>
          </w:tcPr>
          <w:p>
            <w:pPr>
              <w:ind w:left="182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JAMES A. CLISHEM</w:t>
            </w:r>
          </w:p>
        </w:tc>
      </w:tr>
      <w:tr>
        <w:trPr>
          <w:trHeight w:val="215"/>
        </w:trPr>
        <w:tc>
          <w:tcPr>
            <w:tcW w:w="3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James A. Clishem, President and</w:t>
            </w:r>
          </w:p>
        </w:tc>
      </w:tr>
      <w:tr>
        <w:trPr>
          <w:trHeight w:val="222"/>
        </w:trPr>
        <w:tc>
          <w:tcPr>
            <w:tcW w:w="36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hereby severally constitutes and appoints, James Clishem and John Penver, and each or any of them, his true and lawful attorney-in-fact and agent, each with the power of substitution and resubstitution, for him in any and all capacities, to sign any and all amendments to this registration statement and to file the same, with exhibits thereto and other documents in connection therewith, with the Securities and Exchange Commission, hereby ratifying and confirming all that each said attorney-in-fact and agent, or his substitute or substitutes, may lawfully do or cause to be done by virtue hereof.</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on behalf of the registrant in the capacities set forth below on September 1, 2006.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r>
      <w:tr>
        <w:trPr>
          <w:trHeight w:val="437"/>
        </w:trPr>
        <w:tc>
          <w:tcPr>
            <w:tcW w:w="4820" w:type="dxa"/>
            <w:vAlign w:val="bottom"/>
            <w:tcBorders>
              <w:bottom w:val="single" w:sz="8" w:color="auto"/>
            </w:tcBorders>
          </w:tcPr>
          <w:p>
            <w:pPr>
              <w:jc w:val="center"/>
              <w:ind w:left="933"/>
              <w:spacing w:after="0"/>
              <w:rPr>
                <w:sz w:val="20"/>
                <w:szCs w:val="20"/>
                <w:color w:val="auto"/>
              </w:rPr>
            </w:pPr>
            <w:r>
              <w:rPr>
                <w:rFonts w:ascii="Arial" w:cs="Arial" w:eastAsia="Arial" w:hAnsi="Arial"/>
                <w:sz w:val="18"/>
                <w:szCs w:val="18"/>
                <w:color w:val="auto"/>
                <w:w w:val="94"/>
              </w:rPr>
              <w:t>/s/ JAMES A. CLISHEM</w:t>
            </w:r>
          </w:p>
        </w:tc>
        <w:tc>
          <w:tcPr>
            <w:tcW w:w="10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Chief Executive Officer and</w:t>
            </w:r>
          </w:p>
        </w:tc>
      </w:tr>
      <w:tr>
        <w:trPr>
          <w:trHeight w:val="218"/>
        </w:trPr>
        <w:tc>
          <w:tcPr>
            <w:tcW w:w="4820" w:type="dxa"/>
            <w:vAlign w:val="bottom"/>
          </w:tcPr>
          <w:p>
            <w:pPr>
              <w:jc w:val="center"/>
              <w:ind w:left="933"/>
              <w:spacing w:after="0"/>
              <w:rPr>
                <w:sz w:val="20"/>
                <w:szCs w:val="20"/>
                <w:color w:val="auto"/>
              </w:rPr>
            </w:pPr>
            <w:r>
              <w:rPr>
                <w:rFonts w:ascii="Arial" w:cs="Arial" w:eastAsia="Arial" w:hAnsi="Arial"/>
                <w:sz w:val="18"/>
                <w:szCs w:val="18"/>
                <w:color w:val="auto"/>
                <w:w w:val="88"/>
              </w:rPr>
              <w:t>James A. Clishem</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Director (principal executive officer)</w:t>
            </w:r>
          </w:p>
        </w:tc>
      </w:tr>
      <w:tr>
        <w:trPr>
          <w:trHeight w:val="437"/>
        </w:trPr>
        <w:tc>
          <w:tcPr>
            <w:tcW w:w="4820" w:type="dxa"/>
            <w:vAlign w:val="bottom"/>
            <w:tcBorders>
              <w:bottom w:val="single" w:sz="8" w:color="auto"/>
            </w:tcBorders>
          </w:tcPr>
          <w:p>
            <w:pPr>
              <w:jc w:val="center"/>
              <w:ind w:left="933"/>
              <w:spacing w:after="0"/>
              <w:rPr>
                <w:sz w:val="20"/>
                <w:szCs w:val="20"/>
                <w:color w:val="auto"/>
              </w:rPr>
            </w:pPr>
            <w:r>
              <w:rPr>
                <w:rFonts w:ascii="Arial" w:cs="Arial" w:eastAsia="Arial" w:hAnsi="Arial"/>
                <w:sz w:val="18"/>
                <w:szCs w:val="18"/>
                <w:color w:val="auto"/>
                <w:w w:val="91"/>
              </w:rPr>
              <w:t>/s/ JOHN K. PENVER</w:t>
            </w:r>
          </w:p>
        </w:tc>
        <w:tc>
          <w:tcPr>
            <w:tcW w:w="10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Vice President – Finance, Chief Financial Officer and Secretary</w:t>
            </w:r>
          </w:p>
        </w:tc>
      </w:tr>
      <w:tr>
        <w:trPr>
          <w:trHeight w:val="218"/>
        </w:trPr>
        <w:tc>
          <w:tcPr>
            <w:tcW w:w="4820" w:type="dxa"/>
            <w:vAlign w:val="bottom"/>
          </w:tcPr>
          <w:p>
            <w:pPr>
              <w:jc w:val="center"/>
              <w:ind w:left="933"/>
              <w:spacing w:after="0"/>
              <w:rPr>
                <w:sz w:val="20"/>
                <w:szCs w:val="20"/>
                <w:color w:val="auto"/>
              </w:rPr>
            </w:pPr>
            <w:r>
              <w:rPr>
                <w:rFonts w:ascii="Arial" w:cs="Arial" w:eastAsia="Arial" w:hAnsi="Arial"/>
                <w:sz w:val="18"/>
                <w:szCs w:val="18"/>
                <w:color w:val="auto"/>
                <w:w w:val="87"/>
              </w:rPr>
              <w:t>John K. Penver</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(principal financial and accounting officer)</w:t>
            </w:r>
          </w:p>
        </w:tc>
      </w:tr>
      <w:tr>
        <w:trPr>
          <w:trHeight w:val="438"/>
        </w:trPr>
        <w:tc>
          <w:tcPr>
            <w:tcW w:w="4820" w:type="dxa"/>
            <w:vAlign w:val="bottom"/>
            <w:tcBorders>
              <w:bottom w:val="single" w:sz="8" w:color="auto"/>
            </w:tcBorders>
          </w:tcPr>
          <w:p>
            <w:pPr>
              <w:jc w:val="center"/>
              <w:ind w:left="933"/>
              <w:spacing w:after="0"/>
              <w:rPr>
                <w:sz w:val="20"/>
                <w:szCs w:val="20"/>
                <w:color w:val="auto"/>
              </w:rPr>
            </w:pPr>
            <w:r>
              <w:rPr>
                <w:rFonts w:ascii="Arial" w:cs="Arial" w:eastAsia="Arial" w:hAnsi="Arial"/>
                <w:sz w:val="18"/>
                <w:szCs w:val="18"/>
                <w:color w:val="auto"/>
                <w:w w:val="90"/>
              </w:rPr>
              <w:t>/s/ JOSEPH F. PINKERTON, III</w:t>
            </w:r>
          </w:p>
        </w:tc>
        <w:tc>
          <w:tcPr>
            <w:tcW w:w="10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217"/>
        </w:trPr>
        <w:tc>
          <w:tcPr>
            <w:tcW w:w="4820" w:type="dxa"/>
            <w:vAlign w:val="bottom"/>
          </w:tcPr>
          <w:p>
            <w:pPr>
              <w:jc w:val="center"/>
              <w:ind w:left="933"/>
              <w:spacing w:after="0"/>
              <w:rPr>
                <w:sz w:val="20"/>
                <w:szCs w:val="20"/>
                <w:color w:val="auto"/>
              </w:rPr>
            </w:pPr>
            <w:r>
              <w:rPr>
                <w:rFonts w:ascii="Arial" w:cs="Arial" w:eastAsia="Arial" w:hAnsi="Arial"/>
                <w:sz w:val="18"/>
                <w:szCs w:val="18"/>
                <w:color w:val="auto"/>
                <w:w w:val="88"/>
              </w:rPr>
              <w:t>Joseph F. Pinkerton, III</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438"/>
        </w:trPr>
        <w:tc>
          <w:tcPr>
            <w:tcW w:w="4820" w:type="dxa"/>
            <w:vAlign w:val="bottom"/>
            <w:tcBorders>
              <w:bottom w:val="single" w:sz="8" w:color="auto"/>
            </w:tcBorders>
          </w:tcPr>
          <w:p>
            <w:pPr>
              <w:jc w:val="center"/>
              <w:ind w:left="933"/>
              <w:spacing w:after="0"/>
              <w:rPr>
                <w:sz w:val="20"/>
                <w:szCs w:val="20"/>
                <w:color w:val="auto"/>
              </w:rPr>
            </w:pPr>
            <w:r>
              <w:rPr>
                <w:rFonts w:ascii="Arial" w:cs="Arial" w:eastAsia="Arial" w:hAnsi="Arial"/>
                <w:sz w:val="18"/>
                <w:szCs w:val="18"/>
                <w:color w:val="auto"/>
                <w:w w:val="96"/>
              </w:rPr>
              <w:t>/s/ AKE ALMGREN</w:t>
            </w:r>
          </w:p>
        </w:tc>
        <w:tc>
          <w:tcPr>
            <w:tcW w:w="10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4820" w:type="dxa"/>
            <w:vAlign w:val="bottom"/>
          </w:tcPr>
          <w:p>
            <w:pPr>
              <w:jc w:val="center"/>
              <w:ind w:left="933"/>
              <w:spacing w:after="0"/>
              <w:rPr>
                <w:sz w:val="20"/>
                <w:szCs w:val="20"/>
                <w:color w:val="auto"/>
              </w:rPr>
            </w:pPr>
            <w:r>
              <w:rPr>
                <w:rFonts w:ascii="Arial" w:cs="Arial" w:eastAsia="Arial" w:hAnsi="Arial"/>
                <w:sz w:val="18"/>
                <w:szCs w:val="18"/>
                <w:color w:val="auto"/>
                <w:w w:val="93"/>
              </w:rPr>
              <w:t>Ake Almgren</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438"/>
        </w:trPr>
        <w:tc>
          <w:tcPr>
            <w:tcW w:w="4820" w:type="dxa"/>
            <w:vAlign w:val="bottom"/>
            <w:tcBorders>
              <w:bottom w:val="single" w:sz="8" w:color="auto"/>
            </w:tcBorders>
          </w:tcPr>
          <w:p>
            <w:pPr>
              <w:jc w:val="center"/>
              <w:ind w:left="933"/>
              <w:spacing w:after="0"/>
              <w:rPr>
                <w:sz w:val="20"/>
                <w:szCs w:val="20"/>
                <w:color w:val="auto"/>
              </w:rPr>
            </w:pPr>
            <w:r>
              <w:rPr>
                <w:rFonts w:ascii="Arial" w:cs="Arial" w:eastAsia="Arial" w:hAnsi="Arial"/>
                <w:sz w:val="18"/>
                <w:szCs w:val="18"/>
                <w:color w:val="auto"/>
                <w:w w:val="93"/>
              </w:rPr>
              <w:t>/s/ RICHARD E. ANDERSON</w:t>
            </w:r>
          </w:p>
        </w:tc>
        <w:tc>
          <w:tcPr>
            <w:tcW w:w="10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4820" w:type="dxa"/>
            <w:vAlign w:val="bottom"/>
          </w:tcPr>
          <w:p>
            <w:pPr>
              <w:jc w:val="center"/>
              <w:ind w:left="933"/>
              <w:spacing w:after="0"/>
              <w:rPr>
                <w:sz w:val="20"/>
                <w:szCs w:val="20"/>
                <w:color w:val="auto"/>
              </w:rPr>
            </w:pPr>
            <w:r>
              <w:rPr>
                <w:rFonts w:ascii="Arial" w:cs="Arial" w:eastAsia="Arial" w:hAnsi="Arial"/>
                <w:sz w:val="18"/>
                <w:szCs w:val="18"/>
                <w:color w:val="auto"/>
                <w:w w:val="89"/>
              </w:rPr>
              <w:t>Richard E. Anderson</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438"/>
        </w:trPr>
        <w:tc>
          <w:tcPr>
            <w:tcW w:w="4820" w:type="dxa"/>
            <w:vAlign w:val="bottom"/>
            <w:tcBorders>
              <w:bottom w:val="single" w:sz="8" w:color="auto"/>
            </w:tcBorders>
          </w:tcPr>
          <w:p>
            <w:pPr>
              <w:jc w:val="center"/>
              <w:ind w:left="933"/>
              <w:spacing w:after="0"/>
              <w:rPr>
                <w:sz w:val="20"/>
                <w:szCs w:val="20"/>
                <w:color w:val="auto"/>
              </w:rPr>
            </w:pPr>
            <w:r>
              <w:rPr>
                <w:rFonts w:ascii="Arial" w:cs="Arial" w:eastAsia="Arial" w:hAnsi="Arial"/>
                <w:sz w:val="18"/>
                <w:szCs w:val="18"/>
                <w:color w:val="auto"/>
                <w:w w:val="93"/>
              </w:rPr>
              <w:t>/s/ RODNEY S. BOND</w:t>
            </w:r>
          </w:p>
        </w:tc>
        <w:tc>
          <w:tcPr>
            <w:tcW w:w="10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4820" w:type="dxa"/>
            <w:vAlign w:val="bottom"/>
          </w:tcPr>
          <w:p>
            <w:pPr>
              <w:jc w:val="center"/>
              <w:ind w:left="933"/>
              <w:spacing w:after="0"/>
              <w:rPr>
                <w:sz w:val="20"/>
                <w:szCs w:val="20"/>
                <w:color w:val="auto"/>
              </w:rPr>
            </w:pPr>
            <w:r>
              <w:rPr>
                <w:rFonts w:ascii="Arial" w:cs="Arial" w:eastAsia="Arial" w:hAnsi="Arial"/>
                <w:sz w:val="18"/>
                <w:szCs w:val="18"/>
                <w:color w:val="auto"/>
                <w:w w:val="88"/>
              </w:rPr>
              <w:t>Rodney S. Bond</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438"/>
        </w:trPr>
        <w:tc>
          <w:tcPr>
            <w:tcW w:w="4820" w:type="dxa"/>
            <w:vAlign w:val="bottom"/>
            <w:tcBorders>
              <w:bottom w:val="single" w:sz="8" w:color="auto"/>
            </w:tcBorders>
          </w:tcPr>
          <w:p>
            <w:pPr>
              <w:jc w:val="center"/>
              <w:ind w:left="933"/>
              <w:spacing w:after="0"/>
              <w:rPr>
                <w:sz w:val="20"/>
                <w:szCs w:val="20"/>
                <w:color w:val="auto"/>
              </w:rPr>
            </w:pPr>
            <w:r>
              <w:rPr>
                <w:rFonts w:ascii="Arial" w:cs="Arial" w:eastAsia="Arial" w:hAnsi="Arial"/>
                <w:sz w:val="18"/>
                <w:szCs w:val="18"/>
                <w:color w:val="auto"/>
                <w:w w:val="92"/>
              </w:rPr>
              <w:t>/s/ BRAD BOSTON</w:t>
            </w:r>
          </w:p>
        </w:tc>
        <w:tc>
          <w:tcPr>
            <w:tcW w:w="10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4820" w:type="dxa"/>
            <w:vAlign w:val="bottom"/>
          </w:tcPr>
          <w:p>
            <w:pPr>
              <w:jc w:val="center"/>
              <w:ind w:left="933"/>
              <w:spacing w:after="0"/>
              <w:rPr>
                <w:sz w:val="20"/>
                <w:szCs w:val="20"/>
                <w:color w:val="auto"/>
              </w:rPr>
            </w:pPr>
            <w:r>
              <w:rPr>
                <w:rFonts w:ascii="Arial" w:cs="Arial" w:eastAsia="Arial" w:hAnsi="Arial"/>
                <w:sz w:val="18"/>
                <w:szCs w:val="18"/>
                <w:color w:val="auto"/>
                <w:w w:val="88"/>
              </w:rPr>
              <w:t>Brad Boston</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438"/>
        </w:trPr>
        <w:tc>
          <w:tcPr>
            <w:tcW w:w="4820" w:type="dxa"/>
            <w:vAlign w:val="bottom"/>
            <w:tcBorders>
              <w:bottom w:val="single" w:sz="8" w:color="auto"/>
            </w:tcBorders>
          </w:tcPr>
          <w:p>
            <w:pPr>
              <w:jc w:val="center"/>
              <w:ind w:left="933"/>
              <w:spacing w:after="0"/>
              <w:rPr>
                <w:sz w:val="20"/>
                <w:szCs w:val="20"/>
                <w:color w:val="auto"/>
              </w:rPr>
            </w:pPr>
            <w:r>
              <w:rPr>
                <w:rFonts w:ascii="Arial" w:cs="Arial" w:eastAsia="Arial" w:hAnsi="Arial"/>
                <w:sz w:val="18"/>
                <w:szCs w:val="18"/>
                <w:color w:val="auto"/>
                <w:w w:val="95"/>
              </w:rPr>
              <w:t>/s/ JAN H. LINDELOW</w:t>
            </w:r>
          </w:p>
        </w:tc>
        <w:tc>
          <w:tcPr>
            <w:tcW w:w="10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4820" w:type="dxa"/>
            <w:vAlign w:val="bottom"/>
          </w:tcPr>
          <w:p>
            <w:pPr>
              <w:jc w:val="center"/>
              <w:ind w:left="933"/>
              <w:spacing w:after="0"/>
              <w:rPr>
                <w:sz w:val="20"/>
                <w:szCs w:val="20"/>
                <w:color w:val="auto"/>
              </w:rPr>
            </w:pPr>
            <w:r>
              <w:rPr>
                <w:rFonts w:ascii="Arial" w:cs="Arial" w:eastAsia="Arial" w:hAnsi="Arial"/>
                <w:sz w:val="18"/>
                <w:szCs w:val="18"/>
                <w:color w:val="auto"/>
                <w:w w:val="90"/>
              </w:rPr>
              <w:t>Jan H. Lindelow</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438"/>
        </w:trPr>
        <w:tc>
          <w:tcPr>
            <w:tcW w:w="4820" w:type="dxa"/>
            <w:vAlign w:val="bottom"/>
            <w:tcBorders>
              <w:bottom w:val="single" w:sz="8" w:color="auto"/>
            </w:tcBorders>
          </w:tcPr>
          <w:p>
            <w:pPr>
              <w:jc w:val="center"/>
              <w:ind w:left="933"/>
              <w:spacing w:after="0"/>
              <w:rPr>
                <w:sz w:val="20"/>
                <w:szCs w:val="20"/>
                <w:color w:val="auto"/>
              </w:rPr>
            </w:pPr>
            <w:r>
              <w:rPr>
                <w:rFonts w:ascii="Arial" w:cs="Arial" w:eastAsia="Arial" w:hAnsi="Arial"/>
                <w:sz w:val="18"/>
                <w:szCs w:val="18"/>
                <w:color w:val="auto"/>
                <w:w w:val="91"/>
              </w:rPr>
              <w:t>/s/ TERRENCE L. ROCK</w:t>
            </w:r>
          </w:p>
        </w:tc>
        <w:tc>
          <w:tcPr>
            <w:tcW w:w="10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4820" w:type="dxa"/>
            <w:vAlign w:val="bottom"/>
          </w:tcPr>
          <w:p>
            <w:pPr>
              <w:jc w:val="center"/>
              <w:ind w:left="913"/>
              <w:spacing w:after="0"/>
              <w:rPr>
                <w:sz w:val="20"/>
                <w:szCs w:val="20"/>
                <w:color w:val="auto"/>
              </w:rPr>
            </w:pPr>
            <w:r>
              <w:rPr>
                <w:rFonts w:ascii="Arial" w:cs="Arial" w:eastAsia="Arial" w:hAnsi="Arial"/>
                <w:sz w:val="18"/>
                <w:szCs w:val="18"/>
                <w:color w:val="auto"/>
                <w:w w:val="88"/>
              </w:rPr>
              <w:t>Terrence L. Rock</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438"/>
        </w:trPr>
        <w:tc>
          <w:tcPr>
            <w:tcW w:w="4820" w:type="dxa"/>
            <w:vAlign w:val="bottom"/>
            <w:tcBorders>
              <w:bottom w:val="single" w:sz="8" w:color="auto"/>
            </w:tcBorders>
          </w:tcPr>
          <w:p>
            <w:pPr>
              <w:jc w:val="center"/>
              <w:ind w:left="933"/>
              <w:spacing w:after="0"/>
              <w:rPr>
                <w:sz w:val="20"/>
                <w:szCs w:val="20"/>
                <w:color w:val="auto"/>
              </w:rPr>
            </w:pPr>
            <w:r>
              <w:rPr>
                <w:rFonts w:ascii="Arial" w:cs="Arial" w:eastAsia="Arial" w:hAnsi="Arial"/>
                <w:sz w:val="18"/>
                <w:szCs w:val="18"/>
                <w:color w:val="auto"/>
                <w:w w:val="93"/>
              </w:rPr>
              <w:t>/s/ BENJAMIN L. SCOTT</w:t>
            </w:r>
          </w:p>
        </w:tc>
        <w:tc>
          <w:tcPr>
            <w:tcW w:w="10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4820" w:type="dxa"/>
            <w:vAlign w:val="bottom"/>
          </w:tcPr>
          <w:p>
            <w:pPr>
              <w:jc w:val="center"/>
              <w:ind w:left="933"/>
              <w:spacing w:after="0"/>
              <w:rPr>
                <w:sz w:val="20"/>
                <w:szCs w:val="20"/>
                <w:color w:val="auto"/>
              </w:rPr>
            </w:pPr>
            <w:r>
              <w:rPr>
                <w:rFonts w:ascii="Arial" w:cs="Arial" w:eastAsia="Arial" w:hAnsi="Arial"/>
                <w:sz w:val="18"/>
                <w:szCs w:val="18"/>
                <w:color w:val="auto"/>
                <w:w w:val="90"/>
              </w:rPr>
              <w:t>Benjamin L. Scott</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370"/>
        </w:trPr>
        <w:tc>
          <w:tcPr>
            <w:tcW w:w="4820" w:type="dxa"/>
            <w:vAlign w:val="bottom"/>
          </w:tcPr>
          <w:p>
            <w:pPr>
              <w:spacing w:after="0"/>
              <w:rPr>
                <w:sz w:val="24"/>
                <w:szCs w:val="24"/>
                <w:color w:val="auto"/>
              </w:rPr>
            </w:pPr>
          </w:p>
        </w:tc>
        <w:tc>
          <w:tcPr>
            <w:tcW w:w="6600" w:type="dxa"/>
            <w:vAlign w:val="bottom"/>
            <w:gridSpan w:val="3"/>
          </w:tcPr>
          <w:p>
            <w:pPr>
              <w:ind w:left="760"/>
              <w:spacing w:after="0"/>
              <w:rPr>
                <w:sz w:val="20"/>
                <w:szCs w:val="20"/>
                <w:color w:val="auto"/>
              </w:rPr>
            </w:pPr>
            <w:r>
              <w:rPr>
                <w:rFonts w:ascii="Arial" w:cs="Arial" w:eastAsia="Arial" w:hAnsi="Arial"/>
                <w:sz w:val="18"/>
                <w:szCs w:val="18"/>
                <w:color w:val="auto"/>
              </w:rPr>
              <w:t>II-5</w:t>
            </w: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360" w:type="dxa"/>
            <w:vAlign w:val="bottom"/>
          </w:tcPr>
          <w:p>
            <w:pPr>
              <w:ind w:left="3860"/>
              <w:spacing w:after="0"/>
              <w:rPr>
                <w:sz w:val="20"/>
                <w:szCs w:val="20"/>
                <w:color w:val="auto"/>
              </w:rPr>
            </w:pPr>
            <w:r>
              <w:rPr>
                <w:rFonts w:ascii="Arial" w:cs="Arial" w:eastAsia="Arial" w:hAnsi="Arial"/>
                <w:sz w:val="18"/>
                <w:szCs w:val="18"/>
                <w:b w:val="1"/>
                <w:bCs w:val="1"/>
                <w:color w:val="auto"/>
              </w:rPr>
              <w:t>LIST OF EXHIBITS</w:t>
            </w:r>
          </w:p>
        </w:tc>
      </w:tr>
      <w:tr>
        <w:trPr>
          <w:trHeight w:val="373"/>
        </w:trPr>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Exhibit No.</w:t>
            </w:r>
          </w:p>
        </w:tc>
        <w:tc>
          <w:tcPr>
            <w:tcW w:w="100" w:type="dxa"/>
            <w:vAlign w:val="bottom"/>
          </w:tcPr>
          <w:p>
            <w:pPr>
              <w:spacing w:after="0"/>
              <w:rPr>
                <w:sz w:val="24"/>
                <w:szCs w:val="24"/>
                <w:color w:val="auto"/>
              </w:rPr>
            </w:pPr>
          </w:p>
        </w:tc>
        <w:tc>
          <w:tcPr>
            <w:tcW w:w="10360" w:type="dxa"/>
            <w:vAlign w:val="bottom"/>
            <w:tcBorders>
              <w:bottom w:val="single" w:sz="8" w:color="auto"/>
            </w:tcBorders>
          </w:tcPr>
          <w:p>
            <w:pPr>
              <w:ind w:left="4960"/>
              <w:spacing w:after="0"/>
              <w:rPr>
                <w:sz w:val="20"/>
                <w:szCs w:val="20"/>
                <w:color w:val="auto"/>
              </w:rPr>
            </w:pPr>
            <w:r>
              <w:rPr>
                <w:rFonts w:ascii="Arial" w:cs="Arial" w:eastAsia="Arial" w:hAnsi="Arial"/>
                <w:sz w:val="14"/>
                <w:szCs w:val="14"/>
                <w:b w:val="1"/>
                <w:bCs w:val="1"/>
                <w:color w:val="auto"/>
              </w:rPr>
              <w:t>Exhibit</w:t>
            </w:r>
          </w:p>
        </w:tc>
      </w:tr>
      <w:tr>
        <w:trPr>
          <w:trHeight w:val="195"/>
        </w:trPr>
        <w:tc>
          <w:tcPr>
            <w:tcW w:w="720" w:type="dxa"/>
            <w:vAlign w:val="bottom"/>
          </w:tcPr>
          <w:p>
            <w:pPr>
              <w:ind w:left="180"/>
              <w:spacing w:after="0" w:line="195" w:lineRule="exact"/>
              <w:rPr>
                <w:sz w:val="20"/>
                <w:szCs w:val="20"/>
                <w:color w:val="auto"/>
              </w:rPr>
            </w:pPr>
            <w:r>
              <w:rPr>
                <w:rFonts w:ascii="Arial" w:cs="Arial" w:eastAsia="Arial" w:hAnsi="Arial"/>
                <w:sz w:val="18"/>
                <w:szCs w:val="18"/>
                <w:color w:val="auto"/>
              </w:rPr>
              <w:t>1.1*</w:t>
            </w:r>
          </w:p>
        </w:tc>
        <w:tc>
          <w:tcPr>
            <w:tcW w:w="340" w:type="dxa"/>
            <w:vAlign w:val="bottom"/>
            <w:gridSpan w:val="2"/>
          </w:tcPr>
          <w:p>
            <w:pPr>
              <w:ind w:left="60"/>
              <w:spacing w:after="0" w:line="195" w:lineRule="exact"/>
              <w:rPr>
                <w:sz w:val="20"/>
                <w:szCs w:val="20"/>
                <w:color w:val="auto"/>
              </w:rPr>
            </w:pPr>
            <w:r>
              <w:rPr>
                <w:rFonts w:ascii="Arial" w:cs="Arial" w:eastAsia="Arial" w:hAnsi="Arial"/>
                <w:sz w:val="18"/>
                <w:szCs w:val="18"/>
                <w:color w:val="auto"/>
              </w:rPr>
              <w:t>—</w:t>
            </w:r>
          </w:p>
        </w:tc>
        <w:tc>
          <w:tcPr>
            <w:tcW w:w="10360" w:type="dxa"/>
            <w:vAlign w:val="bottom"/>
          </w:tcPr>
          <w:p>
            <w:pPr>
              <w:spacing w:after="0" w:line="195" w:lineRule="exact"/>
              <w:rPr>
                <w:sz w:val="20"/>
                <w:szCs w:val="20"/>
                <w:color w:val="auto"/>
              </w:rPr>
            </w:pPr>
            <w:r>
              <w:rPr>
                <w:rFonts w:ascii="Arial" w:cs="Arial" w:eastAsia="Arial" w:hAnsi="Arial"/>
                <w:sz w:val="18"/>
                <w:szCs w:val="18"/>
                <w:color w:val="auto"/>
              </w:rPr>
              <w:t>Form of Underwriting Agreement.</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4.1</w:t>
            </w:r>
          </w:p>
        </w:tc>
        <w:tc>
          <w:tcPr>
            <w:tcW w:w="10700" w:type="dxa"/>
            <w:vAlign w:val="bottom"/>
            <w:gridSpan w:val="3"/>
          </w:tcPr>
          <w:p>
            <w:pPr>
              <w:ind w:left="60"/>
              <w:spacing w:after="0"/>
              <w:rPr>
                <w:sz w:val="20"/>
                <w:szCs w:val="20"/>
                <w:color w:val="auto"/>
              </w:rPr>
            </w:pPr>
            <w:r>
              <w:rPr>
                <w:rFonts w:ascii="Arial" w:cs="Arial" w:eastAsia="Arial" w:hAnsi="Arial"/>
                <w:sz w:val="18"/>
                <w:szCs w:val="18"/>
                <w:color w:val="auto"/>
                <w:w w:val="92"/>
              </w:rPr>
              <w:t>— Specimen certificate for shares of common stock (filed as Exhibit 4.1 to Active Power’s registration statement on Form S-1 (SEC File No. 333-</w:t>
            </w:r>
          </w:p>
        </w:tc>
      </w:tr>
      <w:tr>
        <w:trPr>
          <w:trHeight w:val="216"/>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60" w:type="dxa"/>
            <w:vAlign w:val="bottom"/>
            <w:gridSpan w:val="2"/>
          </w:tcPr>
          <w:p>
            <w:pPr>
              <w:ind w:left="100"/>
              <w:spacing w:after="0"/>
              <w:rPr>
                <w:sz w:val="20"/>
                <w:szCs w:val="20"/>
                <w:color w:val="auto"/>
              </w:rPr>
            </w:pPr>
            <w:r>
              <w:rPr>
                <w:rFonts w:ascii="Arial" w:cs="Arial" w:eastAsia="Arial" w:hAnsi="Arial"/>
                <w:sz w:val="18"/>
                <w:szCs w:val="18"/>
                <w:color w:val="auto"/>
              </w:rPr>
              <w:t>36946)).</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4.2</w:t>
            </w:r>
          </w:p>
        </w:tc>
        <w:tc>
          <w:tcPr>
            <w:tcW w:w="10700" w:type="dxa"/>
            <w:vAlign w:val="bottom"/>
            <w:gridSpan w:val="3"/>
          </w:tcPr>
          <w:p>
            <w:pPr>
              <w:ind w:left="60"/>
              <w:spacing w:after="0"/>
              <w:rPr>
                <w:sz w:val="20"/>
                <w:szCs w:val="20"/>
                <w:color w:val="auto"/>
              </w:rPr>
            </w:pPr>
            <w:r>
              <w:rPr>
                <w:rFonts w:ascii="Arial" w:cs="Arial" w:eastAsia="Arial" w:hAnsi="Arial"/>
                <w:sz w:val="18"/>
                <w:szCs w:val="18"/>
                <w:color w:val="auto"/>
                <w:w w:val="90"/>
              </w:rPr>
              <w:t>— Rights Agreement, dated as of December 13, 2001, between the Active Power and Equiserve Trust N.A., which includes the form of Certificate of</w:t>
            </w:r>
          </w:p>
        </w:tc>
      </w:tr>
      <w:tr>
        <w:trPr>
          <w:trHeight w:val="216"/>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60" w:type="dxa"/>
            <w:vAlign w:val="bottom"/>
            <w:gridSpan w:val="2"/>
          </w:tcPr>
          <w:p>
            <w:pPr>
              <w:ind w:left="100"/>
              <w:spacing w:after="0"/>
              <w:rPr>
                <w:sz w:val="20"/>
                <w:szCs w:val="20"/>
                <w:color w:val="auto"/>
              </w:rPr>
            </w:pPr>
            <w:r>
              <w:rPr>
                <w:rFonts w:ascii="Arial" w:cs="Arial" w:eastAsia="Arial" w:hAnsi="Arial"/>
                <w:sz w:val="18"/>
                <w:szCs w:val="18"/>
                <w:color w:val="auto"/>
                <w:w w:val="92"/>
              </w:rPr>
              <w:t>Designation for the Series A Junior Participating Preferred Stock as Exhibit A, the form of Rights Certificate as Exhibit B and the Summary of</w:t>
            </w:r>
          </w:p>
        </w:tc>
      </w:tr>
      <w:tr>
        <w:trPr>
          <w:trHeight w:val="216"/>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60" w:type="dxa"/>
            <w:vAlign w:val="bottom"/>
            <w:gridSpan w:val="2"/>
          </w:tcPr>
          <w:p>
            <w:pPr>
              <w:ind w:left="100"/>
              <w:spacing w:after="0"/>
              <w:rPr>
                <w:sz w:val="20"/>
                <w:szCs w:val="20"/>
                <w:color w:val="auto"/>
              </w:rPr>
            </w:pPr>
            <w:r>
              <w:rPr>
                <w:rFonts w:ascii="Arial" w:cs="Arial" w:eastAsia="Arial" w:hAnsi="Arial"/>
                <w:sz w:val="18"/>
                <w:szCs w:val="18"/>
                <w:color w:val="auto"/>
                <w:w w:val="90"/>
              </w:rPr>
              <w:t>Rights to Purchase Series A Preferred Stock as Exhibit C (filed as Exhibit 4.1 to Active Power’s Current Report on Form 8-K filed December 14,</w:t>
            </w:r>
          </w:p>
        </w:tc>
      </w:tr>
      <w:tr>
        <w:trPr>
          <w:trHeight w:val="216"/>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60" w:type="dxa"/>
            <w:vAlign w:val="bottom"/>
            <w:gridSpan w:val="2"/>
          </w:tcPr>
          <w:p>
            <w:pPr>
              <w:ind w:left="100"/>
              <w:spacing w:after="0"/>
              <w:rPr>
                <w:sz w:val="20"/>
                <w:szCs w:val="20"/>
                <w:color w:val="auto"/>
              </w:rPr>
            </w:pPr>
            <w:r>
              <w:rPr>
                <w:rFonts w:ascii="Arial" w:cs="Arial" w:eastAsia="Arial" w:hAnsi="Arial"/>
                <w:sz w:val="18"/>
                <w:szCs w:val="18"/>
                <w:color w:val="auto"/>
              </w:rPr>
              <w:t>2001).</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4.3*</w:t>
            </w:r>
          </w:p>
        </w:tc>
        <w:tc>
          <w:tcPr>
            <w:tcW w:w="10700" w:type="dxa"/>
            <w:vAlign w:val="bottom"/>
            <w:gridSpan w:val="3"/>
          </w:tcPr>
          <w:p>
            <w:pPr>
              <w:ind w:left="60"/>
              <w:spacing w:after="0"/>
              <w:rPr>
                <w:sz w:val="20"/>
                <w:szCs w:val="20"/>
                <w:color w:val="auto"/>
              </w:rPr>
            </w:pPr>
            <w:r>
              <w:rPr>
                <w:rFonts w:ascii="Arial" w:cs="Arial" w:eastAsia="Arial" w:hAnsi="Arial"/>
                <w:sz w:val="18"/>
                <w:szCs w:val="18"/>
                <w:color w:val="auto"/>
              </w:rPr>
              <w:t>— Specimen certificate for shares of Preferred Stock.</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4.4**</w:t>
            </w:r>
          </w:p>
        </w:tc>
        <w:tc>
          <w:tcPr>
            <w:tcW w:w="10700" w:type="dxa"/>
            <w:vAlign w:val="bottom"/>
            <w:gridSpan w:val="3"/>
          </w:tcPr>
          <w:p>
            <w:pPr>
              <w:ind w:left="60"/>
              <w:spacing w:after="0"/>
              <w:rPr>
                <w:sz w:val="20"/>
                <w:szCs w:val="20"/>
                <w:color w:val="auto"/>
              </w:rPr>
            </w:pPr>
            <w:r>
              <w:rPr>
                <w:rFonts w:ascii="Arial" w:cs="Arial" w:eastAsia="Arial" w:hAnsi="Arial"/>
                <w:sz w:val="18"/>
                <w:szCs w:val="18"/>
                <w:color w:val="auto"/>
              </w:rPr>
              <w:t>— Form of Senior Debt Indenture (including form of senior debt security).</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4.5**</w:t>
            </w:r>
          </w:p>
        </w:tc>
        <w:tc>
          <w:tcPr>
            <w:tcW w:w="10700" w:type="dxa"/>
            <w:vAlign w:val="bottom"/>
            <w:gridSpan w:val="3"/>
          </w:tcPr>
          <w:p>
            <w:pPr>
              <w:ind w:left="60"/>
              <w:spacing w:after="0"/>
              <w:rPr>
                <w:sz w:val="20"/>
                <w:szCs w:val="20"/>
                <w:color w:val="auto"/>
              </w:rPr>
            </w:pPr>
            <w:r>
              <w:rPr>
                <w:rFonts w:ascii="Arial" w:cs="Arial" w:eastAsia="Arial" w:hAnsi="Arial"/>
                <w:sz w:val="18"/>
                <w:szCs w:val="18"/>
                <w:color w:val="auto"/>
              </w:rPr>
              <w:t>— Form of Subordinated Debt Indenture (including form of subordinated debt security).</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4.6*</w:t>
            </w:r>
          </w:p>
        </w:tc>
        <w:tc>
          <w:tcPr>
            <w:tcW w:w="10700" w:type="dxa"/>
            <w:vAlign w:val="bottom"/>
            <w:gridSpan w:val="3"/>
          </w:tcPr>
          <w:p>
            <w:pPr>
              <w:ind w:left="60"/>
              <w:spacing w:after="0"/>
              <w:rPr>
                <w:sz w:val="20"/>
                <w:szCs w:val="20"/>
                <w:color w:val="auto"/>
              </w:rPr>
            </w:pPr>
            <w:r>
              <w:rPr>
                <w:rFonts w:ascii="Arial" w:cs="Arial" w:eastAsia="Arial" w:hAnsi="Arial"/>
                <w:sz w:val="18"/>
                <w:szCs w:val="18"/>
                <w:color w:val="auto"/>
              </w:rPr>
              <w:t>— Form of Warrant Agreement (including form of warrant certificate).</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5.1*</w:t>
            </w:r>
          </w:p>
        </w:tc>
        <w:tc>
          <w:tcPr>
            <w:tcW w:w="10700" w:type="dxa"/>
            <w:vAlign w:val="bottom"/>
            <w:gridSpan w:val="3"/>
          </w:tcPr>
          <w:p>
            <w:pPr>
              <w:ind w:left="60"/>
              <w:spacing w:after="0"/>
              <w:rPr>
                <w:sz w:val="20"/>
                <w:szCs w:val="20"/>
                <w:color w:val="auto"/>
              </w:rPr>
            </w:pPr>
            <w:r>
              <w:rPr>
                <w:rFonts w:ascii="Arial" w:cs="Arial" w:eastAsia="Arial" w:hAnsi="Arial"/>
                <w:sz w:val="18"/>
                <w:szCs w:val="18"/>
                <w:color w:val="auto"/>
              </w:rPr>
              <w:t>— Opinion of Andrews Kurth LLP.</w:t>
            </w:r>
          </w:p>
        </w:tc>
      </w:tr>
      <w:tr>
        <w:trPr>
          <w:trHeight w:val="216"/>
        </w:trPr>
        <w:tc>
          <w:tcPr>
            <w:tcW w:w="11420" w:type="dxa"/>
            <w:vAlign w:val="bottom"/>
            <w:gridSpan w:val="4"/>
          </w:tcPr>
          <w:p>
            <w:pPr>
              <w:ind w:left="180"/>
              <w:spacing w:after="0"/>
              <w:rPr>
                <w:sz w:val="20"/>
                <w:szCs w:val="20"/>
                <w:color w:val="auto"/>
              </w:rPr>
            </w:pPr>
            <w:r>
              <w:rPr>
                <w:rFonts w:ascii="Arial" w:cs="Arial" w:eastAsia="Arial" w:hAnsi="Arial"/>
                <w:sz w:val="18"/>
                <w:szCs w:val="18"/>
                <w:color w:val="auto"/>
              </w:rPr>
              <w:t>12.1** — Statement of Computation of Ratios.</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23.1**</w:t>
            </w:r>
          </w:p>
        </w:tc>
        <w:tc>
          <w:tcPr>
            <w:tcW w:w="10700" w:type="dxa"/>
            <w:vAlign w:val="bottom"/>
            <w:gridSpan w:val="3"/>
          </w:tcPr>
          <w:p>
            <w:pPr>
              <w:ind w:left="60"/>
              <w:spacing w:after="0"/>
              <w:rPr>
                <w:sz w:val="20"/>
                <w:szCs w:val="20"/>
                <w:color w:val="auto"/>
              </w:rPr>
            </w:pPr>
            <w:r>
              <w:rPr>
                <w:rFonts w:ascii="Arial" w:cs="Arial" w:eastAsia="Arial" w:hAnsi="Arial"/>
                <w:sz w:val="18"/>
                <w:szCs w:val="18"/>
                <w:color w:val="auto"/>
              </w:rPr>
              <w:t>— Consent of Ernst &amp; Young LLP.</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23.2*</w:t>
            </w:r>
          </w:p>
        </w:tc>
        <w:tc>
          <w:tcPr>
            <w:tcW w:w="10700" w:type="dxa"/>
            <w:vAlign w:val="bottom"/>
            <w:gridSpan w:val="3"/>
          </w:tcPr>
          <w:p>
            <w:pPr>
              <w:ind w:left="60"/>
              <w:spacing w:after="0"/>
              <w:rPr>
                <w:sz w:val="20"/>
                <w:szCs w:val="20"/>
                <w:color w:val="auto"/>
              </w:rPr>
            </w:pPr>
            <w:r>
              <w:rPr>
                <w:rFonts w:ascii="Arial" w:cs="Arial" w:eastAsia="Arial" w:hAnsi="Arial"/>
                <w:sz w:val="18"/>
                <w:szCs w:val="18"/>
                <w:color w:val="auto"/>
              </w:rPr>
              <w:t>— Consent of Andrews Kurth LLP (included in Exhibit 5.1).</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24.1**</w:t>
            </w:r>
          </w:p>
        </w:tc>
        <w:tc>
          <w:tcPr>
            <w:tcW w:w="10700" w:type="dxa"/>
            <w:vAlign w:val="bottom"/>
            <w:gridSpan w:val="3"/>
          </w:tcPr>
          <w:p>
            <w:pPr>
              <w:ind w:left="60"/>
              <w:spacing w:after="0"/>
              <w:rPr>
                <w:sz w:val="20"/>
                <w:szCs w:val="20"/>
                <w:color w:val="auto"/>
              </w:rPr>
            </w:pPr>
            <w:r>
              <w:rPr>
                <w:rFonts w:ascii="Arial" w:cs="Arial" w:eastAsia="Arial" w:hAnsi="Arial"/>
                <w:sz w:val="18"/>
                <w:szCs w:val="18"/>
                <w:color w:val="auto"/>
              </w:rPr>
              <w:t>— Power of Attorney (included in signature page).</w:t>
            </w:r>
          </w:p>
        </w:tc>
      </w:tr>
      <w:tr>
        <w:trPr>
          <w:trHeight w:val="222"/>
        </w:trPr>
        <w:tc>
          <w:tcPr>
            <w:tcW w:w="720" w:type="dxa"/>
            <w:vAlign w:val="bottom"/>
          </w:tcPr>
          <w:p>
            <w:pPr>
              <w:ind w:left="180"/>
              <w:spacing w:after="0"/>
              <w:rPr>
                <w:sz w:val="20"/>
                <w:szCs w:val="20"/>
                <w:color w:val="auto"/>
              </w:rPr>
            </w:pPr>
            <w:r>
              <w:rPr>
                <w:rFonts w:ascii="Arial" w:cs="Arial" w:eastAsia="Arial" w:hAnsi="Arial"/>
                <w:sz w:val="18"/>
                <w:szCs w:val="18"/>
                <w:color w:val="auto"/>
              </w:rPr>
              <w:t>25.1*</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10460" w:type="dxa"/>
            <w:vAlign w:val="bottom"/>
            <w:gridSpan w:val="2"/>
          </w:tcPr>
          <w:p>
            <w:pPr>
              <w:ind w:left="100"/>
              <w:spacing w:after="0"/>
              <w:rPr>
                <w:sz w:val="20"/>
                <w:szCs w:val="20"/>
                <w:color w:val="auto"/>
              </w:rPr>
            </w:pPr>
            <w:r>
              <w:rPr>
                <w:rFonts w:ascii="Arial" w:cs="Arial" w:eastAsia="Arial" w:hAnsi="Arial"/>
                <w:sz w:val="18"/>
                <w:szCs w:val="18"/>
                <w:color w:val="auto"/>
              </w:rPr>
              <w:t>Statement of Eligibility of Trustee on Form T–1.</w:t>
            </w:r>
          </w:p>
        </w:tc>
      </w:tr>
    </w:tbl>
    <w:p>
      <w:pPr>
        <w:spacing w:after="0" w:line="156" w:lineRule="exact"/>
        <w:rPr>
          <w:sz w:val="20"/>
          <w:szCs w:val="20"/>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To be filed by amendment hereto or by a report filed under the Securities Exchange Act of 1934, and incorporated herein by reference.</w:t>
      </w:r>
    </w:p>
    <w:p>
      <w:pPr>
        <w:spacing w:after="0" w:line="252" w:lineRule="exact"/>
        <w:rPr>
          <w:sz w:val="20"/>
          <w:szCs w:val="20"/>
          <w:color w:val="auto"/>
        </w:rPr>
      </w:pPr>
    </w:p>
    <w:p>
      <w:pPr>
        <w:ind w:left="360" w:hanging="352"/>
        <w:spacing w:after="0"/>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Filed herewith.</w:t>
      </w:r>
    </w:p>
    <w:p>
      <w:pPr>
        <w:sectPr>
          <w:pgSz w:w="11900" w:h="16838" w:orient="portrait"/>
          <w:cols w:equalWidth="0" w:num="1">
            <w:col w:w="11420"/>
          </w:cols>
          <w:pgMar w:left="240" w:top="459"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210185</wp:posOffset>
            </wp:positionV>
            <wp:extent cx="725043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ACTIVE POWER,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54" w:lineRule="exact"/>
        <w:rPr>
          <w:sz w:val="20"/>
          <w:szCs w:val="20"/>
          <w:color w:val="auto"/>
        </w:rPr>
      </w:pPr>
    </w:p>
    <w:tbl>
      <w:tblPr>
        <w:tblLayout w:type="fixed"/>
        <w:tblInd w:w="3120" w:type="dxa"/>
        <w:tblCellMar>
          <w:top w:w="0" w:type="dxa"/>
          <w:left w:w="0" w:type="dxa"/>
          <w:bottom w:w="0" w:type="dxa"/>
          <w:right w:w="0" w:type="dxa"/>
        </w:tblCellMar>
      </w:tblPr>
      <w:tr>
        <w:trPr>
          <w:trHeight w:val="207"/>
        </w:trPr>
        <w:tc>
          <w:tcPr>
            <w:tcW w:w="420" w:type="dxa"/>
            <w:vAlign w:val="bottom"/>
            <w:gridSpan w:val="2"/>
          </w:tcPr>
          <w:p>
            <w:pPr>
              <w:jc w:val="right"/>
              <w:ind w:right="272"/>
              <w:spacing w:after="0"/>
              <w:rPr>
                <w:sz w:val="20"/>
                <w:szCs w:val="20"/>
                <w:color w:val="auto"/>
              </w:rPr>
            </w:pPr>
            <w:r>
              <w:rPr>
                <w:rFonts w:ascii="Arial" w:cs="Arial" w:eastAsia="Arial" w:hAnsi="Arial"/>
                <w:sz w:val="16"/>
                <w:szCs w:val="16"/>
                <w:b w:val="1"/>
                <w:bCs w:val="1"/>
                <w:color w:val="auto"/>
                <w:w w:val="74"/>
              </w:rPr>
              <w:t>[</w:t>
            </w: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b w:val="1"/>
                <w:bCs w:val="1"/>
                <w:color w:val="auto"/>
              </w:rPr>
              <w:t>]</w:t>
            </w:r>
          </w:p>
        </w:tc>
      </w:tr>
      <w:tr>
        <w:trPr>
          <w:trHeight w:val="397"/>
        </w:trPr>
        <w:tc>
          <w:tcPr>
            <w:tcW w:w="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gridSpan w:val="2"/>
          </w:tcPr>
          <w:p>
            <w:pPr>
              <w:jc w:val="center"/>
              <w:ind w:left="372"/>
              <w:spacing w:after="0"/>
              <w:rPr>
                <w:sz w:val="20"/>
                <w:szCs w:val="20"/>
                <w:color w:val="auto"/>
              </w:rPr>
            </w:pPr>
            <w:r>
              <w:rPr>
                <w:rFonts w:ascii="Arial" w:cs="Arial" w:eastAsia="Arial" w:hAnsi="Arial"/>
                <w:sz w:val="18"/>
                <w:szCs w:val="18"/>
                <w:b w:val="1"/>
                <w:bCs w:val="1"/>
                <w:color w:val="auto"/>
                <w:w w:val="86"/>
              </w:rPr>
              <w:t>Trustee</w:t>
            </w: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13"/>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0"/>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gridSpan w:val="2"/>
          </w:tcPr>
          <w:p>
            <w:pPr>
              <w:jc w:val="center"/>
              <w:ind w:left="352"/>
              <w:spacing w:after="0"/>
              <w:rPr>
                <w:sz w:val="20"/>
                <w:szCs w:val="20"/>
                <w:color w:val="auto"/>
              </w:rPr>
            </w:pPr>
            <w:r>
              <w:rPr>
                <w:rFonts w:ascii="Arial" w:cs="Arial" w:eastAsia="Arial" w:hAnsi="Arial"/>
                <w:sz w:val="18"/>
                <w:szCs w:val="18"/>
                <w:b w:val="1"/>
                <w:bCs w:val="1"/>
                <w:color w:val="auto"/>
              </w:rPr>
              <w:t>INDENTURE</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0"/>
        </w:trPr>
        <w:tc>
          <w:tcPr>
            <w:tcW w:w="6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w w:val="96"/>
              </w:rPr>
              <w:t>DATED AS OF</w:t>
            </w: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3"/>
              </w:rPr>
              <w:t>, 2006</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214630</wp:posOffset>
            </wp:positionV>
            <wp:extent cx="12433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SENIOR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210185</wp:posOffset>
            </wp:positionV>
            <wp:extent cx="725043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AND TIE BETWEEN TRUST INDENTURE ACT OF 1939, AS AMENDED,</w:t>
      </w:r>
    </w:p>
    <w:tbl>
      <w:tblPr>
        <w:tblLayout w:type="fixed"/>
        <w:tblInd w:w="0" w:type="dxa"/>
        <w:tblCellMar>
          <w:top w:w="0" w:type="dxa"/>
          <w:left w:w="0" w:type="dxa"/>
          <w:bottom w:w="0" w:type="dxa"/>
          <w:right w:w="0" w:type="dxa"/>
        </w:tblCellMar>
      </w:tblPr>
      <w:tr>
        <w:trPr>
          <w:trHeight w:val="187"/>
        </w:trPr>
        <w:tc>
          <w:tcPr>
            <w:tcW w:w="6500" w:type="dxa"/>
            <w:vAlign w:val="bottom"/>
          </w:tcPr>
          <w:p>
            <w:pPr>
              <w:ind w:left="3740"/>
              <w:spacing w:after="0" w:line="187" w:lineRule="exact"/>
              <w:rPr>
                <w:sz w:val="20"/>
                <w:szCs w:val="20"/>
                <w:color w:val="auto"/>
              </w:rPr>
            </w:pPr>
            <w:r>
              <w:rPr>
                <w:rFonts w:ascii="Arial" w:cs="Arial" w:eastAsia="Arial" w:hAnsi="Arial"/>
                <w:sz w:val="18"/>
                <w:szCs w:val="18"/>
                <w:b w:val="1"/>
                <w:bCs w:val="1"/>
                <w:color w:val="auto"/>
                <w:w w:val="97"/>
              </w:rPr>
              <w:t>AND INDENTURE, DATED AS OF</w:t>
            </w:r>
          </w:p>
        </w:tc>
        <w:tc>
          <w:tcPr>
            <w:tcW w:w="2980" w:type="dxa"/>
            <w:vAlign w:val="bottom"/>
            <w:gridSpan w:val="4"/>
          </w:tcPr>
          <w:p>
            <w:pPr>
              <w:jc w:val="right"/>
              <w:ind w:right="1780"/>
              <w:spacing w:after="0" w:line="187" w:lineRule="exact"/>
              <w:rPr>
                <w:sz w:val="20"/>
                <w:szCs w:val="20"/>
                <w:color w:val="auto"/>
              </w:rPr>
            </w:pPr>
            <w:r>
              <w:rPr>
                <w:rFonts w:ascii="Arial" w:cs="Arial" w:eastAsia="Arial" w:hAnsi="Arial"/>
                <w:sz w:val="18"/>
                <w:szCs w:val="18"/>
                <w:b w:val="1"/>
                <w:bCs w:val="1"/>
                <w:color w:val="auto"/>
              </w:rPr>
              <w:t>, 2006</w:t>
            </w: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92"/>
        </w:trPr>
        <w:tc>
          <w:tcPr>
            <w:tcW w:w="6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TRUST INDENTURE ACT SECTION</w:t>
            </w:r>
          </w:p>
        </w:tc>
        <w:tc>
          <w:tcPr>
            <w:tcW w:w="54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INDENTURE SECTION</w:t>
            </w:r>
          </w:p>
        </w:tc>
      </w:tr>
      <w:tr>
        <w:trPr>
          <w:trHeight w:val="195"/>
        </w:trPr>
        <w:tc>
          <w:tcPr>
            <w:tcW w:w="6500" w:type="dxa"/>
            <w:vAlign w:val="bottom"/>
          </w:tcPr>
          <w:p>
            <w:pPr>
              <w:spacing w:after="0" w:line="195" w:lineRule="exact"/>
              <w:rPr>
                <w:sz w:val="20"/>
                <w:szCs w:val="20"/>
                <w:color w:val="auto"/>
              </w:rPr>
            </w:pPr>
            <w:r>
              <w:rPr>
                <w:rFonts w:ascii="Arial" w:cs="Arial" w:eastAsia="Arial" w:hAnsi="Arial"/>
                <w:sz w:val="18"/>
                <w:szCs w:val="18"/>
                <w:color w:val="auto"/>
              </w:rPr>
              <w:t>Section 310(a)(1)</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2"/>
          </w:tcPr>
          <w:p>
            <w:pPr>
              <w:spacing w:after="0"/>
              <w:rPr>
                <w:sz w:val="16"/>
                <w:szCs w:val="16"/>
                <w:color w:val="auto"/>
              </w:rPr>
            </w:pPr>
          </w:p>
        </w:tc>
        <w:tc>
          <w:tcPr>
            <w:tcW w:w="1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6"/>
                <w:szCs w:val="16"/>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(a)(2)</w:t>
            </w:r>
          </w:p>
        </w:tc>
        <w:tc>
          <w:tcPr>
            <w:tcW w:w="4940" w:type="dxa"/>
            <w:vAlign w:val="bottom"/>
            <w:gridSpan w:val="7"/>
          </w:tcPr>
          <w:p>
            <w:pPr>
              <w:jc w:val="right"/>
              <w:ind w:right="20"/>
              <w:spacing w:after="0"/>
              <w:rPr>
                <w:sz w:val="20"/>
                <w:szCs w:val="20"/>
                <w:color w:val="auto"/>
              </w:rPr>
            </w:pPr>
            <w:r>
              <w:rPr>
                <w:rFonts w:ascii="Arial" w:cs="Arial" w:eastAsia="Arial" w:hAnsi="Arial"/>
                <w:sz w:val="18"/>
                <w:szCs w:val="18"/>
                <w:color w:val="auto"/>
              </w:rPr>
              <w:t>6.9</w:t>
            </w: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(a)(3)</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Not Applicable</w:t>
            </w: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(a)(4)</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Not Applicable</w:t>
            </w: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(a)(5)</w:t>
            </w:r>
          </w:p>
        </w:tc>
        <w:tc>
          <w:tcPr>
            <w:tcW w:w="4940" w:type="dxa"/>
            <w:vAlign w:val="bottom"/>
            <w:gridSpan w:val="7"/>
          </w:tcPr>
          <w:p>
            <w:pPr>
              <w:jc w:val="right"/>
              <w:ind w:right="20"/>
              <w:spacing w:after="0"/>
              <w:rPr>
                <w:sz w:val="20"/>
                <w:szCs w:val="20"/>
                <w:color w:val="auto"/>
              </w:rPr>
            </w:pPr>
            <w:r>
              <w:rPr>
                <w:rFonts w:ascii="Arial" w:cs="Arial" w:eastAsia="Arial" w:hAnsi="Arial"/>
                <w:sz w:val="18"/>
                <w:szCs w:val="18"/>
                <w:color w:val="auto"/>
              </w:rPr>
              <w:t>6.9</w:t>
            </w:r>
          </w:p>
        </w:tc>
      </w:tr>
      <w:tr>
        <w:trPr>
          <w:trHeight w:val="222"/>
        </w:trPr>
        <w:tc>
          <w:tcPr>
            <w:tcW w:w="6500" w:type="dxa"/>
            <w:vAlign w:val="bottom"/>
          </w:tcPr>
          <w:p>
            <w:pPr>
              <w:jc w:val="center"/>
              <w:ind w:right="5333"/>
              <w:spacing w:after="0"/>
              <w:rPr>
                <w:sz w:val="20"/>
                <w:szCs w:val="20"/>
                <w:color w:val="auto"/>
              </w:rPr>
            </w:pPr>
            <w:r>
              <w:rPr>
                <w:rFonts w:ascii="Arial" w:cs="Arial" w:eastAsia="Arial" w:hAnsi="Arial"/>
                <w:sz w:val="18"/>
                <w:szCs w:val="18"/>
                <w:color w:val="auto"/>
                <w:w w:val="90"/>
              </w:rPr>
              <w:t>(b)</w:t>
            </w:r>
          </w:p>
        </w:tc>
        <w:tc>
          <w:tcPr>
            <w:tcW w:w="4940" w:type="dxa"/>
            <w:vAlign w:val="bottom"/>
            <w:gridSpan w:val="7"/>
          </w:tcPr>
          <w:p>
            <w:pPr>
              <w:jc w:val="right"/>
              <w:ind w:right="20"/>
              <w:spacing w:after="0"/>
              <w:rPr>
                <w:sz w:val="20"/>
                <w:szCs w:val="20"/>
                <w:color w:val="auto"/>
              </w:rPr>
            </w:pPr>
            <w:r>
              <w:rPr>
                <w:rFonts w:ascii="Arial" w:cs="Arial" w:eastAsia="Arial" w:hAnsi="Arial"/>
                <w:sz w:val="18"/>
                <w:szCs w:val="18"/>
                <w:color w:val="auto"/>
              </w:rPr>
              <w:t>6.8</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Section 311</w:t>
            </w:r>
          </w:p>
        </w:tc>
        <w:tc>
          <w:tcPr>
            <w:tcW w:w="4940" w:type="dxa"/>
            <w:vAlign w:val="bottom"/>
            <w:gridSpan w:val="7"/>
          </w:tcPr>
          <w:p>
            <w:pPr>
              <w:jc w:val="right"/>
              <w:ind w:right="20"/>
              <w:spacing w:after="0"/>
              <w:rPr>
                <w:sz w:val="20"/>
                <w:szCs w:val="20"/>
                <w:color w:val="auto"/>
              </w:rPr>
            </w:pPr>
            <w:r>
              <w:rPr>
                <w:rFonts w:ascii="Arial" w:cs="Arial" w:eastAsia="Arial" w:hAnsi="Arial"/>
                <w:sz w:val="18"/>
                <w:szCs w:val="18"/>
                <w:color w:val="auto"/>
              </w:rPr>
              <w:t>6.13</w:t>
            </w:r>
          </w:p>
        </w:tc>
      </w:tr>
      <w:tr>
        <w:trPr>
          <w:trHeight w:val="318"/>
        </w:trPr>
        <w:tc>
          <w:tcPr>
            <w:tcW w:w="6500" w:type="dxa"/>
            <w:vAlign w:val="bottom"/>
          </w:tcPr>
          <w:p>
            <w:pPr>
              <w:jc w:val="center"/>
              <w:ind w:right="5373"/>
              <w:spacing w:after="0"/>
              <w:rPr>
                <w:sz w:val="20"/>
                <w:szCs w:val="20"/>
                <w:color w:val="auto"/>
              </w:rPr>
            </w:pPr>
            <w:r>
              <w:rPr>
                <w:rFonts w:ascii="Arial" w:cs="Arial" w:eastAsia="Arial" w:hAnsi="Arial"/>
                <w:sz w:val="18"/>
                <w:szCs w:val="18"/>
                <w:color w:val="auto"/>
                <w:w w:val="88"/>
              </w:rPr>
              <w:t>Section 312(a)</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7.1, 7.2(a)</w:t>
            </w:r>
          </w:p>
        </w:tc>
      </w:tr>
      <w:tr>
        <w:trPr>
          <w:trHeight w:val="216"/>
        </w:trPr>
        <w:tc>
          <w:tcPr>
            <w:tcW w:w="6500" w:type="dxa"/>
            <w:vAlign w:val="bottom"/>
          </w:tcPr>
          <w:p>
            <w:pPr>
              <w:jc w:val="center"/>
              <w:ind w:right="5333"/>
              <w:spacing w:after="0"/>
              <w:rPr>
                <w:sz w:val="20"/>
                <w:szCs w:val="20"/>
                <w:color w:val="auto"/>
              </w:rPr>
            </w:pPr>
            <w:r>
              <w:rPr>
                <w:rFonts w:ascii="Arial" w:cs="Arial" w:eastAsia="Arial" w:hAnsi="Arial"/>
                <w:sz w:val="18"/>
                <w:szCs w:val="18"/>
                <w:color w:val="auto"/>
                <w:w w:val="90"/>
              </w:rPr>
              <w:t>(b)</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7.2(b)</w:t>
            </w:r>
          </w:p>
        </w:tc>
      </w:tr>
      <w:tr>
        <w:trPr>
          <w:trHeight w:val="222"/>
        </w:trPr>
        <w:tc>
          <w:tcPr>
            <w:tcW w:w="6500" w:type="dxa"/>
            <w:vAlign w:val="bottom"/>
          </w:tcPr>
          <w:p>
            <w:pPr>
              <w:jc w:val="center"/>
              <w:ind w:right="5333"/>
              <w:spacing w:after="0"/>
              <w:rPr>
                <w:sz w:val="20"/>
                <w:szCs w:val="20"/>
                <w:color w:val="auto"/>
              </w:rPr>
            </w:pPr>
            <w:r>
              <w:rPr>
                <w:rFonts w:ascii="Arial" w:cs="Arial" w:eastAsia="Arial" w:hAnsi="Arial"/>
                <w:sz w:val="18"/>
                <w:szCs w:val="18"/>
                <w:color w:val="auto"/>
                <w:w w:val="95"/>
              </w:rPr>
              <w:t>(c)</w:t>
            </w: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7.2(c)</w:t>
            </w:r>
          </w:p>
        </w:tc>
      </w:tr>
      <w:tr>
        <w:trPr>
          <w:trHeight w:val="318"/>
        </w:trPr>
        <w:tc>
          <w:tcPr>
            <w:tcW w:w="6500" w:type="dxa"/>
            <w:vAlign w:val="bottom"/>
          </w:tcPr>
          <w:p>
            <w:pPr>
              <w:jc w:val="center"/>
              <w:ind w:right="5373"/>
              <w:spacing w:after="0"/>
              <w:rPr>
                <w:sz w:val="20"/>
                <w:szCs w:val="20"/>
                <w:color w:val="auto"/>
              </w:rPr>
            </w:pPr>
            <w:r>
              <w:rPr>
                <w:rFonts w:ascii="Arial" w:cs="Arial" w:eastAsia="Arial" w:hAnsi="Arial"/>
                <w:sz w:val="18"/>
                <w:szCs w:val="18"/>
                <w:color w:val="auto"/>
                <w:w w:val="88"/>
              </w:rPr>
              <w:t>Section 313(a)</w:t>
            </w:r>
          </w:p>
        </w:tc>
        <w:tc>
          <w:tcPr>
            <w:tcW w:w="4940" w:type="dxa"/>
            <w:vAlign w:val="bottom"/>
            <w:gridSpan w:val="7"/>
          </w:tcPr>
          <w:p>
            <w:pPr>
              <w:jc w:val="right"/>
              <w:ind w:right="20"/>
              <w:spacing w:after="0"/>
              <w:rPr>
                <w:sz w:val="20"/>
                <w:szCs w:val="20"/>
                <w:color w:val="auto"/>
              </w:rPr>
            </w:pPr>
            <w:r>
              <w:rPr>
                <w:rFonts w:ascii="Arial" w:cs="Arial" w:eastAsia="Arial" w:hAnsi="Arial"/>
                <w:sz w:val="18"/>
                <w:szCs w:val="18"/>
                <w:color w:val="auto"/>
              </w:rPr>
              <w:t>7.3</w:t>
            </w:r>
          </w:p>
        </w:tc>
      </w:tr>
      <w:tr>
        <w:trPr>
          <w:trHeight w:val="216"/>
        </w:trPr>
        <w:tc>
          <w:tcPr>
            <w:tcW w:w="6500" w:type="dxa"/>
            <w:vAlign w:val="bottom"/>
          </w:tcPr>
          <w:p>
            <w:pPr>
              <w:jc w:val="center"/>
              <w:ind w:right="5333"/>
              <w:spacing w:after="0"/>
              <w:rPr>
                <w:sz w:val="20"/>
                <w:szCs w:val="20"/>
                <w:color w:val="auto"/>
              </w:rPr>
            </w:pPr>
            <w:r>
              <w:rPr>
                <w:rFonts w:ascii="Arial" w:cs="Arial" w:eastAsia="Arial" w:hAnsi="Arial"/>
                <w:sz w:val="18"/>
                <w:szCs w:val="18"/>
                <w:color w:val="auto"/>
                <w:w w:val="90"/>
              </w:rPr>
              <w:t>(b)</w:t>
            </w:r>
          </w:p>
        </w:tc>
        <w:tc>
          <w:tcPr>
            <w:tcW w:w="4940" w:type="dxa"/>
            <w:vAlign w:val="bottom"/>
            <w:gridSpan w:val="7"/>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jc w:val="center"/>
              <w:ind w:right="5333"/>
              <w:spacing w:after="0"/>
              <w:rPr>
                <w:sz w:val="20"/>
                <w:szCs w:val="20"/>
                <w:color w:val="auto"/>
              </w:rPr>
            </w:pPr>
            <w:r>
              <w:rPr>
                <w:rFonts w:ascii="Arial" w:cs="Arial" w:eastAsia="Arial" w:hAnsi="Arial"/>
                <w:sz w:val="18"/>
                <w:szCs w:val="18"/>
                <w:color w:val="auto"/>
                <w:w w:val="95"/>
              </w:rPr>
              <w:t>(c)</w:t>
            </w:r>
          </w:p>
        </w:tc>
        <w:tc>
          <w:tcPr>
            <w:tcW w:w="4940" w:type="dxa"/>
            <w:vAlign w:val="bottom"/>
            <w:gridSpan w:val="7"/>
          </w:tcPr>
          <w:p>
            <w:pPr>
              <w:jc w:val="right"/>
              <w:ind w:right="20"/>
              <w:spacing w:after="0"/>
              <w:rPr>
                <w:sz w:val="20"/>
                <w:szCs w:val="20"/>
                <w:color w:val="auto"/>
              </w:rPr>
            </w:pPr>
            <w:r>
              <w:rPr>
                <w:rFonts w:ascii="Arial" w:cs="Arial" w:eastAsia="Arial" w:hAnsi="Arial"/>
                <w:sz w:val="18"/>
                <w:szCs w:val="18"/>
                <w:color w:val="auto"/>
              </w:rPr>
              <w:t>*</w:t>
            </w:r>
          </w:p>
        </w:tc>
      </w:tr>
      <w:tr>
        <w:trPr>
          <w:trHeight w:val="222"/>
        </w:trPr>
        <w:tc>
          <w:tcPr>
            <w:tcW w:w="6500" w:type="dxa"/>
            <w:vAlign w:val="bottom"/>
          </w:tcPr>
          <w:p>
            <w:pPr>
              <w:jc w:val="center"/>
              <w:ind w:right="5333"/>
              <w:spacing w:after="0"/>
              <w:rPr>
                <w:sz w:val="20"/>
                <w:szCs w:val="20"/>
                <w:color w:val="auto"/>
              </w:rPr>
            </w:pPr>
            <w:r>
              <w:rPr>
                <w:rFonts w:ascii="Arial" w:cs="Arial" w:eastAsia="Arial" w:hAnsi="Arial"/>
                <w:sz w:val="18"/>
                <w:szCs w:val="18"/>
                <w:color w:val="auto"/>
                <w:w w:val="90"/>
              </w:rPr>
              <w:t>(d)</w:t>
            </w:r>
          </w:p>
        </w:tc>
        <w:tc>
          <w:tcPr>
            <w:tcW w:w="4940" w:type="dxa"/>
            <w:vAlign w:val="bottom"/>
            <w:gridSpan w:val="7"/>
          </w:tcPr>
          <w:p>
            <w:pPr>
              <w:jc w:val="right"/>
              <w:ind w:right="20"/>
              <w:spacing w:after="0"/>
              <w:rPr>
                <w:sz w:val="20"/>
                <w:szCs w:val="20"/>
                <w:color w:val="auto"/>
              </w:rPr>
            </w:pPr>
            <w:r>
              <w:rPr>
                <w:rFonts w:ascii="Arial" w:cs="Arial" w:eastAsia="Arial" w:hAnsi="Arial"/>
                <w:sz w:val="18"/>
                <w:szCs w:val="18"/>
                <w:color w:val="auto"/>
              </w:rPr>
              <w:t>7.3</w:t>
            </w:r>
          </w:p>
        </w:tc>
      </w:tr>
      <w:tr>
        <w:trPr>
          <w:trHeight w:val="318"/>
        </w:trPr>
        <w:tc>
          <w:tcPr>
            <w:tcW w:w="6500" w:type="dxa"/>
            <w:vAlign w:val="bottom"/>
          </w:tcPr>
          <w:p>
            <w:pPr>
              <w:jc w:val="center"/>
              <w:ind w:right="5373"/>
              <w:spacing w:after="0"/>
              <w:rPr>
                <w:sz w:val="20"/>
                <w:szCs w:val="20"/>
                <w:color w:val="auto"/>
              </w:rPr>
            </w:pPr>
            <w:r>
              <w:rPr>
                <w:rFonts w:ascii="Arial" w:cs="Arial" w:eastAsia="Arial" w:hAnsi="Arial"/>
                <w:sz w:val="18"/>
                <w:szCs w:val="18"/>
                <w:color w:val="auto"/>
                <w:w w:val="88"/>
              </w:rPr>
              <w:t>Section 314(a)</w:t>
            </w:r>
          </w:p>
        </w:tc>
        <w:tc>
          <w:tcPr>
            <w:tcW w:w="4940" w:type="dxa"/>
            <w:vAlign w:val="bottom"/>
            <w:gridSpan w:val="7"/>
          </w:tcPr>
          <w:p>
            <w:pPr>
              <w:jc w:val="right"/>
              <w:ind w:right="20"/>
              <w:spacing w:after="0"/>
              <w:rPr>
                <w:sz w:val="20"/>
                <w:szCs w:val="20"/>
                <w:color w:val="auto"/>
              </w:rPr>
            </w:pPr>
            <w:r>
              <w:rPr>
                <w:rFonts w:ascii="Arial" w:cs="Arial" w:eastAsia="Arial" w:hAnsi="Arial"/>
                <w:sz w:val="18"/>
                <w:szCs w:val="18"/>
                <w:color w:val="auto"/>
              </w:rPr>
              <w:t>7.4</w:t>
            </w: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(a)(4)</w:t>
            </w:r>
          </w:p>
        </w:tc>
        <w:tc>
          <w:tcPr>
            <w:tcW w:w="4940" w:type="dxa"/>
            <w:vAlign w:val="bottom"/>
            <w:gridSpan w:val="7"/>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6500" w:type="dxa"/>
            <w:vAlign w:val="bottom"/>
          </w:tcPr>
          <w:p>
            <w:pPr>
              <w:jc w:val="center"/>
              <w:ind w:right="5333"/>
              <w:spacing w:after="0"/>
              <w:rPr>
                <w:sz w:val="20"/>
                <w:szCs w:val="20"/>
                <w:color w:val="auto"/>
              </w:rPr>
            </w:pPr>
            <w:r>
              <w:rPr>
                <w:rFonts w:ascii="Arial" w:cs="Arial" w:eastAsia="Arial" w:hAnsi="Arial"/>
                <w:sz w:val="18"/>
                <w:szCs w:val="18"/>
                <w:color w:val="auto"/>
                <w:w w:val="90"/>
              </w:rPr>
              <w:t>(b)</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Not Applicable</w:t>
            </w: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(c)(1)</w:t>
            </w:r>
          </w:p>
        </w:tc>
        <w:tc>
          <w:tcPr>
            <w:tcW w:w="4940" w:type="dxa"/>
            <w:vAlign w:val="bottom"/>
            <w:gridSpan w:val="7"/>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(c)(2)</w:t>
            </w:r>
          </w:p>
        </w:tc>
        <w:tc>
          <w:tcPr>
            <w:tcW w:w="4940" w:type="dxa"/>
            <w:vAlign w:val="bottom"/>
            <w:gridSpan w:val="7"/>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(c)(3)</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Not Applicable</w:t>
            </w:r>
          </w:p>
        </w:tc>
      </w:tr>
      <w:tr>
        <w:trPr>
          <w:trHeight w:val="216"/>
        </w:trPr>
        <w:tc>
          <w:tcPr>
            <w:tcW w:w="6500" w:type="dxa"/>
            <w:vAlign w:val="bottom"/>
          </w:tcPr>
          <w:p>
            <w:pPr>
              <w:jc w:val="center"/>
              <w:ind w:right="5333"/>
              <w:spacing w:after="0"/>
              <w:rPr>
                <w:sz w:val="20"/>
                <w:szCs w:val="20"/>
                <w:color w:val="auto"/>
              </w:rPr>
            </w:pPr>
            <w:r>
              <w:rPr>
                <w:rFonts w:ascii="Arial" w:cs="Arial" w:eastAsia="Arial" w:hAnsi="Arial"/>
                <w:sz w:val="18"/>
                <w:szCs w:val="18"/>
                <w:color w:val="auto"/>
                <w:w w:val="90"/>
              </w:rPr>
              <w:t>(d)</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Not Applicable</w:t>
            </w:r>
          </w:p>
        </w:tc>
      </w:tr>
      <w:tr>
        <w:trPr>
          <w:trHeight w:val="222"/>
        </w:trPr>
        <w:tc>
          <w:tcPr>
            <w:tcW w:w="6500" w:type="dxa"/>
            <w:vAlign w:val="bottom"/>
          </w:tcPr>
          <w:p>
            <w:pPr>
              <w:jc w:val="center"/>
              <w:ind w:right="5333"/>
              <w:spacing w:after="0"/>
              <w:rPr>
                <w:sz w:val="20"/>
                <w:szCs w:val="20"/>
                <w:color w:val="auto"/>
              </w:rPr>
            </w:pPr>
            <w:r>
              <w:rPr>
                <w:rFonts w:ascii="Arial" w:cs="Arial" w:eastAsia="Arial" w:hAnsi="Arial"/>
                <w:sz w:val="18"/>
                <w:szCs w:val="18"/>
                <w:color w:val="auto"/>
                <w:w w:val="90"/>
              </w:rPr>
              <w:t>(e)</w:t>
            </w:r>
          </w:p>
        </w:tc>
        <w:tc>
          <w:tcPr>
            <w:tcW w:w="4940" w:type="dxa"/>
            <w:vAlign w:val="bottom"/>
            <w:gridSpan w:val="7"/>
          </w:tcPr>
          <w:p>
            <w:pPr>
              <w:jc w:val="right"/>
              <w:ind w:right="20"/>
              <w:spacing w:after="0"/>
              <w:rPr>
                <w:sz w:val="20"/>
                <w:szCs w:val="20"/>
                <w:color w:val="auto"/>
              </w:rPr>
            </w:pPr>
            <w:r>
              <w:rPr>
                <w:rFonts w:ascii="Arial" w:cs="Arial" w:eastAsia="Arial" w:hAnsi="Arial"/>
                <w:sz w:val="18"/>
                <w:szCs w:val="18"/>
                <w:color w:val="auto"/>
              </w:rPr>
              <w:t>1.3</w:t>
            </w:r>
          </w:p>
        </w:tc>
      </w:tr>
      <w:tr>
        <w:trPr>
          <w:trHeight w:val="318"/>
        </w:trPr>
        <w:tc>
          <w:tcPr>
            <w:tcW w:w="6500" w:type="dxa"/>
            <w:vAlign w:val="bottom"/>
          </w:tcPr>
          <w:p>
            <w:pPr>
              <w:jc w:val="center"/>
              <w:ind w:right="5373"/>
              <w:spacing w:after="0"/>
              <w:rPr>
                <w:sz w:val="20"/>
                <w:szCs w:val="20"/>
                <w:color w:val="auto"/>
              </w:rPr>
            </w:pPr>
            <w:r>
              <w:rPr>
                <w:rFonts w:ascii="Arial" w:cs="Arial" w:eastAsia="Arial" w:hAnsi="Arial"/>
                <w:sz w:val="18"/>
                <w:szCs w:val="18"/>
                <w:color w:val="auto"/>
                <w:w w:val="88"/>
              </w:rPr>
              <w:t>Section 315(a)</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6.1(a)</w:t>
            </w:r>
          </w:p>
        </w:tc>
      </w:tr>
      <w:tr>
        <w:trPr>
          <w:trHeight w:val="216"/>
        </w:trPr>
        <w:tc>
          <w:tcPr>
            <w:tcW w:w="6500" w:type="dxa"/>
            <w:vAlign w:val="bottom"/>
          </w:tcPr>
          <w:p>
            <w:pPr>
              <w:jc w:val="center"/>
              <w:ind w:right="5333"/>
              <w:spacing w:after="0"/>
              <w:rPr>
                <w:sz w:val="20"/>
                <w:szCs w:val="20"/>
                <w:color w:val="auto"/>
              </w:rPr>
            </w:pPr>
            <w:r>
              <w:rPr>
                <w:rFonts w:ascii="Arial" w:cs="Arial" w:eastAsia="Arial" w:hAnsi="Arial"/>
                <w:sz w:val="18"/>
                <w:szCs w:val="18"/>
                <w:color w:val="auto"/>
                <w:w w:val="90"/>
              </w:rPr>
              <w:t>(b)</w:t>
            </w:r>
          </w:p>
        </w:tc>
        <w:tc>
          <w:tcPr>
            <w:tcW w:w="4940" w:type="dxa"/>
            <w:vAlign w:val="bottom"/>
            <w:gridSpan w:val="7"/>
          </w:tcPr>
          <w:p>
            <w:pPr>
              <w:jc w:val="right"/>
              <w:ind w:right="20"/>
              <w:spacing w:after="0"/>
              <w:rPr>
                <w:sz w:val="20"/>
                <w:szCs w:val="20"/>
                <w:color w:val="auto"/>
              </w:rPr>
            </w:pPr>
            <w:r>
              <w:rPr>
                <w:rFonts w:ascii="Arial" w:cs="Arial" w:eastAsia="Arial" w:hAnsi="Arial"/>
                <w:sz w:val="18"/>
                <w:szCs w:val="18"/>
                <w:color w:val="auto"/>
              </w:rPr>
              <w:t>6.2</w:t>
            </w:r>
          </w:p>
        </w:tc>
      </w:tr>
      <w:tr>
        <w:trPr>
          <w:trHeight w:val="216"/>
        </w:trPr>
        <w:tc>
          <w:tcPr>
            <w:tcW w:w="6500" w:type="dxa"/>
            <w:vAlign w:val="bottom"/>
          </w:tcPr>
          <w:p>
            <w:pPr>
              <w:jc w:val="center"/>
              <w:ind w:right="5333"/>
              <w:spacing w:after="0"/>
              <w:rPr>
                <w:sz w:val="20"/>
                <w:szCs w:val="20"/>
                <w:color w:val="auto"/>
              </w:rPr>
            </w:pPr>
            <w:r>
              <w:rPr>
                <w:rFonts w:ascii="Arial" w:cs="Arial" w:eastAsia="Arial" w:hAnsi="Arial"/>
                <w:sz w:val="18"/>
                <w:szCs w:val="18"/>
                <w:color w:val="auto"/>
                <w:w w:val="95"/>
              </w:rPr>
              <w:t>(c)</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6.1(b)</w:t>
            </w:r>
          </w:p>
        </w:tc>
      </w:tr>
      <w:tr>
        <w:trPr>
          <w:trHeight w:val="216"/>
        </w:trPr>
        <w:tc>
          <w:tcPr>
            <w:tcW w:w="6500" w:type="dxa"/>
            <w:vAlign w:val="bottom"/>
          </w:tcPr>
          <w:p>
            <w:pPr>
              <w:jc w:val="center"/>
              <w:ind w:right="5333"/>
              <w:spacing w:after="0"/>
              <w:rPr>
                <w:sz w:val="20"/>
                <w:szCs w:val="20"/>
                <w:color w:val="auto"/>
              </w:rPr>
            </w:pPr>
            <w:r>
              <w:rPr>
                <w:rFonts w:ascii="Arial" w:cs="Arial" w:eastAsia="Arial" w:hAnsi="Arial"/>
                <w:sz w:val="18"/>
                <w:szCs w:val="18"/>
                <w:color w:val="auto"/>
                <w:w w:val="90"/>
              </w:rPr>
              <w:t>(d)</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6.1(c)</w:t>
            </w: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(d)(1)</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6.1(a)(1)</w:t>
            </w: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(d)(2)</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6.1(c)(2)</w:t>
            </w: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(d)(3)</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6.1(c)(3)</w:t>
            </w:r>
          </w:p>
        </w:tc>
      </w:tr>
      <w:tr>
        <w:trPr>
          <w:trHeight w:val="222"/>
        </w:trPr>
        <w:tc>
          <w:tcPr>
            <w:tcW w:w="6500" w:type="dxa"/>
            <w:vAlign w:val="bottom"/>
          </w:tcPr>
          <w:p>
            <w:pPr>
              <w:jc w:val="center"/>
              <w:ind w:right="5333"/>
              <w:spacing w:after="0"/>
              <w:rPr>
                <w:sz w:val="20"/>
                <w:szCs w:val="20"/>
                <w:color w:val="auto"/>
              </w:rPr>
            </w:pPr>
            <w:r>
              <w:rPr>
                <w:rFonts w:ascii="Arial" w:cs="Arial" w:eastAsia="Arial" w:hAnsi="Arial"/>
                <w:sz w:val="18"/>
                <w:szCs w:val="18"/>
                <w:color w:val="auto"/>
                <w:w w:val="90"/>
              </w:rPr>
              <w:t>(e)</w:t>
            </w:r>
          </w:p>
        </w:tc>
        <w:tc>
          <w:tcPr>
            <w:tcW w:w="4940" w:type="dxa"/>
            <w:vAlign w:val="bottom"/>
            <w:gridSpan w:val="7"/>
          </w:tcPr>
          <w:p>
            <w:pPr>
              <w:jc w:val="right"/>
              <w:ind w:right="20"/>
              <w:spacing w:after="0"/>
              <w:rPr>
                <w:sz w:val="20"/>
                <w:szCs w:val="20"/>
                <w:color w:val="auto"/>
              </w:rPr>
            </w:pPr>
            <w:r>
              <w:rPr>
                <w:rFonts w:ascii="Arial" w:cs="Arial" w:eastAsia="Arial" w:hAnsi="Arial"/>
                <w:sz w:val="18"/>
                <w:szCs w:val="18"/>
                <w:color w:val="auto"/>
              </w:rPr>
              <w:t>5.14</w:t>
            </w:r>
          </w:p>
        </w:tc>
      </w:tr>
      <w:tr>
        <w:trPr>
          <w:trHeight w:val="318"/>
        </w:trPr>
        <w:tc>
          <w:tcPr>
            <w:tcW w:w="6500" w:type="dxa"/>
            <w:vAlign w:val="bottom"/>
          </w:tcPr>
          <w:p>
            <w:pPr>
              <w:jc w:val="center"/>
              <w:ind w:right="5373"/>
              <w:spacing w:after="0"/>
              <w:rPr>
                <w:sz w:val="20"/>
                <w:szCs w:val="20"/>
                <w:color w:val="auto"/>
              </w:rPr>
            </w:pPr>
            <w:r>
              <w:rPr>
                <w:rFonts w:ascii="Arial" w:cs="Arial" w:eastAsia="Arial" w:hAnsi="Arial"/>
                <w:sz w:val="18"/>
                <w:szCs w:val="18"/>
                <w:color w:val="auto"/>
                <w:w w:val="88"/>
              </w:rPr>
              <w:t>Section 316(a)</w:t>
            </w:r>
          </w:p>
        </w:tc>
        <w:tc>
          <w:tcPr>
            <w:tcW w:w="4940" w:type="dxa"/>
            <w:vAlign w:val="bottom"/>
            <w:gridSpan w:val="7"/>
          </w:tcPr>
          <w:p>
            <w:pPr>
              <w:jc w:val="right"/>
              <w:ind w:right="20"/>
              <w:spacing w:after="0"/>
              <w:rPr>
                <w:sz w:val="20"/>
                <w:szCs w:val="20"/>
                <w:color w:val="auto"/>
              </w:rPr>
            </w:pPr>
            <w:r>
              <w:rPr>
                <w:rFonts w:ascii="Arial" w:cs="Arial" w:eastAsia="Arial" w:hAnsi="Arial"/>
                <w:sz w:val="18"/>
                <w:szCs w:val="18"/>
                <w:color w:val="auto"/>
              </w:rPr>
              <w:t>1.1, 1.2</w:t>
            </w: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(a)(1)(A)</w:t>
            </w:r>
          </w:p>
        </w:tc>
        <w:tc>
          <w:tcPr>
            <w:tcW w:w="4940" w:type="dxa"/>
            <w:vAlign w:val="bottom"/>
            <w:gridSpan w:val="7"/>
          </w:tcPr>
          <w:p>
            <w:pPr>
              <w:jc w:val="right"/>
              <w:ind w:right="20"/>
              <w:spacing w:after="0"/>
              <w:rPr>
                <w:sz w:val="20"/>
                <w:szCs w:val="20"/>
                <w:color w:val="auto"/>
              </w:rPr>
            </w:pPr>
            <w:r>
              <w:rPr>
                <w:rFonts w:ascii="Arial" w:cs="Arial" w:eastAsia="Arial" w:hAnsi="Arial"/>
                <w:sz w:val="18"/>
                <w:szCs w:val="18"/>
                <w:color w:val="auto"/>
              </w:rPr>
              <w:t>5.2, 5.12</w:t>
            </w: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(a)(1)(B)</w:t>
            </w:r>
          </w:p>
        </w:tc>
        <w:tc>
          <w:tcPr>
            <w:tcW w:w="4940" w:type="dxa"/>
            <w:vAlign w:val="bottom"/>
            <w:gridSpan w:val="7"/>
          </w:tcPr>
          <w:p>
            <w:pPr>
              <w:jc w:val="right"/>
              <w:ind w:right="20"/>
              <w:spacing w:after="0"/>
              <w:rPr>
                <w:sz w:val="20"/>
                <w:szCs w:val="20"/>
                <w:color w:val="auto"/>
              </w:rPr>
            </w:pPr>
            <w:r>
              <w:rPr>
                <w:rFonts w:ascii="Arial" w:cs="Arial" w:eastAsia="Arial" w:hAnsi="Arial"/>
                <w:sz w:val="18"/>
                <w:szCs w:val="18"/>
                <w:color w:val="auto"/>
              </w:rPr>
              <w:t>5.13</w:t>
            </w: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(a)(2)</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Not Applicable</w:t>
            </w:r>
          </w:p>
        </w:tc>
      </w:tr>
      <w:tr>
        <w:trPr>
          <w:trHeight w:val="216"/>
        </w:trPr>
        <w:tc>
          <w:tcPr>
            <w:tcW w:w="6500" w:type="dxa"/>
            <w:vAlign w:val="bottom"/>
          </w:tcPr>
          <w:p>
            <w:pPr>
              <w:jc w:val="center"/>
              <w:ind w:right="5333"/>
              <w:spacing w:after="0"/>
              <w:rPr>
                <w:sz w:val="20"/>
                <w:szCs w:val="20"/>
                <w:color w:val="auto"/>
              </w:rPr>
            </w:pPr>
            <w:r>
              <w:rPr>
                <w:rFonts w:ascii="Arial" w:cs="Arial" w:eastAsia="Arial" w:hAnsi="Arial"/>
                <w:sz w:val="18"/>
                <w:szCs w:val="18"/>
                <w:color w:val="auto"/>
                <w:w w:val="90"/>
              </w:rPr>
              <w:t>(b)</w:t>
            </w:r>
          </w:p>
        </w:tc>
        <w:tc>
          <w:tcPr>
            <w:tcW w:w="4940" w:type="dxa"/>
            <w:vAlign w:val="bottom"/>
            <w:gridSpan w:val="7"/>
          </w:tcPr>
          <w:p>
            <w:pPr>
              <w:jc w:val="right"/>
              <w:ind w:right="20"/>
              <w:spacing w:after="0"/>
              <w:rPr>
                <w:sz w:val="20"/>
                <w:szCs w:val="20"/>
                <w:color w:val="auto"/>
              </w:rPr>
            </w:pPr>
            <w:r>
              <w:rPr>
                <w:rFonts w:ascii="Arial" w:cs="Arial" w:eastAsia="Arial" w:hAnsi="Arial"/>
                <w:sz w:val="18"/>
                <w:szCs w:val="18"/>
                <w:color w:val="auto"/>
              </w:rPr>
              <w:t>5.8</w:t>
            </w:r>
          </w:p>
        </w:tc>
      </w:tr>
      <w:tr>
        <w:trPr>
          <w:trHeight w:val="222"/>
        </w:trPr>
        <w:tc>
          <w:tcPr>
            <w:tcW w:w="6500" w:type="dxa"/>
            <w:vAlign w:val="bottom"/>
          </w:tcPr>
          <w:p>
            <w:pPr>
              <w:jc w:val="center"/>
              <w:ind w:right="5333"/>
              <w:spacing w:after="0"/>
              <w:rPr>
                <w:sz w:val="20"/>
                <w:szCs w:val="20"/>
                <w:color w:val="auto"/>
              </w:rPr>
            </w:pPr>
            <w:r>
              <w:rPr>
                <w:rFonts w:ascii="Arial" w:cs="Arial" w:eastAsia="Arial" w:hAnsi="Arial"/>
                <w:sz w:val="18"/>
                <w:szCs w:val="18"/>
                <w:color w:val="auto"/>
                <w:w w:val="95"/>
              </w:rPr>
              <w:t>(c)</w:t>
            </w: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1.5(f)</w:t>
            </w:r>
          </w:p>
        </w:tc>
      </w:tr>
    </w:tbl>
    <w:p>
      <w:pPr>
        <w:sectPr>
          <w:pgSz w:w="11900" w:h="16838" w:orient="portrait"/>
          <w:cols w:equalWidth="0" w:num="1">
            <w:col w:w="11420"/>
          </w:cols>
          <w:pgMar w:left="240" w:top="274" w:right="239" w:bottom="1440" w:gutter="0" w:footer="0" w:header="0"/>
        </w:sectPr>
      </w:pPr>
    </w:p>
    <w:bookmarkStart w:id="61" w:name="page62"/>
    <w:bookmarkEnd w:id="6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1"/>
        </w:trPr>
        <w:tc>
          <w:tcPr>
            <w:tcW w:w="9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TRUST INDENTURE ACT SECTION</w:t>
            </w:r>
          </w:p>
        </w:tc>
        <w:tc>
          <w:tcPr>
            <w:tcW w:w="240" w:type="dxa"/>
            <w:vAlign w:val="bottom"/>
          </w:tcPr>
          <w:p>
            <w:pPr>
              <w:spacing w:after="0"/>
              <w:rPr>
                <w:sz w:val="15"/>
                <w:szCs w:val="15"/>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INDENTURE SECTION</w:t>
            </w:r>
          </w:p>
        </w:tc>
      </w:tr>
      <w:tr>
        <w:trPr>
          <w:trHeight w:val="195"/>
        </w:trPr>
        <w:tc>
          <w:tcPr>
            <w:tcW w:w="9480" w:type="dxa"/>
            <w:vAlign w:val="bottom"/>
            <w:gridSpan w:val="2"/>
          </w:tcPr>
          <w:p>
            <w:pPr>
              <w:spacing w:after="0" w:line="195" w:lineRule="exact"/>
              <w:rPr>
                <w:sz w:val="20"/>
                <w:szCs w:val="20"/>
                <w:color w:val="auto"/>
              </w:rPr>
            </w:pPr>
            <w:r>
              <w:rPr>
                <w:rFonts w:ascii="Arial" w:cs="Arial" w:eastAsia="Arial" w:hAnsi="Arial"/>
                <w:sz w:val="18"/>
                <w:szCs w:val="18"/>
                <w:color w:val="auto"/>
              </w:rPr>
              <w:t>Section 317(a)(1)</w:t>
            </w:r>
          </w:p>
        </w:tc>
        <w:tc>
          <w:tcPr>
            <w:tcW w:w="240" w:type="dxa"/>
            <w:vAlign w:val="bottom"/>
          </w:tcPr>
          <w:p>
            <w:pPr>
              <w:spacing w:after="0"/>
              <w:rPr>
                <w:sz w:val="16"/>
                <w:szCs w:val="16"/>
                <w:color w:val="auto"/>
              </w:rPr>
            </w:pPr>
          </w:p>
        </w:tc>
        <w:tc>
          <w:tcPr>
            <w:tcW w:w="1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6"/>
                <w:szCs w:val="16"/>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(a)(2)</w:t>
            </w:r>
          </w:p>
        </w:tc>
        <w:tc>
          <w:tcPr>
            <w:tcW w:w="1960" w:type="dxa"/>
            <w:vAlign w:val="bottom"/>
            <w:gridSpan w:val="3"/>
          </w:tcPr>
          <w:p>
            <w:pPr>
              <w:jc w:val="right"/>
              <w:ind w:right="20"/>
              <w:spacing w:after="0"/>
              <w:rPr>
                <w:sz w:val="20"/>
                <w:szCs w:val="20"/>
                <w:color w:val="auto"/>
              </w:rPr>
            </w:pPr>
            <w:r>
              <w:rPr>
                <w:rFonts w:ascii="Arial" w:cs="Arial" w:eastAsia="Arial" w:hAnsi="Arial"/>
                <w:sz w:val="18"/>
                <w:szCs w:val="18"/>
                <w:color w:val="auto"/>
              </w:rPr>
              <w:t>5.4</w:t>
            </w:r>
          </w:p>
        </w:tc>
      </w:tr>
      <w:tr>
        <w:trPr>
          <w:trHeight w:val="222"/>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(b)</w:t>
            </w:r>
          </w:p>
        </w:tc>
        <w:tc>
          <w:tcPr>
            <w:tcW w:w="1960" w:type="dxa"/>
            <w:vAlign w:val="bottom"/>
            <w:gridSpan w:val="3"/>
          </w:tcPr>
          <w:p>
            <w:pPr>
              <w:jc w:val="right"/>
              <w:ind w:right="20"/>
              <w:spacing w:after="0"/>
              <w:rPr>
                <w:sz w:val="20"/>
                <w:szCs w:val="20"/>
                <w:color w:val="auto"/>
              </w:rPr>
            </w:pPr>
            <w:r>
              <w:rPr>
                <w:rFonts w:ascii="Arial" w:cs="Arial" w:eastAsia="Arial" w:hAnsi="Arial"/>
                <w:sz w:val="18"/>
                <w:szCs w:val="18"/>
                <w:color w:val="auto"/>
              </w:rPr>
              <w:t>10.3</w:t>
            </w:r>
          </w:p>
        </w:tc>
      </w:tr>
      <w:tr>
        <w:trPr>
          <w:trHeight w:val="324"/>
        </w:trPr>
        <w:tc>
          <w:tcPr>
            <w:tcW w:w="9480" w:type="dxa"/>
            <w:vAlign w:val="bottom"/>
            <w:gridSpan w:val="2"/>
          </w:tcPr>
          <w:p>
            <w:pPr>
              <w:spacing w:after="0"/>
              <w:rPr>
                <w:sz w:val="20"/>
                <w:szCs w:val="20"/>
                <w:color w:val="auto"/>
              </w:rPr>
            </w:pPr>
            <w:r>
              <w:rPr>
                <w:rFonts w:ascii="Arial" w:cs="Arial" w:eastAsia="Arial" w:hAnsi="Arial"/>
                <w:sz w:val="18"/>
                <w:szCs w:val="18"/>
                <w:color w:val="auto"/>
              </w:rPr>
              <w:t>Section 318(a)</w:t>
            </w:r>
          </w:p>
        </w:tc>
        <w:tc>
          <w:tcPr>
            <w:tcW w:w="196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r>
      <w:tr>
        <w:trPr>
          <w:trHeight w:val="110"/>
        </w:trPr>
        <w:tc>
          <w:tcPr>
            <w:tcW w:w="960" w:type="dxa"/>
            <w:vAlign w:val="bottom"/>
            <w:tcBorders>
              <w:bottom w:val="single" w:sz="8" w:color="auto"/>
            </w:tcBorders>
          </w:tcPr>
          <w:p>
            <w:pPr>
              <w:spacing w:after="0"/>
              <w:rPr>
                <w:sz w:val="9"/>
                <w:szCs w:val="9"/>
                <w:color w:val="auto"/>
              </w:rPr>
            </w:pPr>
          </w:p>
        </w:tc>
        <w:tc>
          <w:tcPr>
            <w:tcW w:w="8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9480" w:type="dxa"/>
            <w:vAlign w:val="bottom"/>
            <w:gridSpan w:val="2"/>
          </w:tcPr>
          <w:p>
            <w:pPr>
              <w:ind w:left="20"/>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9480" w:type="dxa"/>
            <w:vAlign w:val="bottom"/>
            <w:gridSpan w:val="2"/>
          </w:tcPr>
          <w:p>
            <w:pPr>
              <w:spacing w:after="0"/>
              <w:rPr>
                <w:sz w:val="20"/>
                <w:szCs w:val="20"/>
                <w:color w:val="auto"/>
              </w:rPr>
            </w:pPr>
            <w:r>
              <w:rPr>
                <w:rFonts w:ascii="Arial" w:cs="Arial" w:eastAsia="Arial" w:hAnsi="Arial"/>
                <w:sz w:val="18"/>
                <w:szCs w:val="18"/>
                <w:color w:val="auto"/>
              </w:rPr>
              <w:t>*  Deemed included pursuant to Section 318(c) of the Trust Indenture Act</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75"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2"/>
            <w:vMerge w:val="restart"/>
          </w:tcPr>
          <w:p>
            <w:pPr>
              <w:spacing w:after="0"/>
              <w:rPr>
                <w:sz w:val="20"/>
                <w:szCs w:val="20"/>
                <w:color w:val="auto"/>
              </w:rPr>
            </w:pPr>
            <w:r>
              <w:rPr>
                <w:rFonts w:ascii="Arial" w:cs="Arial" w:eastAsia="Arial" w:hAnsi="Arial"/>
                <w:sz w:val="18"/>
                <w:szCs w:val="18"/>
                <w:color w:val="auto"/>
              </w:rPr>
              <w:t>ARTICLE ONE DEFINITIONS AND OTHER PROVISIONS OF GENERAL APPLICATION</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1140" w:type="dxa"/>
            <w:vAlign w:val="bottom"/>
            <w:gridSpan w:val="2"/>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1.1.</w:t>
            </w:r>
          </w:p>
        </w:tc>
        <w:tc>
          <w:tcPr>
            <w:tcW w:w="962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1.2.</w:t>
            </w:r>
          </w:p>
        </w:tc>
        <w:tc>
          <w:tcPr>
            <w:tcW w:w="9620" w:type="dxa"/>
            <w:vAlign w:val="bottom"/>
          </w:tcPr>
          <w:p>
            <w:pPr>
              <w:ind w:left="160"/>
              <w:spacing w:after="0"/>
              <w:rPr>
                <w:sz w:val="20"/>
                <w:szCs w:val="20"/>
                <w:color w:val="auto"/>
              </w:rPr>
            </w:pPr>
            <w:r>
              <w:rPr>
                <w:rFonts w:ascii="Arial" w:cs="Arial" w:eastAsia="Arial" w:hAnsi="Arial"/>
                <w:sz w:val="18"/>
                <w:szCs w:val="18"/>
                <w:color w:val="auto"/>
              </w:rPr>
              <w:t>Incorporation by Reference of Trust Indenture Act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1.3.</w:t>
            </w:r>
          </w:p>
        </w:tc>
        <w:tc>
          <w:tcPr>
            <w:tcW w:w="9620" w:type="dxa"/>
            <w:vAlign w:val="bottom"/>
          </w:tcPr>
          <w:p>
            <w:pPr>
              <w:ind w:left="160"/>
              <w:spacing w:after="0"/>
              <w:rPr>
                <w:sz w:val="20"/>
                <w:szCs w:val="20"/>
                <w:color w:val="auto"/>
              </w:rPr>
            </w:pPr>
            <w:r>
              <w:rPr>
                <w:rFonts w:ascii="Arial" w:cs="Arial" w:eastAsia="Arial" w:hAnsi="Arial"/>
                <w:sz w:val="18"/>
                <w:szCs w:val="18"/>
                <w:color w:val="auto"/>
              </w:rPr>
              <w:t>Compliance Certificates and Opinions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1.4.</w:t>
            </w:r>
          </w:p>
        </w:tc>
        <w:tc>
          <w:tcPr>
            <w:tcW w:w="9620" w:type="dxa"/>
            <w:vAlign w:val="bottom"/>
          </w:tcPr>
          <w:p>
            <w:pPr>
              <w:ind w:left="160"/>
              <w:spacing w:after="0"/>
              <w:rPr>
                <w:sz w:val="20"/>
                <w:szCs w:val="20"/>
                <w:color w:val="auto"/>
              </w:rPr>
            </w:pPr>
            <w:r>
              <w:rPr>
                <w:rFonts w:ascii="Arial" w:cs="Arial" w:eastAsia="Arial" w:hAnsi="Arial"/>
                <w:sz w:val="18"/>
                <w:szCs w:val="18"/>
                <w:color w:val="auto"/>
              </w:rPr>
              <w:t>Form of Documents Delivered to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1.5.</w:t>
            </w:r>
          </w:p>
        </w:tc>
        <w:tc>
          <w:tcPr>
            <w:tcW w:w="9620" w:type="dxa"/>
            <w:vAlign w:val="bottom"/>
          </w:tcPr>
          <w:p>
            <w:pPr>
              <w:ind w:left="160"/>
              <w:spacing w:after="0"/>
              <w:rPr>
                <w:sz w:val="20"/>
                <w:szCs w:val="20"/>
                <w:color w:val="auto"/>
              </w:rPr>
            </w:pPr>
            <w:r>
              <w:rPr>
                <w:rFonts w:ascii="Arial" w:cs="Arial" w:eastAsia="Arial" w:hAnsi="Arial"/>
                <w:sz w:val="18"/>
                <w:szCs w:val="18"/>
                <w:color w:val="auto"/>
              </w:rPr>
              <w:t>Acts of Holders; Record Dates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1.6.</w:t>
            </w:r>
          </w:p>
        </w:tc>
        <w:tc>
          <w:tcPr>
            <w:tcW w:w="9620" w:type="dxa"/>
            <w:vAlign w:val="bottom"/>
          </w:tcPr>
          <w:p>
            <w:pPr>
              <w:ind w:left="160"/>
              <w:spacing w:after="0"/>
              <w:rPr>
                <w:sz w:val="20"/>
                <w:szCs w:val="20"/>
                <w:color w:val="auto"/>
              </w:rPr>
            </w:pPr>
            <w:r>
              <w:rPr>
                <w:rFonts w:ascii="Arial" w:cs="Arial" w:eastAsia="Arial" w:hAnsi="Arial"/>
                <w:sz w:val="18"/>
                <w:szCs w:val="18"/>
                <w:color w:val="auto"/>
              </w:rPr>
              <w:t>Notices, Etc., to Trustee, Company and Guarantors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1.7.</w:t>
            </w:r>
          </w:p>
        </w:tc>
        <w:tc>
          <w:tcPr>
            <w:tcW w:w="9620" w:type="dxa"/>
            <w:vAlign w:val="bottom"/>
          </w:tcPr>
          <w:p>
            <w:pPr>
              <w:ind w:left="160"/>
              <w:spacing w:after="0"/>
              <w:rPr>
                <w:sz w:val="20"/>
                <w:szCs w:val="20"/>
                <w:color w:val="auto"/>
              </w:rPr>
            </w:pPr>
            <w:r>
              <w:rPr>
                <w:rFonts w:ascii="Arial" w:cs="Arial" w:eastAsia="Arial" w:hAnsi="Arial"/>
                <w:sz w:val="18"/>
                <w:szCs w:val="18"/>
                <w:color w:val="auto"/>
              </w:rPr>
              <w:t>Notice to Holders; Waiver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1.8.</w:t>
            </w:r>
          </w:p>
        </w:tc>
        <w:tc>
          <w:tcPr>
            <w:tcW w:w="9620" w:type="dxa"/>
            <w:vAlign w:val="bottom"/>
          </w:tcPr>
          <w:p>
            <w:pPr>
              <w:ind w:left="160"/>
              <w:spacing w:after="0"/>
              <w:rPr>
                <w:sz w:val="20"/>
                <w:szCs w:val="20"/>
                <w:color w:val="auto"/>
              </w:rPr>
            </w:pPr>
            <w:r>
              <w:rPr>
                <w:rFonts w:ascii="Arial" w:cs="Arial" w:eastAsia="Arial" w:hAnsi="Arial"/>
                <w:sz w:val="18"/>
                <w:szCs w:val="18"/>
                <w:color w:val="auto"/>
              </w:rPr>
              <w:t>Conflict with Trust Indenture Act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1.9.</w:t>
            </w:r>
          </w:p>
        </w:tc>
        <w:tc>
          <w:tcPr>
            <w:tcW w:w="9620" w:type="dxa"/>
            <w:vAlign w:val="bottom"/>
          </w:tcPr>
          <w:p>
            <w:pPr>
              <w:ind w:left="160"/>
              <w:spacing w:after="0"/>
              <w:rPr>
                <w:sz w:val="20"/>
                <w:szCs w:val="20"/>
                <w:color w:val="auto"/>
              </w:rPr>
            </w:pPr>
            <w:r>
              <w:rPr>
                <w:rFonts w:ascii="Arial" w:cs="Arial" w:eastAsia="Arial" w:hAnsi="Arial"/>
                <w:sz w:val="18"/>
                <w:szCs w:val="18"/>
                <w:color w:val="auto"/>
              </w:rPr>
              <w:t>Effect of Headings and Table of Contents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1.10.</w:t>
            </w:r>
          </w:p>
        </w:tc>
        <w:tc>
          <w:tcPr>
            <w:tcW w:w="9620" w:type="dxa"/>
            <w:vAlign w:val="bottom"/>
          </w:tcPr>
          <w:p>
            <w:pPr>
              <w:ind w:left="160"/>
              <w:spacing w:after="0"/>
              <w:rPr>
                <w:sz w:val="20"/>
                <w:szCs w:val="20"/>
                <w:color w:val="auto"/>
              </w:rPr>
            </w:pPr>
            <w:r>
              <w:rPr>
                <w:rFonts w:ascii="Arial" w:cs="Arial" w:eastAsia="Arial" w:hAnsi="Arial"/>
                <w:sz w:val="18"/>
                <w:szCs w:val="18"/>
                <w:color w:val="auto"/>
              </w:rPr>
              <w:t>Successors and Assigns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1.11.</w:t>
            </w:r>
          </w:p>
        </w:tc>
        <w:tc>
          <w:tcPr>
            <w:tcW w:w="9620" w:type="dxa"/>
            <w:vAlign w:val="bottom"/>
          </w:tcPr>
          <w:p>
            <w:pPr>
              <w:ind w:left="160"/>
              <w:spacing w:after="0"/>
              <w:rPr>
                <w:sz w:val="20"/>
                <w:szCs w:val="20"/>
                <w:color w:val="auto"/>
              </w:rPr>
            </w:pPr>
            <w:r>
              <w:rPr>
                <w:rFonts w:ascii="Arial" w:cs="Arial" w:eastAsia="Arial" w:hAnsi="Arial"/>
                <w:sz w:val="18"/>
                <w:szCs w:val="18"/>
                <w:color w:val="auto"/>
              </w:rPr>
              <w:t>Separability Clause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1.12.</w:t>
            </w:r>
          </w:p>
        </w:tc>
        <w:tc>
          <w:tcPr>
            <w:tcW w:w="9620" w:type="dxa"/>
            <w:vAlign w:val="bottom"/>
          </w:tcPr>
          <w:p>
            <w:pPr>
              <w:ind w:left="160"/>
              <w:spacing w:after="0"/>
              <w:rPr>
                <w:sz w:val="20"/>
                <w:szCs w:val="20"/>
                <w:color w:val="auto"/>
              </w:rPr>
            </w:pPr>
            <w:r>
              <w:rPr>
                <w:rFonts w:ascii="Arial" w:cs="Arial" w:eastAsia="Arial" w:hAnsi="Arial"/>
                <w:sz w:val="18"/>
                <w:szCs w:val="18"/>
                <w:color w:val="auto"/>
              </w:rPr>
              <w:t>Benefits of Indenture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1.13.</w:t>
            </w:r>
          </w:p>
        </w:tc>
        <w:tc>
          <w:tcPr>
            <w:tcW w:w="962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1.14.</w:t>
            </w:r>
          </w:p>
        </w:tc>
        <w:tc>
          <w:tcPr>
            <w:tcW w:w="9620" w:type="dxa"/>
            <w:vAlign w:val="bottom"/>
          </w:tcPr>
          <w:p>
            <w:pPr>
              <w:ind w:left="160"/>
              <w:spacing w:after="0"/>
              <w:rPr>
                <w:sz w:val="20"/>
                <w:szCs w:val="20"/>
                <w:color w:val="auto"/>
              </w:rPr>
            </w:pPr>
            <w:r>
              <w:rPr>
                <w:rFonts w:ascii="Arial" w:cs="Arial" w:eastAsia="Arial" w:hAnsi="Arial"/>
                <w:sz w:val="18"/>
                <w:szCs w:val="18"/>
                <w:color w:val="auto"/>
              </w:rPr>
              <w:t>Legal Holidays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1.15.</w:t>
            </w:r>
          </w:p>
        </w:tc>
        <w:tc>
          <w:tcPr>
            <w:tcW w:w="9620" w:type="dxa"/>
            <w:vAlign w:val="bottom"/>
          </w:tcPr>
          <w:p>
            <w:pPr>
              <w:ind w:left="160"/>
              <w:spacing w:after="0"/>
              <w:rPr>
                <w:sz w:val="20"/>
                <w:szCs w:val="20"/>
                <w:color w:val="auto"/>
              </w:rPr>
            </w:pPr>
            <w:r>
              <w:rPr>
                <w:rFonts w:ascii="Arial" w:cs="Arial" w:eastAsia="Arial" w:hAnsi="Arial"/>
                <w:sz w:val="18"/>
                <w:szCs w:val="18"/>
                <w:color w:val="auto"/>
              </w:rPr>
              <w:t>Securities in a Composite Currency, Currency Unit or Foreign Currency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1.16.</w:t>
            </w:r>
          </w:p>
        </w:tc>
        <w:tc>
          <w:tcPr>
            <w:tcW w:w="9620" w:type="dxa"/>
            <w:vAlign w:val="bottom"/>
          </w:tcPr>
          <w:p>
            <w:pPr>
              <w:ind w:left="160"/>
              <w:spacing w:after="0"/>
              <w:rPr>
                <w:sz w:val="20"/>
                <w:szCs w:val="20"/>
                <w:color w:val="auto"/>
              </w:rPr>
            </w:pPr>
            <w:r>
              <w:rPr>
                <w:rFonts w:ascii="Arial" w:cs="Arial" w:eastAsia="Arial" w:hAnsi="Arial"/>
                <w:sz w:val="18"/>
                <w:szCs w:val="18"/>
                <w:color w:val="auto"/>
              </w:rPr>
              <w:t>Payment in Required Currency; Judgment Currency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1.17.</w:t>
            </w:r>
          </w:p>
        </w:tc>
        <w:tc>
          <w:tcPr>
            <w:tcW w:w="9620" w:type="dxa"/>
            <w:vAlign w:val="bottom"/>
          </w:tcPr>
          <w:p>
            <w:pPr>
              <w:ind w:left="160"/>
              <w:spacing w:after="0"/>
              <w:rPr>
                <w:sz w:val="20"/>
                <w:szCs w:val="20"/>
                <w:color w:val="auto"/>
              </w:rPr>
            </w:pPr>
            <w:r>
              <w:rPr>
                <w:rFonts w:ascii="Arial" w:cs="Arial" w:eastAsia="Arial" w:hAnsi="Arial"/>
                <w:sz w:val="18"/>
                <w:szCs w:val="18"/>
                <w:color w:val="auto"/>
              </w:rPr>
              <w:t>Language of Notices,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1520" w:type="dxa"/>
            <w:vAlign w:val="bottom"/>
          </w:tcPr>
          <w:p>
            <w:pPr>
              <w:ind w:left="440"/>
              <w:spacing w:after="0"/>
              <w:rPr>
                <w:sz w:val="20"/>
                <w:szCs w:val="20"/>
                <w:color w:val="auto"/>
              </w:rPr>
            </w:pPr>
            <w:r>
              <w:rPr>
                <w:rFonts w:ascii="Arial" w:cs="Arial" w:eastAsia="Arial" w:hAnsi="Arial"/>
                <w:sz w:val="18"/>
                <w:szCs w:val="18"/>
                <w:color w:val="auto"/>
              </w:rPr>
              <w:t>Section 1.18.</w:t>
            </w:r>
          </w:p>
        </w:tc>
        <w:tc>
          <w:tcPr>
            <w:tcW w:w="9620" w:type="dxa"/>
            <w:vAlign w:val="bottom"/>
          </w:tcPr>
          <w:p>
            <w:pPr>
              <w:ind w:left="160"/>
              <w:spacing w:after="0"/>
              <w:rPr>
                <w:sz w:val="20"/>
                <w:szCs w:val="20"/>
                <w:color w:val="auto"/>
              </w:rPr>
            </w:pPr>
            <w:r>
              <w:rPr>
                <w:rFonts w:ascii="Arial" w:cs="Arial" w:eastAsia="Arial" w:hAnsi="Arial"/>
                <w:sz w:val="18"/>
                <w:szCs w:val="18"/>
                <w:color w:val="auto"/>
                <w:w w:val="99"/>
              </w:rPr>
              <w:t>Incorporators, Shareholders, Officers and Directors of the Company and the Guarantors Exempt from Individual Liability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8"/>
        </w:trPr>
        <w:tc>
          <w:tcPr>
            <w:tcW w:w="11140" w:type="dxa"/>
            <w:vAlign w:val="bottom"/>
            <w:gridSpan w:val="2"/>
          </w:tcPr>
          <w:p>
            <w:pPr>
              <w:spacing w:after="0"/>
              <w:rPr>
                <w:sz w:val="20"/>
                <w:szCs w:val="20"/>
                <w:color w:val="auto"/>
              </w:rPr>
            </w:pPr>
            <w:r>
              <w:rPr>
                <w:rFonts w:ascii="Arial" w:cs="Arial" w:eastAsia="Arial" w:hAnsi="Arial"/>
                <w:sz w:val="18"/>
                <w:szCs w:val="18"/>
                <w:color w:val="auto"/>
              </w:rPr>
              <w:t>ARTICLE TWO SECURITY FORMS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2.1.</w:t>
            </w:r>
          </w:p>
        </w:tc>
        <w:tc>
          <w:tcPr>
            <w:tcW w:w="9620" w:type="dxa"/>
            <w:vAlign w:val="bottom"/>
          </w:tcPr>
          <w:p>
            <w:pPr>
              <w:ind w:left="160"/>
              <w:spacing w:after="0"/>
              <w:rPr>
                <w:sz w:val="20"/>
                <w:szCs w:val="20"/>
                <w:color w:val="auto"/>
              </w:rPr>
            </w:pPr>
            <w:r>
              <w:rPr>
                <w:rFonts w:ascii="Arial" w:cs="Arial" w:eastAsia="Arial" w:hAnsi="Arial"/>
                <w:sz w:val="18"/>
                <w:szCs w:val="18"/>
                <w:color w:val="auto"/>
              </w:rPr>
              <w:t>Forms Generally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2.2.</w:t>
            </w:r>
          </w:p>
        </w:tc>
        <w:tc>
          <w:tcPr>
            <w:tcW w:w="9620" w:type="dxa"/>
            <w:vAlign w:val="bottom"/>
          </w:tcPr>
          <w:p>
            <w:pPr>
              <w:ind w:left="160"/>
              <w:spacing w:after="0"/>
              <w:rPr>
                <w:sz w:val="20"/>
                <w:szCs w:val="20"/>
                <w:color w:val="auto"/>
              </w:rPr>
            </w:pPr>
            <w:r>
              <w:rPr>
                <w:rFonts w:ascii="Arial" w:cs="Arial" w:eastAsia="Arial" w:hAnsi="Arial"/>
                <w:sz w:val="18"/>
                <w:szCs w:val="18"/>
                <w:color w:val="auto"/>
              </w:rPr>
              <w:t>Form of Face of Security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2.3.</w:t>
            </w:r>
          </w:p>
        </w:tc>
        <w:tc>
          <w:tcPr>
            <w:tcW w:w="9620" w:type="dxa"/>
            <w:vAlign w:val="bottom"/>
          </w:tcPr>
          <w:p>
            <w:pPr>
              <w:ind w:left="160"/>
              <w:spacing w:after="0"/>
              <w:rPr>
                <w:sz w:val="20"/>
                <w:szCs w:val="20"/>
                <w:color w:val="auto"/>
              </w:rPr>
            </w:pPr>
            <w:r>
              <w:rPr>
                <w:rFonts w:ascii="Arial" w:cs="Arial" w:eastAsia="Arial" w:hAnsi="Arial"/>
                <w:sz w:val="18"/>
                <w:szCs w:val="18"/>
                <w:color w:val="auto"/>
              </w:rPr>
              <w:t>Form of Reverse of Security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2.4.</w:t>
            </w:r>
          </w:p>
        </w:tc>
        <w:tc>
          <w:tcPr>
            <w:tcW w:w="9620" w:type="dxa"/>
            <w:vAlign w:val="bottom"/>
          </w:tcPr>
          <w:p>
            <w:pPr>
              <w:ind w:left="160"/>
              <w:spacing w:after="0"/>
              <w:rPr>
                <w:sz w:val="20"/>
                <w:szCs w:val="20"/>
                <w:color w:val="auto"/>
              </w:rPr>
            </w:pPr>
            <w:r>
              <w:rPr>
                <w:rFonts w:ascii="Arial" w:cs="Arial" w:eastAsia="Arial" w:hAnsi="Arial"/>
                <w:sz w:val="18"/>
                <w:szCs w:val="18"/>
                <w:color w:val="auto"/>
              </w:rPr>
              <w:t>Global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1520" w:type="dxa"/>
            <w:vAlign w:val="bottom"/>
          </w:tcPr>
          <w:p>
            <w:pPr>
              <w:ind w:left="440"/>
              <w:spacing w:after="0"/>
              <w:rPr>
                <w:sz w:val="20"/>
                <w:szCs w:val="20"/>
                <w:color w:val="auto"/>
              </w:rPr>
            </w:pPr>
            <w:r>
              <w:rPr>
                <w:rFonts w:ascii="Arial" w:cs="Arial" w:eastAsia="Arial" w:hAnsi="Arial"/>
                <w:sz w:val="18"/>
                <w:szCs w:val="18"/>
                <w:color w:val="auto"/>
              </w:rPr>
              <w:t>Section 2.5.</w:t>
            </w:r>
          </w:p>
        </w:tc>
        <w:tc>
          <w:tcPr>
            <w:tcW w:w="9620" w:type="dxa"/>
            <w:vAlign w:val="bottom"/>
          </w:tcPr>
          <w:p>
            <w:pPr>
              <w:ind w:left="160"/>
              <w:spacing w:after="0"/>
              <w:rPr>
                <w:sz w:val="20"/>
                <w:szCs w:val="20"/>
                <w:color w:val="auto"/>
              </w:rPr>
            </w:pPr>
            <w:r>
              <w:rPr>
                <w:rFonts w:ascii="Arial" w:cs="Arial" w:eastAsia="Arial" w:hAnsi="Arial"/>
                <w:sz w:val="18"/>
                <w:szCs w:val="18"/>
                <w:color w:val="auto"/>
              </w:rPr>
              <w:t>Form of Trustee’s Certificate of Authentication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8"/>
        </w:trPr>
        <w:tc>
          <w:tcPr>
            <w:tcW w:w="11140" w:type="dxa"/>
            <w:vAlign w:val="bottom"/>
            <w:gridSpan w:val="2"/>
          </w:tcPr>
          <w:p>
            <w:pPr>
              <w:spacing w:after="0"/>
              <w:rPr>
                <w:sz w:val="20"/>
                <w:szCs w:val="20"/>
                <w:color w:val="auto"/>
              </w:rPr>
            </w:pPr>
            <w:r>
              <w:rPr>
                <w:rFonts w:ascii="Arial" w:cs="Arial" w:eastAsia="Arial" w:hAnsi="Arial"/>
                <w:sz w:val="18"/>
                <w:szCs w:val="18"/>
                <w:color w:val="auto"/>
              </w:rPr>
              <w:t>ARTICLE THREE THE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3.1.</w:t>
            </w:r>
          </w:p>
        </w:tc>
        <w:tc>
          <w:tcPr>
            <w:tcW w:w="9620" w:type="dxa"/>
            <w:vAlign w:val="bottom"/>
          </w:tcPr>
          <w:p>
            <w:pPr>
              <w:ind w:left="160"/>
              <w:spacing w:after="0"/>
              <w:rPr>
                <w:sz w:val="20"/>
                <w:szCs w:val="20"/>
                <w:color w:val="auto"/>
              </w:rPr>
            </w:pPr>
            <w:r>
              <w:rPr>
                <w:rFonts w:ascii="Arial" w:cs="Arial" w:eastAsia="Arial" w:hAnsi="Arial"/>
                <w:sz w:val="18"/>
                <w:szCs w:val="18"/>
                <w:color w:val="auto"/>
              </w:rPr>
              <w:t>Amount Unlimited; Issuable in Series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3.2.</w:t>
            </w:r>
          </w:p>
        </w:tc>
        <w:tc>
          <w:tcPr>
            <w:tcW w:w="9620" w:type="dxa"/>
            <w:vAlign w:val="bottom"/>
          </w:tcPr>
          <w:p>
            <w:pPr>
              <w:ind w:left="160"/>
              <w:spacing w:after="0"/>
              <w:rPr>
                <w:sz w:val="20"/>
                <w:szCs w:val="20"/>
                <w:color w:val="auto"/>
              </w:rPr>
            </w:pPr>
            <w:r>
              <w:rPr>
                <w:rFonts w:ascii="Arial" w:cs="Arial" w:eastAsia="Arial" w:hAnsi="Arial"/>
                <w:sz w:val="18"/>
                <w:szCs w:val="18"/>
                <w:color w:val="auto"/>
              </w:rPr>
              <w:t>Denominations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3.3.</w:t>
            </w:r>
          </w:p>
        </w:tc>
        <w:tc>
          <w:tcPr>
            <w:tcW w:w="9620" w:type="dxa"/>
            <w:vAlign w:val="bottom"/>
          </w:tcPr>
          <w:p>
            <w:pPr>
              <w:ind w:left="160"/>
              <w:spacing w:after="0"/>
              <w:rPr>
                <w:sz w:val="20"/>
                <w:szCs w:val="20"/>
                <w:color w:val="auto"/>
              </w:rPr>
            </w:pPr>
            <w:r>
              <w:rPr>
                <w:rFonts w:ascii="Arial" w:cs="Arial" w:eastAsia="Arial" w:hAnsi="Arial"/>
                <w:sz w:val="18"/>
                <w:szCs w:val="18"/>
                <w:color w:val="auto"/>
              </w:rPr>
              <w:t>Execution, Authentication, Delivery and Dating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3.4.</w:t>
            </w:r>
          </w:p>
        </w:tc>
        <w:tc>
          <w:tcPr>
            <w:tcW w:w="9620" w:type="dxa"/>
            <w:vAlign w:val="bottom"/>
          </w:tcPr>
          <w:p>
            <w:pPr>
              <w:ind w:left="160"/>
              <w:spacing w:after="0"/>
              <w:rPr>
                <w:sz w:val="20"/>
                <w:szCs w:val="20"/>
                <w:color w:val="auto"/>
              </w:rPr>
            </w:pPr>
            <w:r>
              <w:rPr>
                <w:rFonts w:ascii="Arial" w:cs="Arial" w:eastAsia="Arial" w:hAnsi="Arial"/>
                <w:sz w:val="18"/>
                <w:szCs w:val="18"/>
                <w:color w:val="auto"/>
              </w:rPr>
              <w:t>Temporary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3.5.</w:t>
            </w:r>
          </w:p>
        </w:tc>
        <w:tc>
          <w:tcPr>
            <w:tcW w:w="9620" w:type="dxa"/>
            <w:vAlign w:val="bottom"/>
          </w:tcPr>
          <w:p>
            <w:pPr>
              <w:ind w:left="160"/>
              <w:spacing w:after="0"/>
              <w:rPr>
                <w:sz w:val="20"/>
                <w:szCs w:val="20"/>
                <w:color w:val="auto"/>
              </w:rPr>
            </w:pPr>
            <w:r>
              <w:rPr>
                <w:rFonts w:ascii="Arial" w:cs="Arial" w:eastAsia="Arial" w:hAnsi="Arial"/>
                <w:sz w:val="18"/>
                <w:szCs w:val="18"/>
                <w:color w:val="auto"/>
              </w:rPr>
              <w:t>Registration, Registration of Transfer and Exchange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3.6.</w:t>
            </w:r>
          </w:p>
        </w:tc>
        <w:tc>
          <w:tcPr>
            <w:tcW w:w="9620" w:type="dxa"/>
            <w:vAlign w:val="bottom"/>
          </w:tcPr>
          <w:p>
            <w:pPr>
              <w:ind w:left="160"/>
              <w:spacing w:after="0"/>
              <w:rPr>
                <w:sz w:val="20"/>
                <w:szCs w:val="20"/>
                <w:color w:val="auto"/>
              </w:rPr>
            </w:pPr>
            <w:r>
              <w:rPr>
                <w:rFonts w:ascii="Arial" w:cs="Arial" w:eastAsia="Arial" w:hAnsi="Arial"/>
                <w:sz w:val="18"/>
                <w:szCs w:val="18"/>
                <w:color w:val="auto"/>
              </w:rPr>
              <w:t>Mutilated, Destroyed, Lost and Stolen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3.7.</w:t>
            </w:r>
          </w:p>
        </w:tc>
        <w:tc>
          <w:tcPr>
            <w:tcW w:w="9620" w:type="dxa"/>
            <w:vAlign w:val="bottom"/>
          </w:tcPr>
          <w:p>
            <w:pPr>
              <w:ind w:left="160"/>
              <w:spacing w:after="0"/>
              <w:rPr>
                <w:sz w:val="20"/>
                <w:szCs w:val="20"/>
                <w:color w:val="auto"/>
              </w:rPr>
            </w:pPr>
            <w:r>
              <w:rPr>
                <w:rFonts w:ascii="Arial" w:cs="Arial" w:eastAsia="Arial" w:hAnsi="Arial"/>
                <w:sz w:val="18"/>
                <w:szCs w:val="18"/>
                <w:color w:val="auto"/>
              </w:rPr>
              <w:t>Payment of Interest; Interest Rights Preserved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3.8.</w:t>
            </w:r>
          </w:p>
        </w:tc>
        <w:tc>
          <w:tcPr>
            <w:tcW w:w="9620" w:type="dxa"/>
            <w:vAlign w:val="bottom"/>
          </w:tcPr>
          <w:p>
            <w:pPr>
              <w:ind w:left="160"/>
              <w:spacing w:after="0"/>
              <w:rPr>
                <w:sz w:val="20"/>
                <w:szCs w:val="20"/>
                <w:color w:val="auto"/>
              </w:rPr>
            </w:pPr>
            <w:r>
              <w:rPr>
                <w:rFonts w:ascii="Arial" w:cs="Arial" w:eastAsia="Arial" w:hAnsi="Arial"/>
                <w:sz w:val="18"/>
                <w:szCs w:val="18"/>
                <w:color w:val="auto"/>
              </w:rPr>
              <w:t>Persons Deemed Owners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3.9.</w:t>
            </w:r>
          </w:p>
        </w:tc>
        <w:tc>
          <w:tcPr>
            <w:tcW w:w="9620" w:type="dxa"/>
            <w:vAlign w:val="bottom"/>
          </w:tcPr>
          <w:p>
            <w:pPr>
              <w:ind w:left="160"/>
              <w:spacing w:after="0"/>
              <w:rPr>
                <w:sz w:val="20"/>
                <w:szCs w:val="20"/>
                <w:color w:val="auto"/>
              </w:rPr>
            </w:pPr>
            <w:r>
              <w:rPr>
                <w:rFonts w:ascii="Arial" w:cs="Arial" w:eastAsia="Arial" w:hAnsi="Arial"/>
                <w:sz w:val="18"/>
                <w:szCs w:val="18"/>
                <w:color w:val="auto"/>
              </w:rPr>
              <w:t>Cancellation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3.10.</w:t>
            </w:r>
          </w:p>
        </w:tc>
        <w:tc>
          <w:tcPr>
            <w:tcW w:w="9620" w:type="dxa"/>
            <w:vAlign w:val="bottom"/>
          </w:tcPr>
          <w:p>
            <w:pPr>
              <w:ind w:left="160"/>
              <w:spacing w:after="0"/>
              <w:rPr>
                <w:sz w:val="20"/>
                <w:szCs w:val="20"/>
                <w:color w:val="auto"/>
              </w:rPr>
            </w:pPr>
            <w:r>
              <w:rPr>
                <w:rFonts w:ascii="Arial" w:cs="Arial" w:eastAsia="Arial" w:hAnsi="Arial"/>
                <w:sz w:val="18"/>
                <w:szCs w:val="18"/>
                <w:color w:val="auto"/>
              </w:rPr>
              <w:t>Computation of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1520" w:type="dxa"/>
            <w:vAlign w:val="bottom"/>
          </w:tcPr>
          <w:p>
            <w:pPr>
              <w:ind w:left="440"/>
              <w:spacing w:after="0"/>
              <w:rPr>
                <w:sz w:val="20"/>
                <w:szCs w:val="20"/>
                <w:color w:val="auto"/>
              </w:rPr>
            </w:pPr>
            <w:r>
              <w:rPr>
                <w:rFonts w:ascii="Arial" w:cs="Arial" w:eastAsia="Arial" w:hAnsi="Arial"/>
                <w:sz w:val="18"/>
                <w:szCs w:val="18"/>
                <w:color w:val="auto"/>
              </w:rPr>
              <w:t>Section 3.11.</w:t>
            </w:r>
          </w:p>
        </w:tc>
        <w:tc>
          <w:tcPr>
            <w:tcW w:w="9620" w:type="dxa"/>
            <w:vAlign w:val="bottom"/>
          </w:tcPr>
          <w:p>
            <w:pPr>
              <w:ind w:left="160"/>
              <w:spacing w:after="0"/>
              <w:rPr>
                <w:sz w:val="20"/>
                <w:szCs w:val="20"/>
                <w:color w:val="auto"/>
              </w:rPr>
            </w:pPr>
            <w:r>
              <w:rPr>
                <w:rFonts w:ascii="Arial" w:cs="Arial" w:eastAsia="Arial" w:hAnsi="Arial"/>
                <w:sz w:val="18"/>
                <w:szCs w:val="18"/>
                <w:color w:val="auto"/>
              </w:rPr>
              <w:t>CUSIP or CINS Numbers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8"/>
        </w:trPr>
        <w:tc>
          <w:tcPr>
            <w:tcW w:w="11140" w:type="dxa"/>
            <w:vAlign w:val="bottom"/>
            <w:gridSpan w:val="2"/>
          </w:tcPr>
          <w:p>
            <w:pPr>
              <w:spacing w:after="0"/>
              <w:rPr>
                <w:sz w:val="20"/>
                <w:szCs w:val="20"/>
                <w:color w:val="auto"/>
              </w:rPr>
            </w:pPr>
            <w:r>
              <w:rPr>
                <w:rFonts w:ascii="Arial" w:cs="Arial" w:eastAsia="Arial" w:hAnsi="Arial"/>
                <w:sz w:val="18"/>
                <w:szCs w:val="18"/>
                <w:color w:val="auto"/>
              </w:rPr>
              <w:t>ARTICLE FOUR SATISFACTION AND DISCHARGE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4.1.</w:t>
            </w:r>
          </w:p>
        </w:tc>
        <w:tc>
          <w:tcPr>
            <w:tcW w:w="9620" w:type="dxa"/>
            <w:vAlign w:val="bottom"/>
          </w:tcPr>
          <w:p>
            <w:pPr>
              <w:ind w:left="160"/>
              <w:spacing w:after="0"/>
              <w:rPr>
                <w:sz w:val="20"/>
                <w:szCs w:val="20"/>
                <w:color w:val="auto"/>
              </w:rPr>
            </w:pPr>
            <w:r>
              <w:rPr>
                <w:rFonts w:ascii="Arial" w:cs="Arial" w:eastAsia="Arial" w:hAnsi="Arial"/>
                <w:sz w:val="18"/>
                <w:szCs w:val="18"/>
                <w:color w:val="auto"/>
              </w:rPr>
              <w:t>Satisfaction and Discharge of Indenture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1520" w:type="dxa"/>
            <w:vAlign w:val="bottom"/>
          </w:tcPr>
          <w:p>
            <w:pPr>
              <w:ind w:left="440"/>
              <w:spacing w:after="0"/>
              <w:rPr>
                <w:sz w:val="20"/>
                <w:szCs w:val="20"/>
                <w:color w:val="auto"/>
              </w:rPr>
            </w:pPr>
            <w:r>
              <w:rPr>
                <w:rFonts w:ascii="Arial" w:cs="Arial" w:eastAsia="Arial" w:hAnsi="Arial"/>
                <w:sz w:val="18"/>
                <w:szCs w:val="18"/>
                <w:color w:val="auto"/>
              </w:rPr>
              <w:t>Section 4.2.</w:t>
            </w:r>
          </w:p>
        </w:tc>
        <w:tc>
          <w:tcPr>
            <w:tcW w:w="9620" w:type="dxa"/>
            <w:vAlign w:val="bottom"/>
          </w:tcPr>
          <w:p>
            <w:pPr>
              <w:ind w:left="160"/>
              <w:spacing w:after="0"/>
              <w:rPr>
                <w:sz w:val="20"/>
                <w:szCs w:val="20"/>
                <w:color w:val="auto"/>
              </w:rPr>
            </w:pPr>
            <w:r>
              <w:rPr>
                <w:rFonts w:ascii="Arial" w:cs="Arial" w:eastAsia="Arial" w:hAnsi="Arial"/>
                <w:sz w:val="18"/>
                <w:szCs w:val="18"/>
                <w:color w:val="auto"/>
              </w:rPr>
              <w:t>Application of Trust Money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18"/>
        </w:trPr>
        <w:tc>
          <w:tcPr>
            <w:tcW w:w="11140" w:type="dxa"/>
            <w:vAlign w:val="bottom"/>
            <w:gridSpan w:val="2"/>
          </w:tcPr>
          <w:p>
            <w:pPr>
              <w:spacing w:after="0"/>
              <w:rPr>
                <w:sz w:val="20"/>
                <w:szCs w:val="20"/>
                <w:color w:val="auto"/>
              </w:rPr>
            </w:pPr>
            <w:r>
              <w:rPr>
                <w:rFonts w:ascii="Arial" w:cs="Arial" w:eastAsia="Arial" w:hAnsi="Arial"/>
                <w:sz w:val="18"/>
                <w:szCs w:val="18"/>
                <w:color w:val="auto"/>
              </w:rPr>
              <w:t>ARTICLE FIVE REMEDIES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2"/>
        </w:trPr>
        <w:tc>
          <w:tcPr>
            <w:tcW w:w="1520" w:type="dxa"/>
            <w:vAlign w:val="bottom"/>
          </w:tcPr>
          <w:p>
            <w:pPr>
              <w:ind w:left="440"/>
              <w:spacing w:after="0"/>
              <w:rPr>
                <w:sz w:val="20"/>
                <w:szCs w:val="20"/>
                <w:color w:val="auto"/>
              </w:rPr>
            </w:pPr>
            <w:r>
              <w:rPr>
                <w:rFonts w:ascii="Arial" w:cs="Arial" w:eastAsia="Arial" w:hAnsi="Arial"/>
                <w:sz w:val="18"/>
                <w:szCs w:val="18"/>
                <w:color w:val="auto"/>
              </w:rPr>
              <w:t>Section 5.1.</w:t>
            </w:r>
          </w:p>
        </w:tc>
        <w:tc>
          <w:tcPr>
            <w:tcW w:w="9620" w:type="dxa"/>
            <w:vAlign w:val="bottom"/>
          </w:tcPr>
          <w:p>
            <w:pPr>
              <w:ind w:left="160"/>
              <w:spacing w:after="0"/>
              <w:rPr>
                <w:sz w:val="20"/>
                <w:szCs w:val="20"/>
                <w:color w:val="auto"/>
              </w:rPr>
            </w:pPr>
            <w:r>
              <w:rPr>
                <w:rFonts w:ascii="Arial" w:cs="Arial" w:eastAsia="Arial" w:hAnsi="Arial"/>
                <w:sz w:val="18"/>
                <w:szCs w:val="18"/>
                <w:color w:val="auto"/>
              </w:rPr>
              <w:t>Events of Default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5.2.</w:t>
            </w:r>
          </w:p>
        </w:tc>
        <w:tc>
          <w:tcPr>
            <w:tcW w:w="7600" w:type="dxa"/>
            <w:vAlign w:val="bottom"/>
          </w:tcPr>
          <w:p>
            <w:pPr>
              <w:ind w:left="120"/>
              <w:spacing w:after="0"/>
              <w:rPr>
                <w:sz w:val="20"/>
                <w:szCs w:val="20"/>
                <w:color w:val="auto"/>
              </w:rPr>
            </w:pPr>
            <w:r>
              <w:rPr>
                <w:rFonts w:ascii="Arial" w:cs="Arial" w:eastAsia="Arial" w:hAnsi="Arial"/>
                <w:sz w:val="18"/>
                <w:szCs w:val="18"/>
                <w:color w:val="auto"/>
              </w:rPr>
              <w:t>Acceleration of Maturity; Rescission and Annulment</w:t>
            </w:r>
          </w:p>
        </w:tc>
        <w:tc>
          <w:tcPr>
            <w:tcW w:w="2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5.3.</w:t>
            </w:r>
          </w:p>
        </w:tc>
        <w:tc>
          <w:tcPr>
            <w:tcW w:w="7600" w:type="dxa"/>
            <w:vAlign w:val="bottom"/>
          </w:tcPr>
          <w:p>
            <w:pPr>
              <w:ind w:left="120"/>
              <w:spacing w:after="0"/>
              <w:rPr>
                <w:sz w:val="20"/>
                <w:szCs w:val="20"/>
                <w:color w:val="auto"/>
              </w:rPr>
            </w:pPr>
            <w:r>
              <w:rPr>
                <w:rFonts w:ascii="Arial" w:cs="Arial" w:eastAsia="Arial" w:hAnsi="Arial"/>
                <w:sz w:val="18"/>
                <w:szCs w:val="18"/>
                <w:color w:val="auto"/>
              </w:rPr>
              <w:t>Collection of Indebtedness and Suits for Enforcement by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5.4.</w:t>
            </w:r>
          </w:p>
        </w:tc>
        <w:tc>
          <w:tcPr>
            <w:tcW w:w="7600" w:type="dxa"/>
            <w:vAlign w:val="bottom"/>
          </w:tcPr>
          <w:p>
            <w:pPr>
              <w:ind w:left="120"/>
              <w:spacing w:after="0"/>
              <w:rPr>
                <w:sz w:val="20"/>
                <w:szCs w:val="20"/>
                <w:color w:val="auto"/>
              </w:rPr>
            </w:pPr>
            <w:r>
              <w:rPr>
                <w:rFonts w:ascii="Arial" w:cs="Arial" w:eastAsia="Arial" w:hAnsi="Arial"/>
                <w:sz w:val="18"/>
                <w:szCs w:val="18"/>
                <w:color w:val="auto"/>
              </w:rPr>
              <w:t>Trustee May File Proofs of Claim</w:t>
            </w:r>
          </w:p>
        </w:tc>
        <w:tc>
          <w:tcPr>
            <w:tcW w:w="2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5.5.</w:t>
            </w:r>
          </w:p>
        </w:tc>
        <w:tc>
          <w:tcPr>
            <w:tcW w:w="7600" w:type="dxa"/>
            <w:vAlign w:val="bottom"/>
          </w:tcPr>
          <w:p>
            <w:pPr>
              <w:ind w:left="120"/>
              <w:spacing w:after="0"/>
              <w:rPr>
                <w:sz w:val="20"/>
                <w:szCs w:val="20"/>
                <w:color w:val="auto"/>
              </w:rPr>
            </w:pPr>
            <w:r>
              <w:rPr>
                <w:rFonts w:ascii="Arial" w:cs="Arial" w:eastAsia="Arial" w:hAnsi="Arial"/>
                <w:sz w:val="18"/>
                <w:szCs w:val="18"/>
                <w:color w:val="auto"/>
              </w:rPr>
              <w:t>Trustee May Enforce Claims Without Possession of Securities</w:t>
            </w:r>
          </w:p>
        </w:tc>
        <w:tc>
          <w:tcPr>
            <w:tcW w:w="2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5.6.</w:t>
            </w:r>
          </w:p>
        </w:tc>
        <w:tc>
          <w:tcPr>
            <w:tcW w:w="7600" w:type="dxa"/>
            <w:vAlign w:val="bottom"/>
          </w:tcPr>
          <w:p>
            <w:pPr>
              <w:ind w:left="120"/>
              <w:spacing w:after="0"/>
              <w:rPr>
                <w:sz w:val="20"/>
                <w:szCs w:val="20"/>
                <w:color w:val="auto"/>
              </w:rPr>
            </w:pPr>
            <w:r>
              <w:rPr>
                <w:rFonts w:ascii="Arial" w:cs="Arial" w:eastAsia="Arial" w:hAnsi="Arial"/>
                <w:sz w:val="18"/>
                <w:szCs w:val="18"/>
                <w:color w:val="auto"/>
              </w:rPr>
              <w:t>Application of Money Collected</w:t>
            </w:r>
          </w:p>
        </w:tc>
        <w:tc>
          <w:tcPr>
            <w:tcW w:w="2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5.7.</w:t>
            </w:r>
          </w:p>
        </w:tc>
        <w:tc>
          <w:tcPr>
            <w:tcW w:w="7600" w:type="dxa"/>
            <w:vAlign w:val="bottom"/>
          </w:tcPr>
          <w:p>
            <w:pPr>
              <w:ind w:left="120"/>
              <w:spacing w:after="0"/>
              <w:rPr>
                <w:sz w:val="20"/>
                <w:szCs w:val="20"/>
                <w:color w:val="auto"/>
              </w:rPr>
            </w:pPr>
            <w:r>
              <w:rPr>
                <w:rFonts w:ascii="Arial" w:cs="Arial" w:eastAsia="Arial" w:hAnsi="Arial"/>
                <w:sz w:val="18"/>
                <w:szCs w:val="18"/>
                <w:color w:val="auto"/>
              </w:rPr>
              <w:t>Limitation on Suits</w:t>
            </w:r>
          </w:p>
        </w:tc>
        <w:tc>
          <w:tcPr>
            <w:tcW w:w="2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5.8.</w:t>
            </w:r>
          </w:p>
        </w:tc>
        <w:tc>
          <w:tcPr>
            <w:tcW w:w="7600" w:type="dxa"/>
            <w:vAlign w:val="bottom"/>
          </w:tcPr>
          <w:p>
            <w:pPr>
              <w:ind w:left="120"/>
              <w:spacing w:after="0"/>
              <w:rPr>
                <w:sz w:val="20"/>
                <w:szCs w:val="20"/>
                <w:color w:val="auto"/>
              </w:rPr>
            </w:pPr>
            <w:r>
              <w:rPr>
                <w:rFonts w:ascii="Arial" w:cs="Arial" w:eastAsia="Arial" w:hAnsi="Arial"/>
                <w:sz w:val="18"/>
                <w:szCs w:val="18"/>
                <w:color w:val="auto"/>
              </w:rPr>
              <w:t>Unconditional Right of Holders to Receive Principal, Premium and Interest</w:t>
            </w:r>
          </w:p>
        </w:tc>
        <w:tc>
          <w:tcPr>
            <w:tcW w:w="2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5.9.</w:t>
            </w:r>
          </w:p>
        </w:tc>
        <w:tc>
          <w:tcPr>
            <w:tcW w:w="7600" w:type="dxa"/>
            <w:vAlign w:val="bottom"/>
          </w:tcPr>
          <w:p>
            <w:pPr>
              <w:ind w:left="120"/>
              <w:spacing w:after="0"/>
              <w:rPr>
                <w:sz w:val="20"/>
                <w:szCs w:val="20"/>
                <w:color w:val="auto"/>
              </w:rPr>
            </w:pPr>
            <w:r>
              <w:rPr>
                <w:rFonts w:ascii="Arial" w:cs="Arial" w:eastAsia="Arial" w:hAnsi="Arial"/>
                <w:sz w:val="18"/>
                <w:szCs w:val="18"/>
                <w:color w:val="auto"/>
              </w:rPr>
              <w:t>Restoration of Rights and Remedies</w:t>
            </w:r>
          </w:p>
        </w:tc>
        <w:tc>
          <w:tcPr>
            <w:tcW w:w="2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5.10.</w:t>
            </w:r>
          </w:p>
        </w:tc>
        <w:tc>
          <w:tcPr>
            <w:tcW w:w="7600" w:type="dxa"/>
            <w:vAlign w:val="bottom"/>
          </w:tcPr>
          <w:p>
            <w:pPr>
              <w:ind w:left="120"/>
              <w:spacing w:after="0"/>
              <w:rPr>
                <w:sz w:val="20"/>
                <w:szCs w:val="20"/>
                <w:color w:val="auto"/>
              </w:rPr>
            </w:pPr>
            <w:r>
              <w:rPr>
                <w:rFonts w:ascii="Arial" w:cs="Arial" w:eastAsia="Arial" w:hAnsi="Arial"/>
                <w:sz w:val="18"/>
                <w:szCs w:val="18"/>
                <w:color w:val="auto"/>
              </w:rPr>
              <w:t>Rights and Remedies Cumulative</w:t>
            </w:r>
          </w:p>
        </w:tc>
        <w:tc>
          <w:tcPr>
            <w:tcW w:w="2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5.11.</w:t>
            </w:r>
          </w:p>
        </w:tc>
        <w:tc>
          <w:tcPr>
            <w:tcW w:w="7600" w:type="dxa"/>
            <w:vAlign w:val="bottom"/>
          </w:tcPr>
          <w:p>
            <w:pPr>
              <w:ind w:left="120"/>
              <w:spacing w:after="0"/>
              <w:rPr>
                <w:sz w:val="20"/>
                <w:szCs w:val="20"/>
                <w:color w:val="auto"/>
              </w:rPr>
            </w:pPr>
            <w:r>
              <w:rPr>
                <w:rFonts w:ascii="Arial" w:cs="Arial" w:eastAsia="Arial" w:hAnsi="Arial"/>
                <w:sz w:val="18"/>
                <w:szCs w:val="18"/>
                <w:color w:val="auto"/>
              </w:rPr>
              <w:t>Delay or Omission Not Waiver</w:t>
            </w:r>
          </w:p>
        </w:tc>
        <w:tc>
          <w:tcPr>
            <w:tcW w:w="2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5.12.</w:t>
            </w:r>
          </w:p>
        </w:tc>
        <w:tc>
          <w:tcPr>
            <w:tcW w:w="7600" w:type="dxa"/>
            <w:vAlign w:val="bottom"/>
          </w:tcPr>
          <w:p>
            <w:pPr>
              <w:ind w:left="120"/>
              <w:spacing w:after="0"/>
              <w:rPr>
                <w:sz w:val="20"/>
                <w:szCs w:val="20"/>
                <w:color w:val="auto"/>
              </w:rPr>
            </w:pPr>
            <w:r>
              <w:rPr>
                <w:rFonts w:ascii="Arial" w:cs="Arial" w:eastAsia="Arial" w:hAnsi="Arial"/>
                <w:sz w:val="18"/>
                <w:szCs w:val="18"/>
                <w:color w:val="auto"/>
              </w:rPr>
              <w:t>Control by Holders</w:t>
            </w:r>
          </w:p>
        </w:tc>
        <w:tc>
          <w:tcPr>
            <w:tcW w:w="2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5.13.</w:t>
            </w:r>
          </w:p>
        </w:tc>
        <w:tc>
          <w:tcPr>
            <w:tcW w:w="7600" w:type="dxa"/>
            <w:vAlign w:val="bottom"/>
          </w:tcPr>
          <w:p>
            <w:pPr>
              <w:ind w:left="120"/>
              <w:spacing w:after="0"/>
              <w:rPr>
                <w:sz w:val="20"/>
                <w:szCs w:val="20"/>
                <w:color w:val="auto"/>
              </w:rPr>
            </w:pPr>
            <w:r>
              <w:rPr>
                <w:rFonts w:ascii="Arial" w:cs="Arial" w:eastAsia="Arial" w:hAnsi="Arial"/>
                <w:sz w:val="18"/>
                <w:szCs w:val="18"/>
                <w:color w:val="auto"/>
              </w:rPr>
              <w:t>Waiver of Past Defaults</w:t>
            </w:r>
          </w:p>
        </w:tc>
        <w:tc>
          <w:tcPr>
            <w:tcW w:w="2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5.14.</w:t>
            </w:r>
          </w:p>
        </w:tc>
        <w:tc>
          <w:tcPr>
            <w:tcW w:w="7600" w:type="dxa"/>
            <w:vAlign w:val="bottom"/>
          </w:tcPr>
          <w:p>
            <w:pPr>
              <w:ind w:left="120"/>
              <w:spacing w:after="0"/>
              <w:rPr>
                <w:sz w:val="20"/>
                <w:szCs w:val="20"/>
                <w:color w:val="auto"/>
              </w:rPr>
            </w:pPr>
            <w:r>
              <w:rPr>
                <w:rFonts w:ascii="Arial" w:cs="Arial" w:eastAsia="Arial" w:hAnsi="Arial"/>
                <w:sz w:val="18"/>
                <w:szCs w:val="18"/>
                <w:color w:val="auto"/>
              </w:rPr>
              <w:t>Undertaking for Costs</w:t>
            </w:r>
          </w:p>
        </w:tc>
        <w:tc>
          <w:tcPr>
            <w:tcW w:w="2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2"/>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5.15.</w:t>
            </w:r>
          </w:p>
        </w:tc>
        <w:tc>
          <w:tcPr>
            <w:tcW w:w="7600" w:type="dxa"/>
            <w:vAlign w:val="bottom"/>
          </w:tcPr>
          <w:p>
            <w:pPr>
              <w:ind w:left="120"/>
              <w:spacing w:after="0"/>
              <w:rPr>
                <w:sz w:val="20"/>
                <w:szCs w:val="20"/>
                <w:color w:val="auto"/>
              </w:rPr>
            </w:pPr>
            <w:r>
              <w:rPr>
                <w:rFonts w:ascii="Arial" w:cs="Arial" w:eastAsia="Arial" w:hAnsi="Arial"/>
                <w:sz w:val="18"/>
                <w:szCs w:val="18"/>
                <w:color w:val="auto"/>
              </w:rPr>
              <w:t>Waiver of Stay or Extension Laws</w:t>
            </w:r>
          </w:p>
        </w:tc>
        <w:tc>
          <w:tcPr>
            <w:tcW w:w="2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8"/>
        </w:trPr>
        <w:tc>
          <w:tcPr>
            <w:tcW w:w="9060" w:type="dxa"/>
            <w:vAlign w:val="bottom"/>
            <w:gridSpan w:val="2"/>
          </w:tcPr>
          <w:p>
            <w:pPr>
              <w:spacing w:after="0"/>
              <w:rPr>
                <w:sz w:val="20"/>
                <w:szCs w:val="20"/>
                <w:color w:val="auto"/>
              </w:rPr>
            </w:pPr>
            <w:r>
              <w:rPr>
                <w:rFonts w:ascii="Arial" w:cs="Arial" w:eastAsia="Arial" w:hAnsi="Arial"/>
                <w:sz w:val="18"/>
                <w:szCs w:val="18"/>
                <w:color w:val="auto"/>
              </w:rPr>
              <w:t>ARTICLE SIX THE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6.1.</w:t>
            </w:r>
          </w:p>
        </w:tc>
        <w:tc>
          <w:tcPr>
            <w:tcW w:w="7600" w:type="dxa"/>
            <w:vAlign w:val="bottom"/>
          </w:tcPr>
          <w:p>
            <w:pPr>
              <w:ind w:left="120"/>
              <w:spacing w:after="0"/>
              <w:rPr>
                <w:sz w:val="20"/>
                <w:szCs w:val="20"/>
                <w:color w:val="auto"/>
              </w:rPr>
            </w:pPr>
            <w:r>
              <w:rPr>
                <w:rFonts w:ascii="Arial" w:cs="Arial" w:eastAsia="Arial" w:hAnsi="Arial"/>
                <w:sz w:val="18"/>
                <w:szCs w:val="18"/>
                <w:color w:val="auto"/>
              </w:rPr>
              <w:t>Certain Duties and Responsibilities</w:t>
            </w:r>
          </w:p>
        </w:tc>
        <w:tc>
          <w:tcPr>
            <w:tcW w:w="2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6.2.</w:t>
            </w:r>
          </w:p>
        </w:tc>
        <w:tc>
          <w:tcPr>
            <w:tcW w:w="7600" w:type="dxa"/>
            <w:vAlign w:val="bottom"/>
          </w:tcPr>
          <w:p>
            <w:pPr>
              <w:ind w:left="120"/>
              <w:spacing w:after="0"/>
              <w:rPr>
                <w:sz w:val="20"/>
                <w:szCs w:val="20"/>
                <w:color w:val="auto"/>
              </w:rPr>
            </w:pPr>
            <w:r>
              <w:rPr>
                <w:rFonts w:ascii="Arial" w:cs="Arial" w:eastAsia="Arial" w:hAnsi="Arial"/>
                <w:sz w:val="18"/>
                <w:szCs w:val="18"/>
                <w:color w:val="auto"/>
              </w:rPr>
              <w:t>Notice of Defaults</w:t>
            </w:r>
          </w:p>
        </w:tc>
        <w:tc>
          <w:tcPr>
            <w:tcW w:w="2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6.3.</w:t>
            </w:r>
          </w:p>
        </w:tc>
        <w:tc>
          <w:tcPr>
            <w:tcW w:w="7600" w:type="dxa"/>
            <w:vAlign w:val="bottom"/>
          </w:tcPr>
          <w:p>
            <w:pPr>
              <w:ind w:left="120"/>
              <w:spacing w:after="0"/>
              <w:rPr>
                <w:sz w:val="20"/>
                <w:szCs w:val="20"/>
                <w:color w:val="auto"/>
              </w:rPr>
            </w:pPr>
            <w:r>
              <w:rPr>
                <w:rFonts w:ascii="Arial" w:cs="Arial" w:eastAsia="Arial" w:hAnsi="Arial"/>
                <w:sz w:val="18"/>
                <w:szCs w:val="18"/>
                <w:color w:val="auto"/>
              </w:rPr>
              <w:t>Certain Rights of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6.4.</w:t>
            </w:r>
          </w:p>
        </w:tc>
        <w:tc>
          <w:tcPr>
            <w:tcW w:w="7600" w:type="dxa"/>
            <w:vAlign w:val="bottom"/>
          </w:tcPr>
          <w:p>
            <w:pPr>
              <w:ind w:left="120"/>
              <w:spacing w:after="0"/>
              <w:rPr>
                <w:sz w:val="20"/>
                <w:szCs w:val="20"/>
                <w:color w:val="auto"/>
              </w:rPr>
            </w:pPr>
            <w:r>
              <w:rPr>
                <w:rFonts w:ascii="Arial" w:cs="Arial" w:eastAsia="Arial" w:hAnsi="Arial"/>
                <w:sz w:val="18"/>
                <w:szCs w:val="18"/>
                <w:color w:val="auto"/>
              </w:rPr>
              <w:t>Not Responsible for Recitals or Issuance of Securities</w:t>
            </w:r>
          </w:p>
        </w:tc>
        <w:tc>
          <w:tcPr>
            <w:tcW w:w="2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6.5.</w:t>
            </w:r>
          </w:p>
        </w:tc>
        <w:tc>
          <w:tcPr>
            <w:tcW w:w="7600" w:type="dxa"/>
            <w:vAlign w:val="bottom"/>
          </w:tcPr>
          <w:p>
            <w:pPr>
              <w:ind w:left="120"/>
              <w:spacing w:after="0"/>
              <w:rPr>
                <w:sz w:val="20"/>
                <w:szCs w:val="20"/>
                <w:color w:val="auto"/>
              </w:rPr>
            </w:pPr>
            <w:r>
              <w:rPr>
                <w:rFonts w:ascii="Arial" w:cs="Arial" w:eastAsia="Arial" w:hAnsi="Arial"/>
                <w:sz w:val="18"/>
                <w:szCs w:val="18"/>
                <w:color w:val="auto"/>
              </w:rPr>
              <w:t>May Hold Securities</w:t>
            </w:r>
          </w:p>
        </w:tc>
        <w:tc>
          <w:tcPr>
            <w:tcW w:w="2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6.6.</w:t>
            </w:r>
          </w:p>
        </w:tc>
        <w:tc>
          <w:tcPr>
            <w:tcW w:w="7600" w:type="dxa"/>
            <w:vAlign w:val="bottom"/>
          </w:tcPr>
          <w:p>
            <w:pPr>
              <w:ind w:left="120"/>
              <w:spacing w:after="0"/>
              <w:rPr>
                <w:sz w:val="20"/>
                <w:szCs w:val="20"/>
                <w:color w:val="auto"/>
              </w:rPr>
            </w:pPr>
            <w:r>
              <w:rPr>
                <w:rFonts w:ascii="Arial" w:cs="Arial" w:eastAsia="Arial" w:hAnsi="Arial"/>
                <w:sz w:val="18"/>
                <w:szCs w:val="18"/>
                <w:color w:val="auto"/>
              </w:rPr>
              <w:t>Money Held in Trust</w:t>
            </w:r>
          </w:p>
        </w:tc>
        <w:tc>
          <w:tcPr>
            <w:tcW w:w="2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6.7.</w:t>
            </w:r>
          </w:p>
        </w:tc>
        <w:tc>
          <w:tcPr>
            <w:tcW w:w="7600" w:type="dxa"/>
            <w:vAlign w:val="bottom"/>
          </w:tcPr>
          <w:p>
            <w:pPr>
              <w:ind w:left="120"/>
              <w:spacing w:after="0"/>
              <w:rPr>
                <w:sz w:val="20"/>
                <w:szCs w:val="20"/>
                <w:color w:val="auto"/>
              </w:rPr>
            </w:pPr>
            <w:r>
              <w:rPr>
                <w:rFonts w:ascii="Arial" w:cs="Arial" w:eastAsia="Arial" w:hAnsi="Arial"/>
                <w:sz w:val="18"/>
                <w:szCs w:val="18"/>
                <w:color w:val="auto"/>
              </w:rPr>
              <w:t>Compensation and Reimbursement</w:t>
            </w:r>
          </w:p>
        </w:tc>
        <w:tc>
          <w:tcPr>
            <w:tcW w:w="2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6.8.</w:t>
            </w:r>
          </w:p>
        </w:tc>
        <w:tc>
          <w:tcPr>
            <w:tcW w:w="7600" w:type="dxa"/>
            <w:vAlign w:val="bottom"/>
          </w:tcPr>
          <w:p>
            <w:pPr>
              <w:ind w:left="120"/>
              <w:spacing w:after="0"/>
              <w:rPr>
                <w:sz w:val="20"/>
                <w:szCs w:val="20"/>
                <w:color w:val="auto"/>
              </w:rPr>
            </w:pPr>
            <w:r>
              <w:rPr>
                <w:rFonts w:ascii="Arial" w:cs="Arial" w:eastAsia="Arial" w:hAnsi="Arial"/>
                <w:sz w:val="18"/>
                <w:szCs w:val="18"/>
                <w:color w:val="auto"/>
              </w:rPr>
              <w:t>Disqualification; Conflicting Interests</w:t>
            </w:r>
          </w:p>
        </w:tc>
        <w:tc>
          <w:tcPr>
            <w:tcW w:w="2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6.9.</w:t>
            </w:r>
          </w:p>
        </w:tc>
        <w:tc>
          <w:tcPr>
            <w:tcW w:w="7600" w:type="dxa"/>
            <w:vAlign w:val="bottom"/>
          </w:tcPr>
          <w:p>
            <w:pPr>
              <w:ind w:left="120"/>
              <w:spacing w:after="0"/>
              <w:rPr>
                <w:sz w:val="20"/>
                <w:szCs w:val="20"/>
                <w:color w:val="auto"/>
              </w:rPr>
            </w:pPr>
            <w:r>
              <w:rPr>
                <w:rFonts w:ascii="Arial" w:cs="Arial" w:eastAsia="Arial" w:hAnsi="Arial"/>
                <w:sz w:val="18"/>
                <w:szCs w:val="18"/>
                <w:color w:val="auto"/>
              </w:rPr>
              <w:t>Corporate Trustee Required; Eligibility</w:t>
            </w:r>
          </w:p>
        </w:tc>
        <w:tc>
          <w:tcPr>
            <w:tcW w:w="2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6.10.</w:t>
            </w:r>
          </w:p>
        </w:tc>
        <w:tc>
          <w:tcPr>
            <w:tcW w:w="7600" w:type="dxa"/>
            <w:vAlign w:val="bottom"/>
          </w:tcPr>
          <w:p>
            <w:pPr>
              <w:ind w:left="120"/>
              <w:spacing w:after="0"/>
              <w:rPr>
                <w:sz w:val="20"/>
                <w:szCs w:val="20"/>
                <w:color w:val="auto"/>
              </w:rPr>
            </w:pPr>
            <w:r>
              <w:rPr>
                <w:rFonts w:ascii="Arial" w:cs="Arial" w:eastAsia="Arial" w:hAnsi="Arial"/>
                <w:sz w:val="18"/>
                <w:szCs w:val="18"/>
                <w:color w:val="auto"/>
              </w:rPr>
              <w:t>Resignation and Removal; Appointment of Successor</w:t>
            </w:r>
          </w:p>
        </w:tc>
        <w:tc>
          <w:tcPr>
            <w:tcW w:w="2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6.11.</w:t>
            </w:r>
          </w:p>
        </w:tc>
        <w:tc>
          <w:tcPr>
            <w:tcW w:w="7600" w:type="dxa"/>
            <w:vAlign w:val="bottom"/>
          </w:tcPr>
          <w:p>
            <w:pPr>
              <w:ind w:left="120"/>
              <w:spacing w:after="0"/>
              <w:rPr>
                <w:sz w:val="20"/>
                <w:szCs w:val="20"/>
                <w:color w:val="auto"/>
              </w:rPr>
            </w:pPr>
            <w:r>
              <w:rPr>
                <w:rFonts w:ascii="Arial" w:cs="Arial" w:eastAsia="Arial" w:hAnsi="Arial"/>
                <w:sz w:val="18"/>
                <w:szCs w:val="18"/>
                <w:color w:val="auto"/>
              </w:rPr>
              <w:t>Acceptance of Appointment by Successor</w:t>
            </w:r>
          </w:p>
        </w:tc>
        <w:tc>
          <w:tcPr>
            <w:tcW w:w="2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6.12.</w:t>
            </w:r>
          </w:p>
        </w:tc>
        <w:tc>
          <w:tcPr>
            <w:tcW w:w="7600" w:type="dxa"/>
            <w:vAlign w:val="bottom"/>
          </w:tcPr>
          <w:p>
            <w:pPr>
              <w:ind w:left="120"/>
              <w:spacing w:after="0"/>
              <w:rPr>
                <w:sz w:val="20"/>
                <w:szCs w:val="20"/>
                <w:color w:val="auto"/>
              </w:rPr>
            </w:pPr>
            <w:r>
              <w:rPr>
                <w:rFonts w:ascii="Arial" w:cs="Arial" w:eastAsia="Arial" w:hAnsi="Arial"/>
                <w:sz w:val="18"/>
                <w:szCs w:val="18"/>
                <w:color w:val="auto"/>
              </w:rPr>
              <w:t>Merger, Conversion, Consolidation or Succession to Business</w:t>
            </w:r>
          </w:p>
        </w:tc>
        <w:tc>
          <w:tcPr>
            <w:tcW w:w="2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6.13.</w:t>
            </w:r>
          </w:p>
        </w:tc>
        <w:tc>
          <w:tcPr>
            <w:tcW w:w="7600" w:type="dxa"/>
            <w:vAlign w:val="bottom"/>
          </w:tcPr>
          <w:p>
            <w:pPr>
              <w:ind w:left="120"/>
              <w:spacing w:after="0"/>
              <w:rPr>
                <w:sz w:val="20"/>
                <w:szCs w:val="20"/>
                <w:color w:val="auto"/>
              </w:rPr>
            </w:pPr>
            <w:r>
              <w:rPr>
                <w:rFonts w:ascii="Arial" w:cs="Arial" w:eastAsia="Arial" w:hAnsi="Arial"/>
                <w:sz w:val="18"/>
                <w:szCs w:val="18"/>
                <w:color w:val="auto"/>
              </w:rPr>
              <w:t>Preferential Collection of Claims Against Company</w:t>
            </w:r>
          </w:p>
        </w:tc>
        <w:tc>
          <w:tcPr>
            <w:tcW w:w="2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2"/>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6.14.</w:t>
            </w:r>
          </w:p>
        </w:tc>
        <w:tc>
          <w:tcPr>
            <w:tcW w:w="7600" w:type="dxa"/>
            <w:vAlign w:val="bottom"/>
          </w:tcPr>
          <w:p>
            <w:pPr>
              <w:ind w:left="120"/>
              <w:spacing w:after="0"/>
              <w:rPr>
                <w:sz w:val="20"/>
                <w:szCs w:val="20"/>
                <w:color w:val="auto"/>
              </w:rPr>
            </w:pPr>
            <w:r>
              <w:rPr>
                <w:rFonts w:ascii="Arial" w:cs="Arial" w:eastAsia="Arial" w:hAnsi="Arial"/>
                <w:sz w:val="18"/>
                <w:szCs w:val="18"/>
                <w:color w:val="auto"/>
              </w:rPr>
              <w:t>Appointment of Authenticating Agent</w:t>
            </w:r>
          </w:p>
        </w:tc>
        <w:tc>
          <w:tcPr>
            <w:tcW w:w="2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8"/>
        </w:trPr>
        <w:tc>
          <w:tcPr>
            <w:tcW w:w="9060" w:type="dxa"/>
            <w:vAlign w:val="bottom"/>
            <w:gridSpan w:val="2"/>
          </w:tcPr>
          <w:p>
            <w:pPr>
              <w:spacing w:after="0"/>
              <w:rPr>
                <w:sz w:val="20"/>
                <w:szCs w:val="20"/>
                <w:color w:val="auto"/>
              </w:rPr>
            </w:pPr>
            <w:r>
              <w:rPr>
                <w:rFonts w:ascii="Arial" w:cs="Arial" w:eastAsia="Arial" w:hAnsi="Arial"/>
                <w:sz w:val="18"/>
                <w:szCs w:val="18"/>
                <w:color w:val="auto"/>
              </w:rPr>
              <w:t>ARTICLE SEVEN HOLDERS’ LISTS AND REPORTS BY TRUSTEE AND COMPANY</w:t>
            </w:r>
          </w:p>
        </w:tc>
        <w:tc>
          <w:tcPr>
            <w:tcW w:w="2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7.1.</w:t>
            </w:r>
          </w:p>
        </w:tc>
        <w:tc>
          <w:tcPr>
            <w:tcW w:w="7600" w:type="dxa"/>
            <w:vAlign w:val="bottom"/>
          </w:tcPr>
          <w:p>
            <w:pPr>
              <w:ind w:left="120"/>
              <w:spacing w:after="0"/>
              <w:rPr>
                <w:sz w:val="20"/>
                <w:szCs w:val="20"/>
                <w:color w:val="auto"/>
              </w:rPr>
            </w:pPr>
            <w:r>
              <w:rPr>
                <w:rFonts w:ascii="Arial" w:cs="Arial" w:eastAsia="Arial" w:hAnsi="Arial"/>
                <w:sz w:val="18"/>
                <w:szCs w:val="18"/>
                <w:color w:val="auto"/>
              </w:rPr>
              <w:t>Company to Furnish Trustee Names and Addresses of Holders</w:t>
            </w:r>
          </w:p>
        </w:tc>
        <w:tc>
          <w:tcPr>
            <w:tcW w:w="2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7.2.</w:t>
            </w:r>
          </w:p>
        </w:tc>
        <w:tc>
          <w:tcPr>
            <w:tcW w:w="7600" w:type="dxa"/>
            <w:vAlign w:val="bottom"/>
          </w:tcPr>
          <w:p>
            <w:pPr>
              <w:ind w:left="120"/>
              <w:spacing w:after="0"/>
              <w:rPr>
                <w:sz w:val="20"/>
                <w:szCs w:val="20"/>
                <w:color w:val="auto"/>
              </w:rPr>
            </w:pPr>
            <w:r>
              <w:rPr>
                <w:rFonts w:ascii="Arial" w:cs="Arial" w:eastAsia="Arial" w:hAnsi="Arial"/>
                <w:sz w:val="18"/>
                <w:szCs w:val="18"/>
                <w:color w:val="auto"/>
              </w:rPr>
              <w:t>Preservation of Information; Communications to Holders</w:t>
            </w:r>
          </w:p>
        </w:tc>
        <w:tc>
          <w:tcPr>
            <w:tcW w:w="2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7.3.</w:t>
            </w:r>
          </w:p>
        </w:tc>
        <w:tc>
          <w:tcPr>
            <w:tcW w:w="7600" w:type="dxa"/>
            <w:vAlign w:val="bottom"/>
          </w:tcPr>
          <w:p>
            <w:pPr>
              <w:ind w:left="120"/>
              <w:spacing w:after="0"/>
              <w:rPr>
                <w:sz w:val="20"/>
                <w:szCs w:val="20"/>
                <w:color w:val="auto"/>
              </w:rPr>
            </w:pPr>
            <w:r>
              <w:rPr>
                <w:rFonts w:ascii="Arial" w:cs="Arial" w:eastAsia="Arial" w:hAnsi="Arial"/>
                <w:sz w:val="18"/>
                <w:szCs w:val="18"/>
                <w:color w:val="auto"/>
              </w:rPr>
              <w:t>Reports by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2"/>
        </w:trPr>
        <w:tc>
          <w:tcPr>
            <w:tcW w:w="1460" w:type="dxa"/>
            <w:vAlign w:val="bottom"/>
          </w:tcPr>
          <w:p>
            <w:pPr>
              <w:ind w:left="440"/>
              <w:spacing w:after="0"/>
              <w:rPr>
                <w:sz w:val="20"/>
                <w:szCs w:val="20"/>
                <w:color w:val="auto"/>
              </w:rPr>
            </w:pPr>
            <w:r>
              <w:rPr>
                <w:rFonts w:ascii="Arial" w:cs="Arial" w:eastAsia="Arial" w:hAnsi="Arial"/>
                <w:sz w:val="18"/>
                <w:szCs w:val="18"/>
                <w:color w:val="auto"/>
              </w:rPr>
              <w:t>Section 7.4.</w:t>
            </w:r>
          </w:p>
        </w:tc>
        <w:tc>
          <w:tcPr>
            <w:tcW w:w="7600" w:type="dxa"/>
            <w:vAlign w:val="bottom"/>
          </w:tcPr>
          <w:p>
            <w:pPr>
              <w:ind w:left="120"/>
              <w:spacing w:after="0"/>
              <w:rPr>
                <w:sz w:val="20"/>
                <w:szCs w:val="20"/>
                <w:color w:val="auto"/>
              </w:rPr>
            </w:pPr>
            <w:r>
              <w:rPr>
                <w:rFonts w:ascii="Arial" w:cs="Arial" w:eastAsia="Arial" w:hAnsi="Arial"/>
                <w:sz w:val="18"/>
                <w:szCs w:val="18"/>
                <w:color w:val="auto"/>
              </w:rPr>
              <w:t>Reports by Company</w:t>
            </w:r>
          </w:p>
        </w:tc>
        <w:tc>
          <w:tcPr>
            <w:tcW w:w="2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18"/>
        </w:trPr>
        <w:tc>
          <w:tcPr>
            <w:tcW w:w="9060" w:type="dxa"/>
            <w:vAlign w:val="bottom"/>
            <w:gridSpan w:val="2"/>
          </w:tcPr>
          <w:p>
            <w:pPr>
              <w:spacing w:after="0"/>
              <w:rPr>
                <w:sz w:val="20"/>
                <w:szCs w:val="20"/>
                <w:color w:val="auto"/>
              </w:rPr>
            </w:pPr>
            <w:r>
              <w:rPr>
                <w:rFonts w:ascii="Arial" w:cs="Arial" w:eastAsia="Arial" w:hAnsi="Arial"/>
                <w:sz w:val="18"/>
                <w:szCs w:val="18"/>
                <w:color w:val="auto"/>
              </w:rPr>
              <w:t>ARTICLE EIGHT CONSOLIDATION, AMALGAMATION, MERGER AND SALE</w:t>
            </w:r>
          </w:p>
        </w:tc>
        <w:tc>
          <w:tcPr>
            <w:tcW w:w="2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8.1.</w:t>
            </w:r>
          </w:p>
        </w:tc>
        <w:tc>
          <w:tcPr>
            <w:tcW w:w="7600" w:type="dxa"/>
            <w:vAlign w:val="bottom"/>
          </w:tcPr>
          <w:p>
            <w:pPr>
              <w:ind w:left="120"/>
              <w:spacing w:after="0"/>
              <w:rPr>
                <w:sz w:val="20"/>
                <w:szCs w:val="20"/>
                <w:color w:val="auto"/>
              </w:rPr>
            </w:pPr>
            <w:r>
              <w:rPr>
                <w:rFonts w:ascii="Arial" w:cs="Arial" w:eastAsia="Arial" w:hAnsi="Arial"/>
                <w:sz w:val="18"/>
                <w:szCs w:val="18"/>
                <w:color w:val="auto"/>
              </w:rPr>
              <w:t>Company May Consolidate, Etc., Only on Certain Terms</w:t>
            </w:r>
          </w:p>
        </w:tc>
        <w:tc>
          <w:tcPr>
            <w:tcW w:w="2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2"/>
        </w:trPr>
        <w:tc>
          <w:tcPr>
            <w:tcW w:w="1460" w:type="dxa"/>
            <w:vAlign w:val="bottom"/>
          </w:tcPr>
          <w:p>
            <w:pPr>
              <w:ind w:left="440"/>
              <w:spacing w:after="0"/>
              <w:rPr>
                <w:sz w:val="20"/>
                <w:szCs w:val="20"/>
                <w:color w:val="auto"/>
              </w:rPr>
            </w:pPr>
            <w:r>
              <w:rPr>
                <w:rFonts w:ascii="Arial" w:cs="Arial" w:eastAsia="Arial" w:hAnsi="Arial"/>
                <w:sz w:val="18"/>
                <w:szCs w:val="18"/>
                <w:color w:val="auto"/>
              </w:rPr>
              <w:t>Section 8.2.</w:t>
            </w:r>
          </w:p>
        </w:tc>
        <w:tc>
          <w:tcPr>
            <w:tcW w:w="7600" w:type="dxa"/>
            <w:vAlign w:val="bottom"/>
          </w:tcPr>
          <w:p>
            <w:pPr>
              <w:ind w:left="120"/>
              <w:spacing w:after="0"/>
              <w:rPr>
                <w:sz w:val="20"/>
                <w:szCs w:val="20"/>
                <w:color w:val="auto"/>
              </w:rPr>
            </w:pPr>
            <w:r>
              <w:rPr>
                <w:rFonts w:ascii="Arial" w:cs="Arial" w:eastAsia="Arial" w:hAnsi="Arial"/>
                <w:sz w:val="18"/>
                <w:szCs w:val="18"/>
                <w:color w:val="auto"/>
              </w:rPr>
              <w:t>Successor Substituted</w:t>
            </w:r>
          </w:p>
        </w:tc>
        <w:tc>
          <w:tcPr>
            <w:tcW w:w="2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18"/>
        </w:trPr>
        <w:tc>
          <w:tcPr>
            <w:tcW w:w="9060" w:type="dxa"/>
            <w:vAlign w:val="bottom"/>
            <w:gridSpan w:val="2"/>
          </w:tcPr>
          <w:p>
            <w:pPr>
              <w:spacing w:after="0"/>
              <w:rPr>
                <w:sz w:val="20"/>
                <w:szCs w:val="20"/>
                <w:color w:val="auto"/>
              </w:rPr>
            </w:pPr>
            <w:r>
              <w:rPr>
                <w:rFonts w:ascii="Arial" w:cs="Arial" w:eastAsia="Arial" w:hAnsi="Arial"/>
                <w:sz w:val="18"/>
                <w:szCs w:val="18"/>
                <w:color w:val="auto"/>
              </w:rPr>
              <w:t>ARTICLE NINE AMENDMENT, SUPPLEMENT AND WAIVER</w:t>
            </w:r>
          </w:p>
        </w:tc>
        <w:tc>
          <w:tcPr>
            <w:tcW w:w="2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9.1.</w:t>
            </w:r>
          </w:p>
        </w:tc>
        <w:tc>
          <w:tcPr>
            <w:tcW w:w="7600" w:type="dxa"/>
            <w:vAlign w:val="bottom"/>
          </w:tcPr>
          <w:p>
            <w:pPr>
              <w:ind w:left="120"/>
              <w:spacing w:after="0"/>
              <w:rPr>
                <w:sz w:val="20"/>
                <w:szCs w:val="20"/>
                <w:color w:val="auto"/>
              </w:rPr>
            </w:pPr>
            <w:r>
              <w:rPr>
                <w:rFonts w:ascii="Arial" w:cs="Arial" w:eastAsia="Arial" w:hAnsi="Arial"/>
                <w:sz w:val="18"/>
                <w:szCs w:val="18"/>
                <w:color w:val="auto"/>
              </w:rPr>
              <w:t>Without Consent of Holders</w:t>
            </w:r>
          </w:p>
        </w:tc>
        <w:tc>
          <w:tcPr>
            <w:tcW w:w="2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9.2.</w:t>
            </w:r>
          </w:p>
        </w:tc>
        <w:tc>
          <w:tcPr>
            <w:tcW w:w="7600" w:type="dxa"/>
            <w:vAlign w:val="bottom"/>
          </w:tcPr>
          <w:p>
            <w:pPr>
              <w:ind w:left="120"/>
              <w:spacing w:after="0"/>
              <w:rPr>
                <w:sz w:val="20"/>
                <w:szCs w:val="20"/>
                <w:color w:val="auto"/>
              </w:rPr>
            </w:pPr>
            <w:r>
              <w:rPr>
                <w:rFonts w:ascii="Arial" w:cs="Arial" w:eastAsia="Arial" w:hAnsi="Arial"/>
                <w:sz w:val="18"/>
                <w:szCs w:val="18"/>
                <w:color w:val="auto"/>
              </w:rPr>
              <w:t>With Consent of Holders</w:t>
            </w:r>
          </w:p>
        </w:tc>
        <w:tc>
          <w:tcPr>
            <w:tcW w:w="23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9.3.</w:t>
            </w:r>
          </w:p>
        </w:tc>
        <w:tc>
          <w:tcPr>
            <w:tcW w:w="7600" w:type="dxa"/>
            <w:vAlign w:val="bottom"/>
          </w:tcPr>
          <w:p>
            <w:pPr>
              <w:ind w:left="120"/>
              <w:spacing w:after="0"/>
              <w:rPr>
                <w:sz w:val="20"/>
                <w:szCs w:val="20"/>
                <w:color w:val="auto"/>
              </w:rPr>
            </w:pPr>
            <w:r>
              <w:rPr>
                <w:rFonts w:ascii="Arial" w:cs="Arial" w:eastAsia="Arial" w:hAnsi="Arial"/>
                <w:sz w:val="18"/>
                <w:szCs w:val="18"/>
                <w:color w:val="auto"/>
              </w:rPr>
              <w:t>Execution of Supplemental Indentures</w:t>
            </w:r>
          </w:p>
        </w:tc>
        <w:tc>
          <w:tcPr>
            <w:tcW w:w="23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9.4.</w:t>
            </w:r>
          </w:p>
        </w:tc>
        <w:tc>
          <w:tcPr>
            <w:tcW w:w="7600" w:type="dxa"/>
            <w:vAlign w:val="bottom"/>
          </w:tcPr>
          <w:p>
            <w:pPr>
              <w:ind w:left="120"/>
              <w:spacing w:after="0"/>
              <w:rPr>
                <w:sz w:val="20"/>
                <w:szCs w:val="20"/>
                <w:color w:val="auto"/>
              </w:rPr>
            </w:pPr>
            <w:r>
              <w:rPr>
                <w:rFonts w:ascii="Arial" w:cs="Arial" w:eastAsia="Arial" w:hAnsi="Arial"/>
                <w:sz w:val="18"/>
                <w:szCs w:val="18"/>
                <w:color w:val="auto"/>
              </w:rPr>
              <w:t>Effect of Supplemental Indentures</w:t>
            </w:r>
          </w:p>
        </w:tc>
        <w:tc>
          <w:tcPr>
            <w:tcW w:w="23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9.5.</w:t>
            </w:r>
          </w:p>
        </w:tc>
        <w:tc>
          <w:tcPr>
            <w:tcW w:w="7600" w:type="dxa"/>
            <w:vAlign w:val="bottom"/>
          </w:tcPr>
          <w:p>
            <w:pPr>
              <w:ind w:left="120"/>
              <w:spacing w:after="0"/>
              <w:rPr>
                <w:sz w:val="20"/>
                <w:szCs w:val="20"/>
                <w:color w:val="auto"/>
              </w:rPr>
            </w:pPr>
            <w:r>
              <w:rPr>
                <w:rFonts w:ascii="Arial" w:cs="Arial" w:eastAsia="Arial" w:hAnsi="Arial"/>
                <w:sz w:val="18"/>
                <w:szCs w:val="18"/>
                <w:color w:val="auto"/>
              </w:rPr>
              <w:t>Conformity with Trust Indenture Act</w:t>
            </w:r>
          </w:p>
        </w:tc>
        <w:tc>
          <w:tcPr>
            <w:tcW w:w="23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2"/>
        </w:trPr>
        <w:tc>
          <w:tcPr>
            <w:tcW w:w="1460" w:type="dxa"/>
            <w:vAlign w:val="bottom"/>
          </w:tcPr>
          <w:p>
            <w:pPr>
              <w:ind w:left="440"/>
              <w:spacing w:after="0"/>
              <w:rPr>
                <w:sz w:val="20"/>
                <w:szCs w:val="20"/>
                <w:color w:val="auto"/>
              </w:rPr>
            </w:pPr>
            <w:r>
              <w:rPr>
                <w:rFonts w:ascii="Arial" w:cs="Arial" w:eastAsia="Arial" w:hAnsi="Arial"/>
                <w:sz w:val="18"/>
                <w:szCs w:val="18"/>
                <w:color w:val="auto"/>
              </w:rPr>
              <w:t>Section 9.6.</w:t>
            </w:r>
          </w:p>
        </w:tc>
        <w:tc>
          <w:tcPr>
            <w:tcW w:w="7600" w:type="dxa"/>
            <w:vAlign w:val="bottom"/>
          </w:tcPr>
          <w:p>
            <w:pPr>
              <w:ind w:left="120"/>
              <w:spacing w:after="0"/>
              <w:rPr>
                <w:sz w:val="20"/>
                <w:szCs w:val="20"/>
                <w:color w:val="auto"/>
              </w:rPr>
            </w:pPr>
            <w:r>
              <w:rPr>
                <w:rFonts w:ascii="Arial" w:cs="Arial" w:eastAsia="Arial" w:hAnsi="Arial"/>
                <w:sz w:val="18"/>
                <w:szCs w:val="18"/>
                <w:color w:val="auto"/>
              </w:rPr>
              <w:t>Reference in Securities to Supplemental Indentures</w:t>
            </w:r>
          </w:p>
        </w:tc>
        <w:tc>
          <w:tcPr>
            <w:tcW w:w="23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8"/>
        </w:trPr>
        <w:tc>
          <w:tcPr>
            <w:tcW w:w="9060" w:type="dxa"/>
            <w:vAlign w:val="bottom"/>
            <w:gridSpan w:val="2"/>
          </w:tcPr>
          <w:p>
            <w:pPr>
              <w:spacing w:after="0"/>
              <w:rPr>
                <w:sz w:val="20"/>
                <w:szCs w:val="20"/>
                <w:color w:val="auto"/>
              </w:rPr>
            </w:pPr>
            <w:r>
              <w:rPr>
                <w:rFonts w:ascii="Arial" w:cs="Arial" w:eastAsia="Arial" w:hAnsi="Arial"/>
                <w:sz w:val="18"/>
                <w:szCs w:val="18"/>
                <w:color w:val="auto"/>
              </w:rPr>
              <w:t>ARTICLE TEN COVENANTS</w:t>
            </w:r>
          </w:p>
        </w:tc>
        <w:tc>
          <w:tcPr>
            <w:tcW w:w="23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2"/>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10.1.</w:t>
            </w:r>
          </w:p>
        </w:tc>
        <w:tc>
          <w:tcPr>
            <w:tcW w:w="7600" w:type="dxa"/>
            <w:vAlign w:val="bottom"/>
          </w:tcPr>
          <w:p>
            <w:pPr>
              <w:ind w:left="120"/>
              <w:spacing w:after="0"/>
              <w:rPr>
                <w:sz w:val="20"/>
                <w:szCs w:val="20"/>
                <w:color w:val="auto"/>
              </w:rPr>
            </w:pPr>
            <w:r>
              <w:rPr>
                <w:rFonts w:ascii="Arial" w:cs="Arial" w:eastAsia="Arial" w:hAnsi="Arial"/>
                <w:sz w:val="18"/>
                <w:szCs w:val="18"/>
                <w:color w:val="auto"/>
              </w:rPr>
              <w:t>Payment of Principal, Premium and Interest</w:t>
            </w:r>
          </w:p>
        </w:tc>
        <w:tc>
          <w:tcPr>
            <w:tcW w:w="236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16"/>
        </w:trPr>
        <w:tc>
          <w:tcPr>
            <w:tcW w:w="10100" w:type="dxa"/>
            <w:vAlign w:val="bottom"/>
            <w:gridSpan w:val="2"/>
          </w:tcPr>
          <w:p>
            <w:pPr>
              <w:ind w:left="440"/>
              <w:spacing w:after="0"/>
              <w:rPr>
                <w:sz w:val="20"/>
                <w:szCs w:val="20"/>
                <w:color w:val="auto"/>
              </w:rPr>
            </w:pPr>
            <w:r>
              <w:rPr>
                <w:rFonts w:ascii="Arial" w:cs="Arial" w:eastAsia="Arial" w:hAnsi="Arial"/>
                <w:sz w:val="18"/>
                <w:szCs w:val="18"/>
                <w:color w:val="auto"/>
              </w:rPr>
              <w:t>Section 10.2.   Maintenance of Office or Agency</w:t>
            </w:r>
          </w:p>
        </w:tc>
        <w:tc>
          <w:tcPr>
            <w:tcW w:w="1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100" w:type="dxa"/>
            <w:vAlign w:val="bottom"/>
            <w:gridSpan w:val="2"/>
          </w:tcPr>
          <w:p>
            <w:pPr>
              <w:ind w:left="440"/>
              <w:spacing w:after="0"/>
              <w:rPr>
                <w:sz w:val="20"/>
                <w:szCs w:val="20"/>
                <w:color w:val="auto"/>
              </w:rPr>
            </w:pPr>
            <w:r>
              <w:rPr>
                <w:rFonts w:ascii="Arial" w:cs="Arial" w:eastAsia="Arial" w:hAnsi="Arial"/>
                <w:sz w:val="18"/>
                <w:szCs w:val="18"/>
                <w:color w:val="auto"/>
              </w:rPr>
              <w:t>Section 10.3.   Money for Securities Payments to Be Held in Trust</w:t>
            </w:r>
          </w:p>
        </w:tc>
        <w:tc>
          <w:tcPr>
            <w:tcW w:w="1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10.4.</w:t>
            </w:r>
          </w:p>
        </w:tc>
        <w:tc>
          <w:tcPr>
            <w:tcW w:w="8640" w:type="dxa"/>
            <w:vAlign w:val="bottom"/>
          </w:tcPr>
          <w:p>
            <w:pPr>
              <w:ind w:left="120"/>
              <w:spacing w:after="0"/>
              <w:rPr>
                <w:sz w:val="20"/>
                <w:szCs w:val="20"/>
                <w:color w:val="auto"/>
              </w:rPr>
            </w:pPr>
            <w:r>
              <w:rPr>
                <w:rFonts w:ascii="Arial" w:cs="Arial" w:eastAsia="Arial" w:hAnsi="Arial"/>
                <w:sz w:val="18"/>
                <w:szCs w:val="18"/>
                <w:color w:val="auto"/>
              </w:rPr>
              <w:t>Existence</w:t>
            </w:r>
          </w:p>
        </w:tc>
        <w:tc>
          <w:tcPr>
            <w:tcW w:w="13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100" w:type="dxa"/>
            <w:vAlign w:val="bottom"/>
            <w:gridSpan w:val="2"/>
          </w:tcPr>
          <w:p>
            <w:pPr>
              <w:ind w:left="440"/>
              <w:spacing w:after="0"/>
              <w:rPr>
                <w:sz w:val="20"/>
                <w:szCs w:val="20"/>
                <w:color w:val="auto"/>
              </w:rPr>
            </w:pPr>
            <w:r>
              <w:rPr>
                <w:rFonts w:ascii="Arial" w:cs="Arial" w:eastAsia="Arial" w:hAnsi="Arial"/>
                <w:sz w:val="18"/>
                <w:szCs w:val="18"/>
                <w:color w:val="auto"/>
              </w:rPr>
              <w:t>Section 10.5.   Statement by Officers as to Default</w:t>
            </w:r>
          </w:p>
        </w:tc>
        <w:tc>
          <w:tcPr>
            <w:tcW w:w="13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2"/>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10.6.</w:t>
            </w:r>
          </w:p>
        </w:tc>
        <w:tc>
          <w:tcPr>
            <w:tcW w:w="8640" w:type="dxa"/>
            <w:vAlign w:val="bottom"/>
          </w:tcPr>
          <w:p>
            <w:pPr>
              <w:ind w:left="120"/>
              <w:spacing w:after="0"/>
              <w:rPr>
                <w:sz w:val="20"/>
                <w:szCs w:val="20"/>
                <w:color w:val="auto"/>
              </w:rPr>
            </w:pPr>
            <w:r>
              <w:rPr>
                <w:rFonts w:ascii="Arial" w:cs="Arial" w:eastAsia="Arial" w:hAnsi="Arial"/>
                <w:sz w:val="18"/>
                <w:szCs w:val="18"/>
                <w:color w:val="auto"/>
              </w:rPr>
              <w:t>Additional Amounts</w:t>
            </w:r>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8"/>
        </w:trPr>
        <w:tc>
          <w:tcPr>
            <w:tcW w:w="10100" w:type="dxa"/>
            <w:vAlign w:val="bottom"/>
            <w:gridSpan w:val="2"/>
          </w:tcPr>
          <w:p>
            <w:pPr>
              <w:spacing w:after="0"/>
              <w:rPr>
                <w:sz w:val="20"/>
                <w:szCs w:val="20"/>
                <w:color w:val="auto"/>
              </w:rPr>
            </w:pPr>
            <w:r>
              <w:rPr>
                <w:rFonts w:ascii="Arial" w:cs="Arial" w:eastAsia="Arial" w:hAnsi="Arial"/>
                <w:sz w:val="18"/>
                <w:szCs w:val="18"/>
                <w:color w:val="auto"/>
              </w:rPr>
              <w:t>ARTICLE ELEVEN REDEMPTION OF SECURITIES</w:t>
            </w:r>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100" w:type="dxa"/>
            <w:vAlign w:val="bottom"/>
            <w:gridSpan w:val="2"/>
          </w:tcPr>
          <w:p>
            <w:pPr>
              <w:ind w:left="440"/>
              <w:spacing w:after="0"/>
              <w:rPr>
                <w:sz w:val="20"/>
                <w:szCs w:val="20"/>
                <w:color w:val="auto"/>
              </w:rPr>
            </w:pPr>
            <w:r>
              <w:rPr>
                <w:rFonts w:ascii="Arial" w:cs="Arial" w:eastAsia="Arial" w:hAnsi="Arial"/>
                <w:sz w:val="18"/>
                <w:szCs w:val="18"/>
                <w:color w:val="auto"/>
              </w:rPr>
              <w:t>Section 11.1.   Applicability of Article</w:t>
            </w:r>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100" w:type="dxa"/>
            <w:vAlign w:val="bottom"/>
            <w:gridSpan w:val="2"/>
          </w:tcPr>
          <w:p>
            <w:pPr>
              <w:ind w:left="440"/>
              <w:spacing w:after="0"/>
              <w:rPr>
                <w:sz w:val="20"/>
                <w:szCs w:val="20"/>
                <w:color w:val="auto"/>
              </w:rPr>
            </w:pPr>
            <w:r>
              <w:rPr>
                <w:rFonts w:ascii="Arial" w:cs="Arial" w:eastAsia="Arial" w:hAnsi="Arial"/>
                <w:sz w:val="18"/>
                <w:szCs w:val="18"/>
                <w:color w:val="auto"/>
              </w:rPr>
              <w:t>Section 11.2.   Election to Redeem; Notice to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100" w:type="dxa"/>
            <w:vAlign w:val="bottom"/>
            <w:gridSpan w:val="2"/>
          </w:tcPr>
          <w:p>
            <w:pPr>
              <w:ind w:left="440"/>
              <w:spacing w:after="0"/>
              <w:rPr>
                <w:sz w:val="20"/>
                <w:szCs w:val="20"/>
                <w:color w:val="auto"/>
              </w:rPr>
            </w:pPr>
            <w:r>
              <w:rPr>
                <w:rFonts w:ascii="Arial" w:cs="Arial" w:eastAsia="Arial" w:hAnsi="Arial"/>
                <w:sz w:val="18"/>
                <w:szCs w:val="18"/>
                <w:color w:val="auto"/>
              </w:rPr>
              <w:t>Section 11.3.   Selection by Trustee of Securities to Be Redeemed</w:t>
            </w:r>
          </w:p>
        </w:tc>
        <w:tc>
          <w:tcPr>
            <w:tcW w:w="1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100" w:type="dxa"/>
            <w:vAlign w:val="bottom"/>
            <w:gridSpan w:val="2"/>
          </w:tcPr>
          <w:p>
            <w:pPr>
              <w:ind w:left="440"/>
              <w:spacing w:after="0"/>
              <w:rPr>
                <w:sz w:val="20"/>
                <w:szCs w:val="20"/>
                <w:color w:val="auto"/>
              </w:rPr>
            </w:pPr>
            <w:r>
              <w:rPr>
                <w:rFonts w:ascii="Arial" w:cs="Arial" w:eastAsia="Arial" w:hAnsi="Arial"/>
                <w:sz w:val="18"/>
                <w:szCs w:val="18"/>
                <w:color w:val="auto"/>
              </w:rPr>
              <w:t>Section 11.4.   Notice of Redemption</w:t>
            </w:r>
          </w:p>
        </w:tc>
        <w:tc>
          <w:tcPr>
            <w:tcW w:w="1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100" w:type="dxa"/>
            <w:vAlign w:val="bottom"/>
            <w:gridSpan w:val="2"/>
          </w:tcPr>
          <w:p>
            <w:pPr>
              <w:ind w:left="440"/>
              <w:spacing w:after="0"/>
              <w:rPr>
                <w:sz w:val="20"/>
                <w:szCs w:val="20"/>
                <w:color w:val="auto"/>
              </w:rPr>
            </w:pPr>
            <w:r>
              <w:rPr>
                <w:rFonts w:ascii="Arial" w:cs="Arial" w:eastAsia="Arial" w:hAnsi="Arial"/>
                <w:sz w:val="18"/>
                <w:szCs w:val="18"/>
                <w:color w:val="auto"/>
              </w:rPr>
              <w:t>Section 11.5.   Deposit of Redemption Price</w:t>
            </w:r>
          </w:p>
        </w:tc>
        <w:tc>
          <w:tcPr>
            <w:tcW w:w="1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100" w:type="dxa"/>
            <w:vAlign w:val="bottom"/>
            <w:gridSpan w:val="2"/>
          </w:tcPr>
          <w:p>
            <w:pPr>
              <w:ind w:left="440"/>
              <w:spacing w:after="0"/>
              <w:rPr>
                <w:sz w:val="20"/>
                <w:szCs w:val="20"/>
                <w:color w:val="auto"/>
              </w:rPr>
            </w:pPr>
            <w:r>
              <w:rPr>
                <w:rFonts w:ascii="Arial" w:cs="Arial" w:eastAsia="Arial" w:hAnsi="Arial"/>
                <w:sz w:val="18"/>
                <w:szCs w:val="18"/>
                <w:color w:val="auto"/>
              </w:rPr>
              <w:t>Section 11.6.   Securities Payable on Redemption Date</w:t>
            </w:r>
          </w:p>
        </w:tc>
        <w:tc>
          <w:tcPr>
            <w:tcW w:w="1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2"/>
        </w:trPr>
        <w:tc>
          <w:tcPr>
            <w:tcW w:w="10100" w:type="dxa"/>
            <w:vAlign w:val="bottom"/>
            <w:gridSpan w:val="2"/>
          </w:tcPr>
          <w:p>
            <w:pPr>
              <w:ind w:left="440"/>
              <w:spacing w:after="0"/>
              <w:rPr>
                <w:sz w:val="20"/>
                <w:szCs w:val="20"/>
                <w:color w:val="auto"/>
              </w:rPr>
            </w:pPr>
            <w:r>
              <w:rPr>
                <w:rFonts w:ascii="Arial" w:cs="Arial" w:eastAsia="Arial" w:hAnsi="Arial"/>
                <w:sz w:val="18"/>
                <w:szCs w:val="18"/>
                <w:color w:val="auto"/>
              </w:rPr>
              <w:t>Section 11.7.   Securities Redeemed in Part</w:t>
            </w:r>
          </w:p>
        </w:tc>
        <w:tc>
          <w:tcPr>
            <w:tcW w:w="1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18"/>
        </w:trPr>
        <w:tc>
          <w:tcPr>
            <w:tcW w:w="10100" w:type="dxa"/>
            <w:vAlign w:val="bottom"/>
            <w:gridSpan w:val="2"/>
          </w:tcPr>
          <w:p>
            <w:pPr>
              <w:spacing w:after="0"/>
              <w:rPr>
                <w:sz w:val="20"/>
                <w:szCs w:val="20"/>
                <w:color w:val="auto"/>
              </w:rPr>
            </w:pPr>
            <w:r>
              <w:rPr>
                <w:rFonts w:ascii="Arial" w:cs="Arial" w:eastAsia="Arial" w:hAnsi="Arial"/>
                <w:sz w:val="18"/>
                <w:szCs w:val="18"/>
                <w:color w:val="auto"/>
              </w:rPr>
              <w:t>ARTICLE TWELVE SINKING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100" w:type="dxa"/>
            <w:vAlign w:val="bottom"/>
            <w:gridSpan w:val="2"/>
          </w:tcPr>
          <w:p>
            <w:pPr>
              <w:ind w:left="440"/>
              <w:spacing w:after="0"/>
              <w:rPr>
                <w:sz w:val="20"/>
                <w:szCs w:val="20"/>
                <w:color w:val="auto"/>
              </w:rPr>
            </w:pPr>
            <w:r>
              <w:rPr>
                <w:rFonts w:ascii="Arial" w:cs="Arial" w:eastAsia="Arial" w:hAnsi="Arial"/>
                <w:sz w:val="18"/>
                <w:szCs w:val="18"/>
                <w:color w:val="auto"/>
              </w:rPr>
              <w:t>Section 12.1.   Applicability of Article</w:t>
            </w:r>
          </w:p>
        </w:tc>
        <w:tc>
          <w:tcPr>
            <w:tcW w:w="13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100" w:type="dxa"/>
            <w:vAlign w:val="bottom"/>
            <w:gridSpan w:val="2"/>
          </w:tcPr>
          <w:p>
            <w:pPr>
              <w:ind w:left="440"/>
              <w:spacing w:after="0"/>
              <w:rPr>
                <w:sz w:val="20"/>
                <w:szCs w:val="20"/>
                <w:color w:val="auto"/>
              </w:rPr>
            </w:pPr>
            <w:r>
              <w:rPr>
                <w:rFonts w:ascii="Arial" w:cs="Arial" w:eastAsia="Arial" w:hAnsi="Arial"/>
                <w:sz w:val="18"/>
                <w:szCs w:val="18"/>
                <w:color w:val="auto"/>
              </w:rPr>
              <w:t>Section 12.2.   Satisfaction of Sinking Fund Payments with Securities</w:t>
            </w:r>
          </w:p>
        </w:tc>
        <w:tc>
          <w:tcPr>
            <w:tcW w:w="13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2"/>
        </w:trPr>
        <w:tc>
          <w:tcPr>
            <w:tcW w:w="10100" w:type="dxa"/>
            <w:vAlign w:val="bottom"/>
            <w:gridSpan w:val="2"/>
          </w:tcPr>
          <w:p>
            <w:pPr>
              <w:ind w:left="440"/>
              <w:spacing w:after="0"/>
              <w:rPr>
                <w:sz w:val="20"/>
                <w:szCs w:val="20"/>
                <w:color w:val="auto"/>
              </w:rPr>
            </w:pPr>
            <w:r>
              <w:rPr>
                <w:rFonts w:ascii="Arial" w:cs="Arial" w:eastAsia="Arial" w:hAnsi="Arial"/>
                <w:sz w:val="18"/>
                <w:szCs w:val="18"/>
                <w:color w:val="auto"/>
              </w:rPr>
              <w:t>Section 12.3.   Redemption of Securities for Sinking Fund</w:t>
            </w:r>
          </w:p>
        </w:tc>
        <w:tc>
          <w:tcPr>
            <w:tcW w:w="13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18"/>
        </w:trPr>
        <w:tc>
          <w:tcPr>
            <w:tcW w:w="10100" w:type="dxa"/>
            <w:vAlign w:val="bottom"/>
            <w:gridSpan w:val="2"/>
          </w:tcPr>
          <w:p>
            <w:pPr>
              <w:spacing w:after="0"/>
              <w:rPr>
                <w:sz w:val="20"/>
                <w:szCs w:val="20"/>
                <w:color w:val="auto"/>
              </w:rPr>
            </w:pPr>
            <w:r>
              <w:rPr>
                <w:rFonts w:ascii="Arial" w:cs="Arial" w:eastAsia="Arial" w:hAnsi="Arial"/>
                <w:sz w:val="18"/>
                <w:szCs w:val="18"/>
                <w:color w:val="auto"/>
              </w:rPr>
              <w:t>ARTICLE THIRTEEN DEFEASANCE</w:t>
            </w: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100" w:type="dxa"/>
            <w:vAlign w:val="bottom"/>
            <w:gridSpan w:val="2"/>
          </w:tcPr>
          <w:p>
            <w:pPr>
              <w:ind w:left="440"/>
              <w:spacing w:after="0"/>
              <w:rPr>
                <w:sz w:val="20"/>
                <w:szCs w:val="20"/>
                <w:color w:val="auto"/>
              </w:rPr>
            </w:pPr>
            <w:r>
              <w:rPr>
                <w:rFonts w:ascii="Arial" w:cs="Arial" w:eastAsia="Arial" w:hAnsi="Arial"/>
                <w:sz w:val="18"/>
                <w:szCs w:val="18"/>
                <w:color w:val="auto"/>
              </w:rPr>
              <w:t>Section 13.1.   Option to Effect Legal Defeasance or Covenant Defeasance</w:t>
            </w: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100" w:type="dxa"/>
            <w:vAlign w:val="bottom"/>
            <w:gridSpan w:val="2"/>
          </w:tcPr>
          <w:p>
            <w:pPr>
              <w:ind w:left="440"/>
              <w:spacing w:after="0"/>
              <w:rPr>
                <w:sz w:val="20"/>
                <w:szCs w:val="20"/>
                <w:color w:val="auto"/>
              </w:rPr>
            </w:pPr>
            <w:r>
              <w:rPr>
                <w:rFonts w:ascii="Arial" w:cs="Arial" w:eastAsia="Arial" w:hAnsi="Arial"/>
                <w:sz w:val="18"/>
                <w:szCs w:val="18"/>
                <w:color w:val="auto"/>
              </w:rPr>
              <w:t>Section 13.2.   Legal Defeasance and Discharge</w:t>
            </w: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13.3.</w:t>
            </w:r>
          </w:p>
        </w:tc>
        <w:tc>
          <w:tcPr>
            <w:tcW w:w="8640" w:type="dxa"/>
            <w:vAlign w:val="bottom"/>
          </w:tcPr>
          <w:p>
            <w:pPr>
              <w:ind w:left="120"/>
              <w:spacing w:after="0"/>
              <w:rPr>
                <w:sz w:val="20"/>
                <w:szCs w:val="20"/>
                <w:color w:val="auto"/>
              </w:rPr>
            </w:pPr>
            <w:r>
              <w:rPr>
                <w:rFonts w:ascii="Arial" w:cs="Arial" w:eastAsia="Arial" w:hAnsi="Arial"/>
                <w:sz w:val="18"/>
                <w:szCs w:val="18"/>
                <w:color w:val="auto"/>
              </w:rPr>
              <w:t>Covenant Defeasance</w:t>
            </w: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100" w:type="dxa"/>
            <w:vAlign w:val="bottom"/>
            <w:gridSpan w:val="2"/>
          </w:tcPr>
          <w:p>
            <w:pPr>
              <w:ind w:left="440"/>
              <w:spacing w:after="0"/>
              <w:rPr>
                <w:sz w:val="20"/>
                <w:szCs w:val="20"/>
                <w:color w:val="auto"/>
              </w:rPr>
            </w:pPr>
            <w:r>
              <w:rPr>
                <w:rFonts w:ascii="Arial" w:cs="Arial" w:eastAsia="Arial" w:hAnsi="Arial"/>
                <w:sz w:val="18"/>
                <w:szCs w:val="18"/>
                <w:color w:val="auto"/>
              </w:rPr>
              <w:t>Section 13.4.   Conditions to Legal or Covenant Defeasance</w:t>
            </w:r>
          </w:p>
        </w:tc>
        <w:tc>
          <w:tcPr>
            <w:tcW w:w="13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100" w:type="dxa"/>
            <w:vAlign w:val="bottom"/>
            <w:gridSpan w:val="2"/>
          </w:tcPr>
          <w:p>
            <w:pPr>
              <w:ind w:left="440"/>
              <w:spacing w:after="0"/>
              <w:rPr>
                <w:sz w:val="20"/>
                <w:szCs w:val="20"/>
                <w:color w:val="auto"/>
              </w:rPr>
            </w:pPr>
            <w:r>
              <w:rPr>
                <w:rFonts w:ascii="Arial" w:cs="Arial" w:eastAsia="Arial" w:hAnsi="Arial"/>
                <w:sz w:val="18"/>
                <w:szCs w:val="18"/>
                <w:color w:val="auto"/>
              </w:rPr>
              <w:t>Section 13.5.   Deposited Money and U.S. Government Obligations to be Held in Trust, Other Miscellaneous Provisions</w:t>
            </w:r>
          </w:p>
        </w:tc>
        <w:tc>
          <w:tcPr>
            <w:tcW w:w="13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13.6.</w:t>
            </w:r>
          </w:p>
        </w:tc>
        <w:tc>
          <w:tcPr>
            <w:tcW w:w="8640" w:type="dxa"/>
            <w:vAlign w:val="bottom"/>
          </w:tcPr>
          <w:p>
            <w:pPr>
              <w:ind w:left="120"/>
              <w:spacing w:after="0"/>
              <w:rPr>
                <w:sz w:val="20"/>
                <w:szCs w:val="20"/>
                <w:color w:val="auto"/>
              </w:rPr>
            </w:pPr>
            <w:r>
              <w:rPr>
                <w:rFonts w:ascii="Arial" w:cs="Arial" w:eastAsia="Arial" w:hAnsi="Arial"/>
                <w:sz w:val="18"/>
                <w:szCs w:val="18"/>
                <w:color w:val="auto"/>
              </w:rPr>
              <w:t>Repayment</w:t>
            </w:r>
          </w:p>
        </w:tc>
        <w:tc>
          <w:tcPr>
            <w:tcW w:w="13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2"/>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13.7.</w:t>
            </w:r>
          </w:p>
        </w:tc>
        <w:tc>
          <w:tcPr>
            <w:tcW w:w="8640" w:type="dxa"/>
            <w:vAlign w:val="bottom"/>
          </w:tcPr>
          <w:p>
            <w:pPr>
              <w:ind w:left="120"/>
              <w:spacing w:after="0"/>
              <w:rPr>
                <w:sz w:val="20"/>
                <w:szCs w:val="20"/>
                <w:color w:val="auto"/>
              </w:rPr>
            </w:pPr>
            <w:r>
              <w:rPr>
                <w:rFonts w:ascii="Arial" w:cs="Arial" w:eastAsia="Arial" w:hAnsi="Arial"/>
                <w:sz w:val="18"/>
                <w:szCs w:val="18"/>
                <w:color w:val="auto"/>
              </w:rPr>
              <w:t>Reinstatement</w:t>
            </w:r>
          </w:p>
        </w:tc>
        <w:tc>
          <w:tcPr>
            <w:tcW w:w="13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18"/>
        </w:trPr>
        <w:tc>
          <w:tcPr>
            <w:tcW w:w="10100" w:type="dxa"/>
            <w:vAlign w:val="bottom"/>
            <w:gridSpan w:val="2"/>
          </w:tcPr>
          <w:p>
            <w:pPr>
              <w:spacing w:after="0"/>
              <w:rPr>
                <w:sz w:val="20"/>
                <w:szCs w:val="20"/>
                <w:color w:val="auto"/>
              </w:rPr>
            </w:pPr>
            <w:r>
              <w:rPr>
                <w:rFonts w:ascii="Arial" w:cs="Arial" w:eastAsia="Arial" w:hAnsi="Arial"/>
                <w:sz w:val="18"/>
                <w:szCs w:val="18"/>
                <w:color w:val="auto"/>
              </w:rPr>
              <w:t>ARTICLE FOURTEEN GUARANTEE OF SECURITIES</w:t>
            </w:r>
          </w:p>
        </w:tc>
        <w:tc>
          <w:tcPr>
            <w:tcW w:w="13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14.1.</w:t>
            </w:r>
          </w:p>
        </w:tc>
        <w:tc>
          <w:tcPr>
            <w:tcW w:w="8640" w:type="dxa"/>
            <w:vAlign w:val="bottom"/>
          </w:tcPr>
          <w:p>
            <w:pPr>
              <w:ind w:left="120"/>
              <w:spacing w:after="0"/>
              <w:rPr>
                <w:sz w:val="20"/>
                <w:szCs w:val="20"/>
                <w:color w:val="auto"/>
              </w:rPr>
            </w:pPr>
            <w:r>
              <w:rPr>
                <w:rFonts w:ascii="Arial" w:cs="Arial" w:eastAsia="Arial" w:hAnsi="Arial"/>
                <w:sz w:val="18"/>
                <w:szCs w:val="18"/>
                <w:color w:val="auto"/>
              </w:rPr>
              <w:t>Guarantee</w:t>
            </w:r>
          </w:p>
        </w:tc>
        <w:tc>
          <w:tcPr>
            <w:tcW w:w="13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100" w:type="dxa"/>
            <w:vAlign w:val="bottom"/>
            <w:gridSpan w:val="2"/>
          </w:tcPr>
          <w:p>
            <w:pPr>
              <w:ind w:left="440"/>
              <w:spacing w:after="0"/>
              <w:rPr>
                <w:sz w:val="20"/>
                <w:szCs w:val="20"/>
                <w:color w:val="auto"/>
              </w:rPr>
            </w:pPr>
            <w:r>
              <w:rPr>
                <w:rFonts w:ascii="Arial" w:cs="Arial" w:eastAsia="Arial" w:hAnsi="Arial"/>
                <w:sz w:val="18"/>
                <w:szCs w:val="18"/>
                <w:color w:val="auto"/>
              </w:rPr>
              <w:t>Section 14.2.   Limitation on Guarantor Liability</w:t>
            </w:r>
          </w:p>
        </w:tc>
        <w:tc>
          <w:tcPr>
            <w:tcW w:w="1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2"/>
        </w:trPr>
        <w:tc>
          <w:tcPr>
            <w:tcW w:w="10100" w:type="dxa"/>
            <w:vAlign w:val="bottom"/>
            <w:gridSpan w:val="2"/>
          </w:tcPr>
          <w:p>
            <w:pPr>
              <w:ind w:left="440"/>
              <w:spacing w:after="0"/>
              <w:rPr>
                <w:sz w:val="20"/>
                <w:szCs w:val="20"/>
                <w:color w:val="auto"/>
              </w:rPr>
            </w:pPr>
            <w:r>
              <w:rPr>
                <w:rFonts w:ascii="Arial" w:cs="Arial" w:eastAsia="Arial" w:hAnsi="Arial"/>
                <w:sz w:val="18"/>
                <w:szCs w:val="18"/>
                <w:color w:val="auto"/>
              </w:rPr>
              <w:t>Section 14.3.   Execution and Delivery of Guarantee Notation</w:t>
            </w:r>
          </w:p>
        </w:tc>
        <w:tc>
          <w:tcPr>
            <w:tcW w:w="132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NOTE: This table of contents shall not, for any purpose, be deemed to be a part of the Indenture.</w:t>
      </w:r>
    </w:p>
    <w:p>
      <w:pPr>
        <w:sectPr>
          <w:pgSz w:w="11900" w:h="16838" w:orient="portrait"/>
          <w:cols w:equalWidth="0" w:num="1">
            <w:col w:w="11420"/>
          </w:cols>
          <w:pgMar w:left="240" w:top="280"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28"/>
        </w:trPr>
        <w:tc>
          <w:tcPr>
            <w:tcW w:w="2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60" w:type="dxa"/>
            <w:vAlign w:val="bottom"/>
            <w:gridSpan w:val="2"/>
          </w:tcPr>
          <w:p>
            <w:pPr>
              <w:ind w:left="1700"/>
              <w:spacing w:after="0"/>
              <w:rPr>
                <w:sz w:val="20"/>
                <w:szCs w:val="20"/>
                <w:color w:val="auto"/>
              </w:rPr>
            </w:pPr>
            <w:r>
              <w:rPr>
                <w:rFonts w:ascii="Arial" w:cs="Arial" w:eastAsia="Arial" w:hAnsi="Arial"/>
                <w:sz w:val="18"/>
                <w:szCs w:val="18"/>
                <w:b w:val="1"/>
                <w:bCs w:val="1"/>
                <w:color w:val="auto"/>
              </w:rPr>
              <w:t>PARTIES</w:t>
            </w: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40"/>
        </w:trPr>
        <w:tc>
          <w:tcPr>
            <w:tcW w:w="2420" w:type="dxa"/>
            <w:vAlign w:val="bottom"/>
          </w:tcPr>
          <w:p>
            <w:pPr>
              <w:ind w:left="460"/>
              <w:spacing w:after="0"/>
              <w:rPr>
                <w:sz w:val="20"/>
                <w:szCs w:val="20"/>
                <w:color w:val="auto"/>
              </w:rPr>
            </w:pPr>
            <w:r>
              <w:rPr>
                <w:rFonts w:ascii="Arial" w:cs="Arial" w:eastAsia="Arial" w:hAnsi="Arial"/>
                <w:sz w:val="18"/>
                <w:szCs w:val="18"/>
                <w:color w:val="auto"/>
                <w:w w:val="90"/>
              </w:rPr>
              <w:t>INDENTURE, dated as of [</w:t>
            </w:r>
          </w:p>
        </w:tc>
        <w:tc>
          <w:tcPr>
            <w:tcW w:w="880" w:type="dxa"/>
            <w:vAlign w:val="bottom"/>
          </w:tcPr>
          <w:p>
            <w:pPr>
              <w:spacing w:after="0"/>
              <w:rPr>
                <w:sz w:val="24"/>
                <w:szCs w:val="24"/>
                <w:color w:val="auto"/>
              </w:rPr>
            </w:pPr>
          </w:p>
        </w:tc>
        <w:tc>
          <w:tcPr>
            <w:tcW w:w="8100" w:type="dxa"/>
            <w:vAlign w:val="bottom"/>
            <w:gridSpan w:val="7"/>
          </w:tcPr>
          <w:p>
            <w:pPr>
              <w:spacing w:after="0"/>
              <w:rPr>
                <w:sz w:val="20"/>
                <w:szCs w:val="20"/>
                <w:color w:val="auto"/>
              </w:rPr>
            </w:pPr>
            <w:r>
              <w:rPr>
                <w:rFonts w:ascii="Arial" w:cs="Arial" w:eastAsia="Arial" w:hAnsi="Arial"/>
                <w:sz w:val="18"/>
                <w:szCs w:val="18"/>
                <w:color w:val="auto"/>
                <w:w w:val="90"/>
              </w:rPr>
              <w:t>] [  ], 2006, among ACTIVE POWER, INC., a corporation duly organized and existing under the laws of the State</w:t>
            </w:r>
          </w:p>
        </w:tc>
      </w:tr>
      <w:tr>
        <w:trPr>
          <w:trHeight w:val="20"/>
        </w:trPr>
        <w:tc>
          <w:tcPr>
            <w:tcW w:w="2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500" w:type="dxa"/>
            <w:vAlign w:val="bottom"/>
            <w:gridSpan w:val="6"/>
          </w:tcPr>
          <w:p>
            <w:pPr>
              <w:spacing w:after="0" w:line="196" w:lineRule="exact"/>
              <w:rPr>
                <w:sz w:val="20"/>
                <w:szCs w:val="20"/>
                <w:color w:val="auto"/>
              </w:rPr>
            </w:pPr>
            <w:r>
              <w:rPr>
                <w:rFonts w:ascii="Arial" w:cs="Arial" w:eastAsia="Arial" w:hAnsi="Arial"/>
                <w:sz w:val="18"/>
                <w:szCs w:val="18"/>
                <w:color w:val="auto"/>
              </w:rPr>
              <w:t xml:space="preserve">of Delaware (herein called the “Company”), the GUARANTORS (as defined hereinafter) and </w:t>
            </w:r>
            <w:r>
              <w:rPr>
                <w:rFonts w:ascii="Arial" w:cs="Arial" w:eastAsia="Arial" w:hAnsi="Arial"/>
                <w:sz w:val="18"/>
                <w:szCs w:val="18"/>
                <w:b w:val="1"/>
                <w:bCs w:val="1"/>
                <w:color w:val="auto"/>
              </w:rPr>
              <w:t>[</w:t>
            </w:r>
          </w:p>
        </w:tc>
        <w:tc>
          <w:tcPr>
            <w:tcW w:w="21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p>
        </w:tc>
        <w:tc>
          <w:tcPr>
            <w:tcW w:w="780" w:type="dxa"/>
            <w:vAlign w:val="bottom"/>
          </w:tcPr>
          <w:p>
            <w:pP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as</w:t>
            </w:r>
          </w:p>
        </w:tc>
      </w:tr>
      <w:tr>
        <w:trPr>
          <w:trHeight w:val="235"/>
        </w:trPr>
        <w:tc>
          <w:tcPr>
            <w:tcW w:w="2420" w:type="dxa"/>
            <w:vAlign w:val="bottom"/>
          </w:tcPr>
          <w:p>
            <w:pPr>
              <w:spacing w:after="0"/>
              <w:rPr>
                <w:sz w:val="20"/>
                <w:szCs w:val="20"/>
                <w:color w:val="auto"/>
              </w:rPr>
            </w:pPr>
            <w:r>
              <w:rPr>
                <w:rFonts w:ascii="Arial" w:cs="Arial" w:eastAsia="Arial" w:hAnsi="Arial"/>
                <w:sz w:val="18"/>
                <w:szCs w:val="18"/>
                <w:color w:val="auto"/>
              </w:rPr>
              <w:t>Trustee (the “Trustee”).</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780" w:type="dxa"/>
            <w:vAlign w:val="bottom"/>
          </w:tcPr>
          <w:p>
            <w:pPr>
              <w:spacing w:after="0"/>
              <w:rPr>
                <w:sz w:val="20"/>
                <w:szCs w:val="20"/>
                <w:color w:val="auto"/>
              </w:rPr>
            </w:pPr>
          </w:p>
        </w:tc>
      </w:tr>
    </w:tbl>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RECITALS OF THE COMPANY:</w:t>
      </w:r>
    </w:p>
    <w:p>
      <w:pPr>
        <w:spacing w:after="0" w:line="17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Company has duly authorized the execution and delivery of this Indenture to provide for the issuance from time to time of its unsecured senior debentures, notes or other evidences of indebtedness (herein called the “Securities”), which may but are not required to be guaranteed by the Guarantor, to be issued in one or more series as provided in this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things necessary to make this Indenture a valid agreement of the Company and of the Guarantors, in accordance with its terms, have been done.</w:t>
      </w:r>
    </w:p>
    <w:p>
      <w:pPr>
        <w:spacing w:after="0" w:line="19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This Indenture is subject to the provisions of the Trust Indenture Act that are required to be a part of this Indenture and, to the extent applicable, shall be governed by such provisions.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THIS INDENTURE WITNESSETH:</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of series thereof, as follows: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ONE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 AND OTHER PROVISIONS OF GENERAL APPLICATION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90" w:lineRule="exact"/>
        <w:rPr>
          <w:sz w:val="20"/>
          <w:szCs w:val="20"/>
          <w:color w:val="auto"/>
        </w:rPr>
      </w:pPr>
    </w:p>
    <w:p>
      <w:pPr>
        <w:ind w:left="1140" w:hanging="237"/>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terms defined in this Article have the meanings assigned to them in this Article and include the plural as well as the singular;</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terms used in this Indenture that are defined in the Trust Indenture Act, defined by a Trust Indenture Act reference to another statute or defined by an SEC rule under the Trust Indenture Act have the meanings so assigned to them;</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GAAP;</w:t>
      </w:r>
    </w:p>
    <w:p>
      <w:pPr>
        <w:spacing w:after="0" w:line="90" w:lineRule="exact"/>
        <w:rPr>
          <w:rFonts w:ascii="Arial" w:cs="Arial" w:eastAsia="Arial" w:hAnsi="Arial"/>
          <w:sz w:val="18"/>
          <w:szCs w:val="18"/>
          <w:color w:val="auto"/>
        </w:rPr>
      </w:pPr>
    </w:p>
    <w:p>
      <w:pPr>
        <w:ind w:left="460" w:right="500" w:firstLine="443"/>
        <w:spacing w:after="0" w:line="268" w:lineRule="auto"/>
        <w:tabs>
          <w:tab w:leader="none" w:pos="11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words “Article” and “Section” refer to an Article and Section, respectively, of this Indenture; and</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word “includes” and its derivatives means “includes, but is not limited to” and corresponding derivative definitions.</w:t>
      </w:r>
    </w:p>
    <w:p>
      <w:pPr>
        <w:sectPr>
          <w:pgSz w:w="11900" w:h="16838" w:orient="portrait"/>
          <w:cols w:equalWidth="0" w:num="1">
            <w:col w:w="11400"/>
          </w:cols>
          <w:pgMar w:left="240" w:top="274" w:right="259" w:bottom="1440" w:gutter="0" w:footer="0" w:header="0"/>
        </w:sectPr>
      </w:pPr>
    </w:p>
    <w:bookmarkStart w:id="66" w:name="page67"/>
    <w:bookmarkEnd w:id="6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terms, used principally in Article Six, are defined in that Article.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 when used with respect to any Holder, has the meaning specified in Section 1.5.</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“Additional Defeasible Provision” means a covenant or other provision contained that is (a) made part of this Indenture pursuant to a supplemental indenture hereto, a Board Resolution or an Officer’s Certificate delivered pursuant to Section 3.1, and (b) pursuant to the terms set forth in such supplemental indenture, Board Resolution or Officer’s Certificate, made subject to the provisions of Article Thirteen.</w:t>
      </w:r>
    </w:p>
    <w:p>
      <w:pPr>
        <w:spacing w:after="0" w:line="14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“Affiliate”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“Authenticating Agent” means any Person authorized by the Trustee to act on behalf of the Trustee to authenticate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“Banking Day” means, in respect of any city, any date on which commercial banks are open for business in that city.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“Bankruptcy Law” means any applicable Federal or State bankruptcy, insolvency, reorganization or other similar law.</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“Board of Directors” means either the board of directors of the Company or of a Guarantor, as applicable, or any duly authorized committee of that board to which the powers of that board have been lawfully delegated.</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“Board Resolution” means a copy of a resolution certified by the Secretary or an Assistant Secretary of the Company, the principal financial officer of the Company or a Guarantor, any other authorized officer of the Company or a Guarantor, or a person duly authorized by any of them, in each case as applicable, to have been duly adopted by the Board of Directors and to be in full force and effect on the date of such certification, and delivered to the Trustee. Where any provision of this Indenture refers to action to be taken pursuant to a Board Resolution (including the establishment of any series of the Securities and the forms and terms thereof), such action may be taken by any committee, officer or employee of the Company or a Guarantor, as applicable, authorized to take such action by the Board of Directors as evidenced by a Board Resolution.</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“Business Day”, when used with respect to any Place of Payment or other location, means, except as otherwise provided as contemplated by Section 3.1 with respect to any series of Securities, each Monday, Tuesday, Wednesday, Thursday and Friday which is not a day on which banking institutions in that Place of Payment or other location are authorized or obligated by law, executive order or regulation to close.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“CINS” means CUSIP International Numbering System.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“Code” means the United States Internal Revenue Code of 1986, as amended.</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67" w:name="page68"/>
    <w:bookmarkEnd w:id="67"/>
    <w:p>
      <w:pPr>
        <w:ind w:right="5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means the Person named as the “Company” in the first paragraph of this instrument until a successor or resulting corporation shall have become such pursuant to the applicable provisions of this Indenture, and thereafter “Company” shall mean such successor or resulting corporation.</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“Company Request” or “Company Order” means, in the case of the Company, a written request or order signed in the name of the Company by its Chairman of the Board, its Chief Executive Officer, its President, any of its Vice Presidents or any other duly authorized officer of the Company or any person duly authorized by any of them, and delivered to the Trustee and, in the case of a Guarantor, a written request or order signed in the name of such Guarantor by its Chairman of the Board, its Chief Executive Officer, its President, any of its Vice Presidents or any other duly authorized officer of such Guarantor or any person duly authorized by any of them, and delivered to the Trustee.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“Corporate Trust Office” means the office of the Trustee at which at any particular time its corporate trust business shall be principally administered and</w:t>
      </w:r>
    </w:p>
    <w:p>
      <w:pPr>
        <w:spacing w:after="0" w:line="38"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 xml:space="preserve">which, at the date hereof, is located at </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1757045</wp:posOffset>
            </wp:positionH>
            <wp:positionV relativeFrom="paragraph">
              <wp:posOffset>-17780</wp:posOffset>
            </wp:positionV>
            <wp:extent cx="11430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“corporation” includes corporations, companies, associations, partnerships, limited partnerships, limited liability companies, joint-stock companies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trusts.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“covenant defeasance” has the meaning specified in Section 13.3.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“CUSIP” means the Committee on Uniform Securities Identification Procedures.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“Custodian” means any receiver, trustee, assignee, liquidator or similar official under any Bankruptcy Law.</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“Debt” means any obligation created or assumed by any Person for the repayment of money borrowed and any purchase money obligation created or assumed by such Person and any guarantee of the foregoing.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“Default” means, with respect to a series of Securities, any event that is, or after notice or lapse of time or both would be, an Event of Default.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“Defaulted Interest” has the meaning specified in Section 3.7.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“defeasance” has the meaning specified in Section 13.2.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“Definitive Security” means a security other than a Global Security or a temporary Security.</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“Depositary” means, with respect to the Securities of any series issuable or issued in whole or in part in the form of one or more Global Securities, a clearing agency registered under the Exchange Act that is designated to act as Depositary for such Securities as contemplated by Section 3.1, until a successor Depositary shall have become such pursuant to the applicable provisions of this Indenture, and thereafter shall mean or include each Person which is a Depositary hereunder, and if at any time there is more than one such Person, shall be a collective reference to such Persons.</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“Dollar” or “$” means the coin or currency of the United States of America, which at the time of payment is legal tender for the payment of public and private debts.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has the meaning specified in Section 5.1.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68" w:name="page69"/>
    <w:bookmarkEnd w:id="6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“Exchange Act” means the Securities Exchange Act of 1934,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means a currency used by the government of a country other than the United States of America.</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“GAAP” means generally accepted accounting principles in the United States of America as in effect from time to time, including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based on GAAP contained in the indenture will be computed in conformity with GAAP.</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“Global Security” means a Security in global form that evidences all or part of a series of Securities and is authenticated and delivered to, and registered in the name of, the Depositary for the Securities of such series or its nominee.</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“Guarantee” means each guarantee of the obligations of the Company under this Indenture and the Securities by a Guarantor in accordance with the provisions 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“Guarantor” means each Person that becomes a guarantor of any Securities pursuant to the applicable provisions of this Indenture.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 means a Person in whose name a Security is registered in the Security Register.</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“Indenture” means this instrument as originally executed or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part of and govern this instrument and any such supplemental indenture, respectively. The term “Indenture” also shall include the terms of particular series of Securities established as contemplated by Section 3.1.</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“interest”, when used with respect to an Original Issue Discount Security which by its terms bears interest only after Maturity, means interest payable after Maturity.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Payment Date”, when used with respect to any Security, means the Stated Maturity of an installment of interest on such Security.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“Judgment Currency” has the meaning specified in Section 1.16.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“mandatory sinking fund payment” has the meaning specified in Section 12.1.</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“Maturity”,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of Default” means a written notice of the kind specified in Section 5.1(c) or Section 5.1(d).</w:t>
      </w:r>
    </w:p>
    <w:p>
      <w:pPr>
        <w:spacing w:after="0" w:line="171"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“Officer’s Certificate” means, in the case of the Company, a certificate signed by the Chairman of the Board, the Chief Executive Officer, the President, any Vice President or any other duly authorized officer of the Company, or a person duly authorized by any of them, and delivered to the Trustee and, in</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69" w:name="page70"/>
    <w:bookmarkEnd w:id="69"/>
    <w:p>
      <w:pPr>
        <w:ind w:right="5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case of a Guarantor, a certificate signed by the Chairman of the Board, the Chief Executive Officer, the President, any Vice President or any other duly authorized officer of such Guarantor, or a person duly authorized by any of them, and delivered to the Trustee.</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“Opinion of Counsel” means a written opinion of counsel, who may be an employee of or counsel for the Company or a Guarantor, as the case may be, and who shall be reasonably acceptable to the Trustee.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“optional sinking fund payment” has the meaning specified in Section 12.1.</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“Original Issue Discount Security” means any Security which provides for an amount less than the principal amount thereof to be due and payable upon a declaration of acceleration of the Maturity thereof pursuant to Section 5.2.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“Outstanding”, when used with respect to Securities, means, as of the date of determination, all Securities theretofore authenticated and delivered under this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Indenture, except:</w:t>
      </w:r>
    </w:p>
    <w:p>
      <w:pPr>
        <w:spacing w:after="0" w:line="84" w:lineRule="exact"/>
        <w:rPr>
          <w:sz w:val="20"/>
          <w:szCs w:val="20"/>
          <w:color w:val="auto"/>
        </w:rPr>
      </w:pPr>
    </w:p>
    <w:p>
      <w:pPr>
        <w:ind w:left="1140" w:hanging="237"/>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w:t>
      </w:r>
    </w:p>
    <w:p>
      <w:pPr>
        <w:spacing w:after="0" w:line="90" w:lineRule="exact"/>
        <w:rPr>
          <w:rFonts w:ascii="Arial" w:cs="Arial" w:eastAsia="Arial" w:hAnsi="Arial"/>
          <w:sz w:val="18"/>
          <w:szCs w:val="18"/>
          <w:color w:val="auto"/>
        </w:rPr>
      </w:pPr>
    </w:p>
    <w:p>
      <w:pPr>
        <w:jc w:val="both"/>
        <w:ind w:left="460" w:right="20" w:firstLine="443"/>
        <w:spacing w:after="0" w:line="256" w:lineRule="auto"/>
        <w:tabs>
          <w:tab w:leader="none" w:pos="1147"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Securities are to be redeemed, notice of such redemption has been duly given pursuant to this Indenture or provision therefor satisfactory to the Trustee has been made;</w:t>
      </w:r>
    </w:p>
    <w:p>
      <w:pPr>
        <w:spacing w:after="0" w:line="62" w:lineRule="exact"/>
        <w:rPr>
          <w:rFonts w:ascii="Arial" w:cs="Arial" w:eastAsia="Arial" w:hAnsi="Arial"/>
          <w:sz w:val="18"/>
          <w:szCs w:val="18"/>
          <w:color w:val="auto"/>
        </w:rPr>
      </w:pPr>
    </w:p>
    <w:p>
      <w:pPr>
        <w:ind w:left="460" w:right="40" w:firstLine="443"/>
        <w:spacing w:after="0" w:line="306" w:lineRule="auto"/>
        <w:tabs>
          <w:tab w:leader="none" w:pos="1137" w:val="left"/>
        </w:tabs>
        <w:numPr>
          <w:ilvl w:val="0"/>
          <w:numId w:val="50"/>
        </w:numPr>
        <w:rPr>
          <w:rFonts w:ascii="Arial" w:cs="Arial" w:eastAsia="Arial" w:hAnsi="Arial"/>
          <w:sz w:val="16"/>
          <w:szCs w:val="16"/>
          <w:color w:val="auto"/>
        </w:rPr>
      </w:pPr>
      <w:r>
        <w:rPr>
          <w:rFonts w:ascii="Arial" w:cs="Arial" w:eastAsia="Arial" w:hAnsi="Arial"/>
          <w:sz w:val="16"/>
          <w:szCs w:val="16"/>
          <w:color w:val="auto"/>
        </w:rPr>
        <w:t>Securities which have been paid pursuant to Section 3.6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and</w:t>
      </w:r>
    </w:p>
    <w:p>
      <w:pPr>
        <w:spacing w:after="0" w:line="25" w:lineRule="exact"/>
        <w:rPr>
          <w:rFonts w:ascii="Arial" w:cs="Arial" w:eastAsia="Arial" w:hAnsi="Arial"/>
          <w:sz w:val="16"/>
          <w:szCs w:val="16"/>
          <w:color w:val="auto"/>
        </w:rPr>
      </w:pPr>
    </w:p>
    <w:p>
      <w:pPr>
        <w:ind w:left="460" w:right="660" w:firstLine="443"/>
        <w:spacing w:after="0" w:line="332" w:lineRule="auto"/>
        <w:tabs>
          <w:tab w:leader="none" w:pos="1147" w:val="left"/>
        </w:tabs>
        <w:numPr>
          <w:ilvl w:val="0"/>
          <w:numId w:val="50"/>
        </w:numPr>
        <w:rPr>
          <w:rFonts w:ascii="Arial" w:cs="Arial" w:eastAsia="Arial" w:hAnsi="Arial"/>
          <w:sz w:val="16"/>
          <w:szCs w:val="16"/>
          <w:color w:val="auto"/>
        </w:rPr>
      </w:pPr>
      <w:r>
        <w:rPr>
          <w:rFonts w:ascii="Arial" w:cs="Arial" w:eastAsia="Arial" w:hAnsi="Arial"/>
          <w:sz w:val="16"/>
          <w:szCs w:val="16"/>
          <w:color w:val="auto"/>
        </w:rPr>
        <w:t>Securities, except to the extent provided in Section 13.2 and Section 13.3, with respect to which the Company has effected defeasance or covenant defeasance as provided in Article Thirteen, which defeasance or covenant defeasance then continues in effect;</w:t>
      </w:r>
    </w:p>
    <w:p>
      <w:pPr>
        <w:spacing w:after="0" w:line="85"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in determining whether the Holders of the requisite principal amount of the Outstanding Securities have given any request, demand,</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authorization, direction, notice, consent or waiver hereunder, (i) the principal amount of an Original Issue Discount Security that shall be deemed to be Outstanding shall be the amount of the principal thereof that would be due and payable as of the date of such determination upon acceleration of the Maturity thereof on such date pursuant to Section 5.2, (ii) the principal amount of a Security denominated in one or more currencies or currency units other than U.S. dollars shall be the U.S. dollar equivalent of such currencies or currency units, determined in the manner provided as contemplated by Section 3.1 on the date of original issuance of such Security or by Section 1.15, if not otherwise so provided pursuant to Section 3.1, of the principal amount (or, in the case of an Original Issue Discount Security, the U.S. dollar equivalent (as so determined) on the date of original issuance of such Security of the amount determined as provided in clause (i) above) of such Security, and (iii) Securities owned by the Company, any Guarantor or any other obligor upon the Securities or any Affiliate of the Company or of such other obligor shall be disregarded and deemed not to be Outstanding, except that, in determining whether the Trustee shall be protected in relying upon 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70" w:name="page71"/>
    <w:bookmarkEnd w:id="70"/>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request, demand, authorization, direction, notice, consent or waiver, only Securities which the Trustee knows to be so owned shall be so disregarded. Securities so owned as described in clause (iii) of the immediately preceding sentence which have been pledged in good faith may be regarded as Outstanding if the pledgee establishes to the satisfaction of the Trustee the pledgee’s right to act with respect to such Securities and that the pledgee is not the Company, a Guarantor or any other obligor upon the Securities or any Affiliate of the Company or of such other obligor.</w:t>
      </w:r>
    </w:p>
    <w:p>
      <w:pPr>
        <w:spacing w:after="0" w:line="11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“Paying Agent” means any Person authorized by the Company to pay the principal of and any premium or interest on any Securities on behalf of the Company.</w:t>
      </w:r>
    </w:p>
    <w:p>
      <w:pPr>
        <w:spacing w:after="0" w:line="132"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“Periodic Offering” means an offering of Securities of a series from time to time, the specific terms of which Securities, including, without limitation, the rate or rates of interest or formula for determining the rate or rates of interest thereon, if any, the Stated Maturity or Stated Maturities thereof, the original issue date or dates thereof, the redemption provisions, if any, with respect thereto, and any other terms specified as contemplated by Section 3.1 with respect thereto, are to be determined by the Company upon the issuance of such Securities.</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“Person” means any individual, corporation, company, limited liability company, partnership, limited partnership, joint venture, association, joint-stock company, trust, other entity, unincorporated organization or government or any agency or political subdivision thereof.</w:t>
      </w:r>
    </w:p>
    <w:p>
      <w:pPr>
        <w:spacing w:after="0" w:line="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“Place of Payment”, when used with respect to the Securities of any series, means, unless otherwise specifically provided for with respect to such series as contemplated by Section 3.1, the office or agency of the Company in the City of New York and such other place or places where, subject to the provisions of Section 10.2, the principal of and any premium and interest on the Securities of that series are payable as contemplated by Section 3.1.</w:t>
      </w:r>
    </w:p>
    <w:p>
      <w:pPr>
        <w:spacing w:after="0" w:line="10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3.6 in exchange for or in lieu of a mutilated, destroyed, lost or stolen Security shall be deemed to evidence the same debt as the mutilated, destroyed, lost or stolen Security.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“Redemption Date”, when used with respect to any Security to be redeemed, means the date fixed for such redemption by or pursuant to this Indenture.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“Redemption Price”, when used with respect to any Security to be redeemed, means the price at which it is to be redeemed pursuant to this Indenture.</w:t>
      </w:r>
    </w:p>
    <w:p>
      <w:pPr>
        <w:spacing w:after="0" w:line="19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“Regular Record Date” for the interest payable on any Interest Payment Date on the Securities of any series means the date specified for that purpose as contemplated by Section 3.1.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“Required Currency” has the meaning specified in Section 1.16.</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“Responsible Officer” when used with respect to the Trustee, means any officer within the Corporate Trust Administration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80" w:right="319" w:bottom="1440" w:gutter="0" w:footer="0" w:header="0"/>
        </w:sectPr>
      </w:pPr>
    </w:p>
    <w:bookmarkStart w:id="71" w:name="page72"/>
    <w:bookmarkEnd w:id="71"/>
    <w:p>
      <w:pPr>
        <w:ind w:right="5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“Securities” has the meaning stated in the first recital of this Indenture and more particularly means any Securities authenticated and delivered under this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“Security Register” and “Security Registrar” have the respective meanings specified in Section 3.5.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Record Date” for the payment of any Defaulted Interest means a date fixed by the Trustee pursuant to Section 3.7.</w:t>
      </w:r>
    </w:p>
    <w:p>
      <w:pPr>
        <w:spacing w:after="0" w:line="17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“Subsidiary” means (a) a corporation more than 50% of the outstanding voting stock of which is owned, directly or indirectly, by the Company or by one or more other Subsidiaries, or by the Company and one or more other Subsidiaries or (b) any partnership or similar business organization more than 50% of the ownership interests having ordinary voting power of which shall at the time be so owned. For the purposes of this definition, “voting stock” means capital stock or equity interests which ordinarily have voting power for the election of directors, whether at all times or only so long as no senior class of stock has such voting power by reason of any contingency.</w:t>
      </w:r>
    </w:p>
    <w:p>
      <w:pPr>
        <w:spacing w:after="0" w:line="143"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“Trust Indenture Act” means the Trust Indenture Act of 1939, as amended, as in force at the date as of which this instrument was executed, except as provided in Section 9.5;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Trust Indenture Act of 1939 is amended after such date, “Trust Indenture Act” means, to the extent required by any such amendment, the Trust Indenture Act of 1939 as so amended.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Person” shall have the meaning assigned to such term in Section 7701(a)(30) of the Code.</w:t>
      </w:r>
    </w:p>
    <w:p>
      <w:pPr>
        <w:spacing w:after="0" w:line="17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“U.S. Government Obligations” means securities which are (a) direct obligations of the United States for the payment of which its full faith and credit is pledged, or (b) obligations of a Person controlled or supervised by and acting as an agency or instrumentality of the United States, the payment of which is unconditionally guaranteed as a full faith and credit obligation by the United States, each of which are not callable or redeemable at the option of the issuer thereof.</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“Vice President”, when used with respect to the Company, the Guarantor or the Trustee, means any vice president, regardless of whether designated by a number or a word or words added before or after the title “vice president.”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1.2. </w:t>
      </w:r>
      <w:r>
        <w:rPr>
          <w:rFonts w:ascii="Arial" w:cs="Arial" w:eastAsia="Arial" w:hAnsi="Arial"/>
          <w:sz w:val="18"/>
          <w:szCs w:val="18"/>
          <w:u w:val="single" w:color="auto"/>
          <w:color w:val="auto"/>
        </w:rPr>
        <w:t>Incorporation by Reference of Trust Indenture Act</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Whenever this Indenture refers to a provision of the Trust Indenture Act, the provision is incorporated by reference in and made a part of this Indenture.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Trust Indenture Act terms used in this Indenture have the following meanings:</w:t>
      </w:r>
    </w:p>
    <w:p>
      <w:pPr>
        <w:spacing w:after="0" w:line="8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“commission” means the SEC.</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“indenture securities” means the Securities.</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“indenture security holder” means a Holder.</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“indenture to be qualified” means this Indenture.</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“indenture trustee” or “institutional trustee” means the Trustee.</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“obligor” on the indenture securities means the Company, the Guarantor (if applicable) or any other obligor on the indenture securities.</w:t>
      </w:r>
    </w:p>
    <w:p>
      <w:pPr>
        <w:spacing w:after="0" w:line="19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All terms used in this Indenture that are defined by the Trust Indenture Act, defined by a Trust Indenture Act reference to another statute or defined by an SEC rule under the Trust Indenture Act have the meanings so assigned to them.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Compliance Certificates and Opinions</w:t>
      </w:r>
      <w:r>
        <w:rPr>
          <w:rFonts w:ascii="Arial" w:cs="Arial" w:eastAsia="Arial" w:hAnsi="Arial"/>
          <w:sz w:val="18"/>
          <w:szCs w:val="18"/>
          <w:color w:val="auto"/>
        </w:rPr>
        <w:t>.</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Upon any application or request by the Company or a Guarantor to the Trustee to take any action under any provision of this Indenture, the Company or such Guarantor, as the case may be,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 except as required under Section 314(c) of the Trust Indenture Act.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Every certificate or opinion with respect to compliance with a condition or covenant provided for in this Indenture (except for certificates provided for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10.5) shall include:</w:t>
      </w:r>
    </w:p>
    <w:p>
      <w:pPr>
        <w:spacing w:after="0" w:line="84" w:lineRule="exact"/>
        <w:rPr>
          <w:sz w:val="20"/>
          <w:szCs w:val="20"/>
          <w:color w:val="auto"/>
        </w:rPr>
      </w:pPr>
    </w:p>
    <w:p>
      <w:pPr>
        <w:ind w:left="1140" w:hanging="237"/>
        <w:spacing w:after="0"/>
        <w:tabs>
          <w:tab w:leader="none" w:pos="11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 statement that each individual signing such certificate or opinion has read such covenant or condition and the definitions herein relating thereto;</w:t>
      </w:r>
    </w:p>
    <w:p>
      <w:pPr>
        <w:spacing w:after="0" w:line="124" w:lineRule="exact"/>
        <w:rPr>
          <w:rFonts w:ascii="Arial" w:cs="Arial" w:eastAsia="Arial" w:hAnsi="Arial"/>
          <w:sz w:val="15"/>
          <w:szCs w:val="15"/>
          <w:color w:val="auto"/>
        </w:rPr>
      </w:pPr>
    </w:p>
    <w:p>
      <w:pPr>
        <w:ind w:left="460" w:right="700" w:firstLine="443"/>
        <w:spacing w:after="0" w:line="268" w:lineRule="auto"/>
        <w:tabs>
          <w:tab w:leader="none" w:pos="11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50" w:lineRule="exact"/>
        <w:rPr>
          <w:rFonts w:ascii="Arial" w:cs="Arial" w:eastAsia="Arial" w:hAnsi="Arial"/>
          <w:sz w:val="18"/>
          <w:szCs w:val="18"/>
          <w:color w:val="auto"/>
        </w:rPr>
      </w:pPr>
    </w:p>
    <w:p>
      <w:pPr>
        <w:ind w:left="460" w:firstLine="443"/>
        <w:spacing w:after="0" w:line="268" w:lineRule="auto"/>
        <w:tabs>
          <w:tab w:leader="none" w:pos="1137"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regardless of whether such covenant or condition has been complied with;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1.4. </w:t>
      </w:r>
      <w:r>
        <w:rPr>
          <w:rFonts w:ascii="Arial" w:cs="Arial" w:eastAsia="Arial" w:hAnsi="Arial"/>
          <w:sz w:val="18"/>
          <w:szCs w:val="18"/>
          <w:u w:val="single" w:color="auto"/>
          <w:color w:val="auto"/>
        </w:rPr>
        <w:t>Form of Documents Delivered to Trustee</w:t>
      </w:r>
      <w:r>
        <w:rPr>
          <w:rFonts w:ascii="Arial" w:cs="Arial" w:eastAsia="Arial" w:hAnsi="Arial"/>
          <w:sz w:val="18"/>
          <w:szCs w:val="18"/>
          <w:color w:val="auto"/>
        </w:rPr>
        <w:t>.</w:t>
      </w:r>
    </w:p>
    <w:p>
      <w:pPr>
        <w:spacing w:after="0" w:line="9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Any certificate or opinion of an officer of the Company or a Guarantor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or the Guarantor, as the case may be, stating that the information with respect to such factual matters is in the possession of the Company or the Guarantor, as the case may be, unless such counsel knows that the certificate or opinion or representations with respect to such matters are erroneous.</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Acts of Holders; Record Dates</w:t>
      </w:r>
      <w:r>
        <w:rPr>
          <w:rFonts w:ascii="Arial" w:cs="Arial" w:eastAsia="Arial" w:hAnsi="Arial"/>
          <w:sz w:val="18"/>
          <w:szCs w:val="18"/>
          <w:color w:val="auto"/>
        </w:rPr>
        <w:t>.</w:t>
      </w:r>
    </w:p>
    <w:p>
      <w:pPr>
        <w:spacing w:after="0" w:line="90" w:lineRule="exact"/>
        <w:rPr>
          <w:sz w:val="20"/>
          <w:szCs w:val="20"/>
          <w:color w:val="auto"/>
        </w:rPr>
      </w:pPr>
    </w:p>
    <w:p>
      <w:pPr>
        <w:ind w:left="460" w:right="20" w:firstLine="443"/>
        <w:spacing w:after="0" w:line="288" w:lineRule="auto"/>
        <w:tabs>
          <w:tab w:leader="none" w:pos="1137"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Any request, demand, authorization, direction, notice, consent, waiver or other action provided by this Indenture to be given or taken by Holders may be embodied in and evidenced by one or more instruments of substantially similar tenor signed (either physically or by means of a facsimile or an electronic transmission,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electronic transmission is transmitted through the facilities of a Depositary) by such Holders in person or by agent duly appointed in writing; and, except as herein otherwise expressly provided, such action shall become effective when such instrument or instruments are delivered to the Trustee and, where it is hereby expressly required, to the Company or the Guarantors.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315 of the Trust Indenture Act) conclusive in favor of the Trustee, the Company and, if applicable, the Guarantors, if made in the manner provided in this Section.</w:t>
      </w:r>
    </w:p>
    <w:p>
      <w:pPr>
        <w:spacing w:after="0" w:line="38" w:lineRule="exact"/>
        <w:rPr>
          <w:rFonts w:ascii="Arial" w:cs="Arial" w:eastAsia="Arial" w:hAnsi="Arial"/>
          <w:sz w:val="16"/>
          <w:szCs w:val="16"/>
          <w:color w:val="auto"/>
        </w:rPr>
      </w:pPr>
    </w:p>
    <w:p>
      <w:pPr>
        <w:ind w:left="460" w:right="20" w:firstLine="443"/>
        <w:spacing w:after="0" w:line="294" w:lineRule="auto"/>
        <w:tabs>
          <w:tab w:leader="none" w:pos="1147"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74" w:name="page75"/>
    <w:bookmarkEnd w:id="74"/>
    <w:p>
      <w:pPr>
        <w:ind w:left="460" w:right="20" w:firstLine="443"/>
        <w:spacing w:after="0" w:line="268" w:lineRule="auto"/>
        <w:tabs>
          <w:tab w:leader="none" w:pos="1137"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ownership, principal amount and serial numbers of Securities held by any Person, and the date of commencement of such Person’s holding of same, shall be proved by the Security Register.</w:t>
      </w:r>
    </w:p>
    <w:p>
      <w:pPr>
        <w:spacing w:after="0" w:line="50" w:lineRule="exact"/>
        <w:rPr>
          <w:rFonts w:ascii="Arial" w:cs="Arial" w:eastAsia="Arial" w:hAnsi="Arial"/>
          <w:sz w:val="18"/>
          <w:szCs w:val="18"/>
          <w:color w:val="auto"/>
        </w:rPr>
      </w:pPr>
    </w:p>
    <w:p>
      <w:pPr>
        <w:ind w:left="460" w:firstLine="443"/>
        <w:spacing w:after="0" w:line="256" w:lineRule="auto"/>
        <w:tabs>
          <w:tab w:leader="none" w:pos="1147"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the Company or, if applicable, the Guarantors in reliance thereon, regardless of whether notation of such action is made upon such Security.</w:t>
      </w:r>
    </w:p>
    <w:p>
      <w:pPr>
        <w:spacing w:after="0" w:line="62" w:lineRule="exact"/>
        <w:rPr>
          <w:rFonts w:ascii="Arial" w:cs="Arial" w:eastAsia="Arial" w:hAnsi="Arial"/>
          <w:sz w:val="18"/>
          <w:szCs w:val="18"/>
          <w:color w:val="auto"/>
        </w:rPr>
      </w:pPr>
    </w:p>
    <w:p>
      <w:pPr>
        <w:ind w:left="460" w:firstLine="443"/>
        <w:spacing w:after="0" w:line="259" w:lineRule="auto"/>
        <w:tabs>
          <w:tab w:leader="none" w:pos="1137"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Without limiting the foregoing, a Holder entitled to give or take any action hereunder with regard to any particular Security may do so with regard to all or any part of the principal amount of such Security or by one or more duly appointed agents each of which may do so pursuant to such appointment with regard to all or any different part of such principal amount.</w:t>
      </w:r>
    </w:p>
    <w:p>
      <w:pPr>
        <w:spacing w:after="0" w:line="59" w:lineRule="exact"/>
        <w:rPr>
          <w:rFonts w:ascii="Arial" w:cs="Arial" w:eastAsia="Arial" w:hAnsi="Arial"/>
          <w:sz w:val="18"/>
          <w:szCs w:val="18"/>
          <w:color w:val="auto"/>
        </w:rPr>
      </w:pPr>
    </w:p>
    <w:p>
      <w:pPr>
        <w:ind w:left="460" w:right="60" w:firstLine="443"/>
        <w:spacing w:after="0" w:line="294" w:lineRule="auto"/>
        <w:tabs>
          <w:tab w:leader="none" w:pos="1117"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Company may set any day as the record date for the purpose of determining the Holders of Outstanding Securities of any series entitled to give or take any request, demand, authorization, direction, notice, consent, waiver or other Act provided or permitted by this Indenture to be given or taken by Holders of Securities of such series, but the Company shall have no obligation to do so. With regard to any record date set pursuant to this paragraph, the Holders of Outstanding Securities of the relevant series on such record date (or their duly appointed agents), and only such Persons, shall be entitled to give or take the relevant action, regardless of whether such Holders remain Holders after such record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Notices, Etc., to Trustee, Company and Guarantors</w:t>
      </w:r>
      <w:r>
        <w:rPr>
          <w:rFonts w:ascii="Arial" w:cs="Arial" w:eastAsia="Arial" w:hAnsi="Arial"/>
          <w:sz w:val="18"/>
          <w:szCs w:val="18"/>
          <w:color w:val="auto"/>
        </w:rPr>
        <w:t>.</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Any request, demand, authorization, direction, notice, consent, waiver or Act of Holders or other document provided or permitted by this Indenture to be made upon, given or furnished to, or filed with,</w:t>
      </w:r>
    </w:p>
    <w:p>
      <w:pPr>
        <w:spacing w:after="0" w:line="51" w:lineRule="exact"/>
        <w:rPr>
          <w:sz w:val="20"/>
          <w:szCs w:val="20"/>
          <w:color w:val="auto"/>
        </w:rPr>
      </w:pPr>
    </w:p>
    <w:p>
      <w:pPr>
        <w:ind w:left="460" w:right="280" w:firstLine="443"/>
        <w:spacing w:after="0" w:line="268" w:lineRule="auto"/>
        <w:tabs>
          <w:tab w:leader="none" w:pos="11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Trustee by any Holder, a Guarantor or by the Company shall be sufficient for every purpose hereunder if made, given, furnished or filed in writing to or with the Trustee at its Corporate Trust Office, Attention: </w:t>
      </w:r>
      <w:r>
        <w:rPr>
          <w:rFonts w:ascii="Arial" w:cs="Arial" w:eastAsia="Arial" w:hAnsi="Arial"/>
          <w:sz w:val="18"/>
          <w:szCs w:val="18"/>
          <w:b w:val="1"/>
          <w:bCs w:val="1"/>
          <w:color w:val="auto"/>
        </w:rPr>
        <w:t>[Corporate Trust Department]</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right="360" w:firstLine="443"/>
        <w:spacing w:after="0" w:line="256" w:lineRule="auto"/>
        <w:tabs>
          <w:tab w:leader="none" w:pos="114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by the Trustee, a Guarantor or by any Holder shall be sufficient for every purpose hereunder (unless otherwise herein expressly provided) if in writing and mailed, first-class postage prepaid, to the Company addressed to it at the address of its principal office specified in the first paragraph of this instrument to the attention of the Corporate Secretary, or at any other address previously furnished in writing to the Trustee by the Company, or</w:t>
      </w:r>
    </w:p>
    <w:p>
      <w:pPr>
        <w:spacing w:after="0" w:line="62" w:lineRule="exact"/>
        <w:rPr>
          <w:rFonts w:ascii="Arial" w:cs="Arial" w:eastAsia="Arial" w:hAnsi="Arial"/>
          <w:sz w:val="18"/>
          <w:szCs w:val="18"/>
          <w:color w:val="auto"/>
        </w:rPr>
      </w:pPr>
    </w:p>
    <w:p>
      <w:pPr>
        <w:jc w:val="both"/>
        <w:ind w:left="460" w:right="320" w:firstLine="443"/>
        <w:spacing w:after="0" w:line="306" w:lineRule="auto"/>
        <w:tabs>
          <w:tab w:leader="none" w:pos="1137"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Guarantor by the Company, the Trustee or by any Holder shall be sufficient for every purpose hereunder (unless otherwise herein expressly provided) if in writing and mailed, first-class postage prepaid, to such Guarantor addressed to it at 700 Milam, Suite 3100, Houston, Texas 77002 to the attention of the Corporate Secretary, or at any other address previously furnished in writing to the Trustee by the Guarantor.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Notice to Holders; Waiver</w:t>
      </w:r>
      <w:r>
        <w:rPr>
          <w:rFonts w:ascii="Arial" w:cs="Arial" w:eastAsia="Arial" w:hAnsi="Arial"/>
          <w:sz w:val="18"/>
          <w:szCs w:val="18"/>
          <w:color w:val="auto"/>
        </w:rPr>
        <w:t>.</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Where this Indenture provides for notice to Holders of any event, such notice shall be sufficiently given (unless otherwise herein expressly provided) if in writing and mailed, first-class postage prepaid, to each Holder affected by such event, at his address as it appears in the Security Register, not later than the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75" w:name="page76"/>
    <w:bookmarkEnd w:id="75"/>
    <w:p>
      <w:pPr>
        <w:jc w:val="both"/>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latest date, and not earlier than the earliest date, prescribed for the giving of such notice. In any case where notice to Holders is given by mail, neither the failure to mail such notice, nor any defect in any notice so mailed, to any particular Holder shall affect the sufficiency of such notice with respect to other Holders. Any notice mailed to a Holder in the manner herein prescribed shall be conclusively deemed to have been received by such Holder, regardless of whether such Holder actually receives such notice.</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w:t>
      </w:r>
    </w:p>
    <w:p>
      <w:pPr>
        <w:spacing w:after="0" w:line="9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If any provision hereof limits, qualifies or conflicts with a provision of the Trust Indenture Act that is required under such Act to be a part of and govern this Indenture, the latter provision shall control. If any provision of this Indenture modifies or excludes any provision of the Trust Indenture Act that may be so modified or excluded, the latter provision shall be deemed to apply to this Indenture as so modified or excluded, as the case may be.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Effect of Headings and Table of Contents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 and Section headings herein and the Table of Contents are for convenience only and shall not affect the construction hereof.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All covenants and agreements in this Indenture by each of the Company and the Guarantors shall bind their respective successors and assigns, whether so expressed or not.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Separability Clause</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case any provision in this Indenture or in the Securities or, if applicable, the Guarantee shall be invalid, illegal or unenforceable, the validity, legality and enforceability of the remaining provisions shall not in any way be affected or impaired thereby.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Nothing in this Indenture or in the Securities or, if applicable, the Guarantee, express or implied, shall give to any Person, other than the parties hereto and their successors hereunder and the Holders, any benefit or any legal or equitable right, remedy or claim under this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84"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THIS INDENTURE, THE SECURITIES AND THE GUARANTEE SHALL BE GOVERNED BY AND CONSTRUED IN ACCORDANCE WITH THE LAWS OF THE STATE OF NEW YORK.</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1.14. </w:t>
      </w:r>
      <w:r>
        <w:rPr>
          <w:rFonts w:ascii="Arial" w:cs="Arial" w:eastAsia="Arial" w:hAnsi="Arial"/>
          <w:sz w:val="18"/>
          <w:szCs w:val="18"/>
          <w:u w:val="single" w:color="auto"/>
          <w:color w:val="auto"/>
        </w:rPr>
        <w:t>Legal Holidays</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In any case where any Interest Payment Date, Redemption Date or Stated Maturity of any Security shall not be a Business Day at any Place of Payment, then (notwithstanding any other provision of this Indenture or of the Securities or, if applicable, the Guarantee (other than a provision of the Securities of any series or, if applicable, the Guarantee that specifically states that such provision shall apply in lieu of this Section 1.14)) payment of interest or principal and any premium need not be made at such Place of Payment on such date, but may be made on the next succeeding Business Day at such Place of Payment with the same force and effect as if made on the Interest Payment Date or Redemption Date, or at the Stated Maturity,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interest shall accrue for the period from and after such Interest Payment Date, Redemption Date or Stated Maturity, as the case may be.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Securities in a Composite Currency, Currency Unit or Foreign Currency</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Unless otherwise specified in an Officer’s Certificate delivered pursuant to Section 3.1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currency or currencies other than Dollars (including, but not limited to, any composite currency, currency units or Foreign Currency), then the principal amount of Securities of such series which shall be deemed to be Outstanding for the purpose of taking such action shall be that amount of Dollars that could be obtained for such amount at the Market Exchange Rate. For purposes of this Section 1.15, the term “Market Exchange Rate” shall mean the noon Dollar buying rate in The City of New York for cable transfers of such currency or currencies as published by the Federal Reserve Bank of New York, as of the most recent available date. If such Market Exchange Rate is not so available for any reason with respect to such currency, the Trustee shall use, in its sole discretion and without liability on its part, such quotation of the Federal Reserve Bank of New York as of the most recent available date, or quotations or rates of exchange from one or more major banks in The City of New York or in the country of issue of the currency in question, which for purposes of euros shall be Brussels, Belgium, or such other quotations or rates of exchange as the Trustee shall deem appropriate. The provisions of this paragraph shall apply in determining the equivalent principal amount in respect of Securities of a series denominated in a currency other than Dollars in connection with any action taken by Holders of Securities pursuant to the terms of this Indenture.</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All decisions and determinations of the Trustee regarding the Market Exchange Rate or any alternative determination provided for in the preceding paragraph shall be in its sole discretion and shall, in the absence of manifest error, be conclusive to the extent permitted by law for all purposes and irrevocably binding upon the Issuer and all 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Payment in Required Currency; Judgment Currency</w:t>
      </w:r>
      <w:r>
        <w:rPr>
          <w:rFonts w:ascii="Arial" w:cs="Arial" w:eastAsia="Arial" w:hAnsi="Arial"/>
          <w:sz w:val="18"/>
          <w:szCs w:val="18"/>
          <w:color w:val="auto"/>
        </w:rPr>
        <w:t>.</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Each of the Company and the Guarantors agrees, to the fullest extent that it may effectively do so under applicable law, that (a) if for the purpose of obtaining judgment in any court it is necessary to convert the sum due in respect of the principal of or interest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Banking Day, then, to the extent permitted by applicable law, the rate of exchange used shall be the rate at which in accordance with normal banking procedures the Trustee could purchase in The City of New York the Required Currency with the Judgment Currency on the Banking Day next preceding the day on which final unappealable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77" w:name="page78"/>
    <w:bookmarkEnd w:id="7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judgment is entered and (b) its obligations under this Indenture to make payments in the Required Currency (i) shall not be discharged or satisfied by any tender, or any recovery pursuant to any judgment (regardless of whether entered in accordance with subclause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1.17. </w:t>
      </w:r>
      <w:r>
        <w:rPr>
          <w:rFonts w:ascii="Arial" w:cs="Arial" w:eastAsia="Arial" w:hAnsi="Arial"/>
          <w:sz w:val="18"/>
          <w:szCs w:val="18"/>
          <w:u w:val="single" w:color="auto"/>
          <w:color w:val="auto"/>
        </w:rPr>
        <w:t>Language of Notices, Etc.</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Any request, demand, authorization, direction, notice, consent, waiver or Act required or permitted under this Indenture shall be in the English language, except that any published notice may be in an official language of the country of publication.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u w:val="single" w:color="auto"/>
          <w:color w:val="auto"/>
        </w:rPr>
        <w:t>Incorporators, Shareholders, Officers and Directors of the Company and the Guarantors Exempt from Individual Liability</w:t>
      </w:r>
      <w:r>
        <w:rPr>
          <w:rFonts w:ascii="Arial" w:cs="Arial" w:eastAsia="Arial" w:hAnsi="Arial"/>
          <w:sz w:val="18"/>
          <w:szCs w:val="18"/>
          <w:color w:val="auto"/>
        </w:rPr>
        <w:t>.</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No recourse under or upon any obligation, covenant or agreement of or contained in this Indenture or of or contained in any Security or, if applicable, the Guarantee, or for any claim based thereon or otherwise in respect thereof, or in any Security or, if applicable, the Guarantee, or because of the creation of any indebtedness represented thereby, shall be had against any incorporator, shareholder, member, officer, manager or director, as such, past, present or future, of the Company, any Guarantor or any successor Person, either directly or through the Company, any Guarantor or any successor Person, whether by virtue of any constitution, statute or rule of law, or by the enforcement of any assessment or penalty or otherwise, it being expressly understood that all such liability is hereby expressly waived and released as a condition of, and as a part of the consideration for, the execution of this Indenture and the issue of the Securities.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TWO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SECURITY FORMS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Forms Generally</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Securities of each series and, if applicable, the notation thereon relating to the Guarantee, shall be in substantially the form set forth in this Article Two, or in such other form or forms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executing such Securities and, if applicable, the Guarantee, as evidenced by their execution thereof.</w:t>
      </w:r>
    </w:p>
    <w:p>
      <w:pPr>
        <w:spacing w:after="0" w:line="11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definitive Securities shall be printed, lithographed or engraved on steel engraved borders or may be produced in any other manner, all as determined by the officers executing such Securities, as evidenced by their execution thereof. If the form of Securities of any series is established by action taken pursuant to a Board Resolution, a copy of an appropriate record of such action shall be certified by an authorized officer or other authorized person on behalf of the Company and delivered to the Trustee at or prior to the delivery of the Company Order contemplated by Section 3.3 for the authentication and delivery of such Securities.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78" w:name="page79"/>
    <w:bookmarkEnd w:id="78"/>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forms of Global Securities of any series shall have such provisions and legends as are customary for Securities of such series in global form, including without limitation any legend required by the Depositary for the Securities of such series.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Form of Face of Security</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 the Security is an Original Issue Discount Security, insert—</w:t>
      </w:r>
      <w:r>
        <w:rPr>
          <w:rFonts w:ascii="Arial" w:cs="Arial" w:eastAsia="Arial" w:hAnsi="Arial"/>
          <w:sz w:val="16"/>
          <w:szCs w:val="16"/>
          <w:color w:val="auto"/>
        </w:rPr>
        <w:t>FOR PURPOSES OF SECTION 1275 OF THE UNITED STATES INTERNAL REVENUE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80" w:type="dxa"/>
            <w:vAlign w:val="bottom"/>
            <w:gridSpan w:val="5"/>
          </w:tcPr>
          <w:p>
            <w:pPr>
              <w:spacing w:after="0"/>
              <w:rPr>
                <w:sz w:val="20"/>
                <w:szCs w:val="20"/>
                <w:color w:val="auto"/>
              </w:rPr>
            </w:pPr>
            <w:r>
              <w:rPr>
                <w:rFonts w:ascii="Arial" w:cs="Arial" w:eastAsia="Arial" w:hAnsi="Arial"/>
                <w:sz w:val="18"/>
                <w:szCs w:val="18"/>
                <w:color w:val="auto"/>
                <w:w w:val="94"/>
              </w:rPr>
              <w:t>CODE OF 1986, AS AMENDED, THE AMOUNT OF THE ORIGINAL ISSUE DISCOUNT IS</w:t>
            </w:r>
          </w:p>
        </w:tc>
        <w:tc>
          <w:tcPr>
            <w:tcW w:w="52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8"/>
                <w:szCs w:val="18"/>
                <w:color w:val="auto"/>
                <w:w w:val="93"/>
              </w:rPr>
              <w:t>, THE ISSUE DATE IS</w:t>
            </w: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auto"/>
              </w:rPr>
              <w:t>, 20   [AND] [,]</w:t>
            </w:r>
          </w:p>
        </w:tc>
      </w:tr>
      <w:tr>
        <w:trPr>
          <w:trHeight w:val="20"/>
        </w:trPr>
        <w:tc>
          <w:tcPr>
            <w:tcW w:w="2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380" w:type="dxa"/>
            <w:vAlign w:val="bottom"/>
          </w:tcPr>
          <w:p>
            <w:pPr>
              <w:spacing w:after="0" w:line="196" w:lineRule="exact"/>
              <w:rPr>
                <w:sz w:val="20"/>
                <w:szCs w:val="20"/>
                <w:color w:val="auto"/>
              </w:rPr>
            </w:pPr>
            <w:r>
              <w:rPr>
                <w:rFonts w:ascii="Arial" w:cs="Arial" w:eastAsia="Arial" w:hAnsi="Arial"/>
                <w:sz w:val="18"/>
                <w:szCs w:val="18"/>
                <w:color w:val="auto"/>
                <w:w w:val="97"/>
              </w:rPr>
              <w:t>THE YIELD TO MATURITY IS</w:t>
            </w:r>
          </w:p>
        </w:tc>
        <w:tc>
          <w:tcPr>
            <w:tcW w:w="540" w:type="dxa"/>
            <w:vAlign w:val="bottom"/>
            <w:tcBorders>
              <w:bottom w:val="single" w:sz="8" w:color="auto"/>
            </w:tcBorders>
          </w:tcPr>
          <w:p>
            <w:pPr>
              <w:spacing w:after="0"/>
              <w:rPr>
                <w:sz w:val="17"/>
                <w:szCs w:val="17"/>
                <w:color w:val="auto"/>
              </w:rPr>
            </w:pPr>
          </w:p>
        </w:tc>
        <w:tc>
          <w:tcPr>
            <w:tcW w:w="6600" w:type="dxa"/>
            <w:vAlign w:val="bottom"/>
            <w:gridSpan w:val="6"/>
          </w:tcPr>
          <w:p>
            <w:pPr>
              <w:ind w:left="40"/>
              <w:spacing w:after="0" w:line="196" w:lineRule="exact"/>
              <w:rPr>
                <w:sz w:val="20"/>
                <w:szCs w:val="20"/>
                <w:color w:val="auto"/>
              </w:rPr>
            </w:pPr>
            <w:r>
              <w:rPr>
                <w:rFonts w:ascii="Arial" w:cs="Arial" w:eastAsia="Arial" w:hAnsi="Arial"/>
                <w:sz w:val="18"/>
                <w:szCs w:val="18"/>
                <w:color w:val="auto"/>
                <w:w w:val="94"/>
              </w:rPr>
              <w:t>[,] [AND THE ORIGINAL ISSUE DISCOUNT FOR THE SHORT ACCRUAL PERIOD IS</w:t>
            </w: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AND THE</w:t>
            </w:r>
          </w:p>
        </w:tc>
      </w:tr>
      <w:tr>
        <w:trPr>
          <w:trHeight w:val="196"/>
        </w:trPr>
        <w:tc>
          <w:tcPr>
            <w:tcW w:w="4740" w:type="dxa"/>
            <w:vAlign w:val="bottom"/>
            <w:gridSpan w:val="3"/>
          </w:tcPr>
          <w:p>
            <w:pPr>
              <w:spacing w:after="0" w:line="196" w:lineRule="exact"/>
              <w:rPr>
                <w:sz w:val="20"/>
                <w:szCs w:val="20"/>
                <w:color w:val="auto"/>
              </w:rPr>
            </w:pPr>
            <w:r>
              <w:rPr>
                <w:rFonts w:ascii="Arial" w:cs="Arial" w:eastAsia="Arial" w:hAnsi="Arial"/>
                <w:sz w:val="18"/>
                <w:szCs w:val="18"/>
                <w:color w:val="auto"/>
                <w:w w:val="94"/>
              </w:rPr>
              <w:t>METHOD USED TO DETERMINE THE YIELD THEREFOR IS</w:t>
            </w:r>
          </w:p>
        </w:tc>
        <w:tc>
          <w:tcPr>
            <w:tcW w:w="520" w:type="dxa"/>
            <w:vAlign w:val="bottom"/>
            <w:tcBorders>
              <w:bottom w:val="single" w:sz="8" w:color="auto"/>
            </w:tcBorders>
          </w:tcPr>
          <w:p>
            <w:pPr>
              <w:spacing w:after="0"/>
              <w:rPr>
                <w:sz w:val="17"/>
                <w:szCs w:val="17"/>
                <w:color w:val="auto"/>
              </w:rPr>
            </w:pPr>
          </w:p>
        </w:tc>
        <w:tc>
          <w:tcPr>
            <w:tcW w:w="1620" w:type="dxa"/>
            <w:vAlign w:val="bottom"/>
          </w:tcPr>
          <w:p>
            <w:pPr>
              <w:jc w:val="right"/>
              <w:ind w:right="1412"/>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[Insert any other legend required by the Code or the regulations thereunder.]</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 a Global Security,—insert legend required by Section 204 of the Indentur</w:t>
      </w:r>
      <w:r>
        <w:rPr>
          <w:rFonts w:ascii="Arial" w:cs="Arial" w:eastAsia="Arial" w:hAnsi="Arial"/>
          <w:sz w:val="16"/>
          <w:szCs w:val="16"/>
          <w:color w:val="auto"/>
        </w:rPr>
        <w:t>e] [</w:t>
      </w:r>
      <w:r>
        <w:rPr>
          <w:rFonts w:ascii="Arial" w:cs="Arial" w:eastAsia="Arial" w:hAnsi="Arial"/>
          <w:sz w:val="16"/>
          <w:szCs w:val="16"/>
          <w:i w:val="1"/>
          <w:iCs w:val="1"/>
          <w:color w:val="auto"/>
        </w:rPr>
        <w:t>If applicable, insert —</w:t>
      </w:r>
      <w:r>
        <w:rPr>
          <w:rFonts w:ascii="Arial" w:cs="Arial" w:eastAsia="Arial" w:hAnsi="Arial"/>
          <w:sz w:val="16"/>
          <w:szCs w:val="16"/>
          <w:color w:val="auto"/>
        </w:rPr>
        <w:t>UNLESS THIS SECURITY IS PRESENTED BY AN AUTHORIZED REPRESENTATIVE OF THE DEPOSITORY TRUST COMPANY, A NEW YORK CORPORATION, TO THE COMPANY OR ITS AGENT FOR REGISTRATION OF TRANSFER, EXCHANGE OR PAYMENT, AND ANY SECURITY ISSUED IS REGISTERED IN THE NAME OF CEDE &amp; CO. OR SUCH OTHER NAME AS IS REQUESTED BY AN AUTHORIZED REPRESENTATIVE OF THE DEPOSITORY TRUST COMPANY (AND ANY PAYMENT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520" w:type="dxa"/>
            <w:vAlign w:val="bottom"/>
            <w:gridSpan w:val="2"/>
          </w:tcPr>
          <w:p>
            <w:pPr>
              <w:ind w:left="1940"/>
              <w:spacing w:after="0"/>
              <w:rPr>
                <w:sz w:val="20"/>
                <w:szCs w:val="20"/>
                <w:color w:val="auto"/>
              </w:rPr>
            </w:pPr>
            <w:r>
              <w:rPr>
                <w:rFonts w:ascii="Arial" w:cs="Arial" w:eastAsia="Arial" w:hAnsi="Arial"/>
                <w:sz w:val="18"/>
                <w:szCs w:val="18"/>
                <w:color w:val="auto"/>
              </w:rPr>
              <w:t>ACTIVE POWER, INC.</w:t>
            </w:r>
          </w:p>
        </w:tc>
      </w:tr>
      <w:tr>
        <w:trPr>
          <w:trHeight w:val="378"/>
        </w:trPr>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520" w:type="dxa"/>
            <w:vAlign w:val="bottom"/>
            <w:gridSpan w:val="2"/>
          </w:tcPr>
          <w:p>
            <w:pPr>
              <w:ind w:left="1920"/>
              <w:spacing w:after="0"/>
              <w:rPr>
                <w:sz w:val="20"/>
                <w:szCs w:val="20"/>
                <w:color w:val="auto"/>
              </w:rPr>
            </w:pPr>
            <w:r>
              <w:rPr>
                <w:rFonts w:ascii="Arial" w:cs="Arial" w:eastAsia="Arial" w:hAnsi="Arial"/>
                <w:sz w:val="18"/>
                <w:szCs w:val="18"/>
                <w:color w:val="auto"/>
              </w:rPr>
              <w:t>[TITLE OF SECURITY]</w:t>
            </w:r>
          </w:p>
        </w:tc>
      </w:tr>
      <w:tr>
        <w:trPr>
          <w:trHeight w:val="380"/>
        </w:trPr>
        <w:tc>
          <w:tcPr>
            <w:tcW w:w="260" w:type="dxa"/>
            <w:vAlign w:val="bottom"/>
          </w:tcPr>
          <w:p>
            <w:pPr>
              <w:spacing w:after="0"/>
              <w:rPr>
                <w:sz w:val="20"/>
                <w:szCs w:val="20"/>
                <w:color w:val="auto"/>
              </w:rPr>
            </w:pPr>
            <w:r>
              <w:rPr>
                <w:rFonts w:ascii="Arial" w:cs="Arial" w:eastAsia="Arial" w:hAnsi="Arial"/>
                <w:sz w:val="18"/>
                <w:szCs w:val="18"/>
                <w:color w:val="auto"/>
              </w:rPr>
              <w:t>No</w:t>
            </w:r>
          </w:p>
        </w:tc>
        <w:tc>
          <w:tcPr>
            <w:tcW w:w="540" w:type="dxa"/>
            <w:vAlign w:val="bottom"/>
            <w:tcBorders>
              <w:bottom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8000" w:type="dxa"/>
            <w:vAlign w:val="bottom"/>
          </w:tcPr>
          <w:p>
            <w:pPr>
              <w:ind w:left="7540"/>
              <w:spacing w:after="0"/>
              <w:rPr>
                <w:sz w:val="20"/>
                <w:szCs w:val="20"/>
                <w:color w:val="auto"/>
              </w:rPr>
            </w:pPr>
            <w:r>
              <w:rPr>
                <w:rFonts w:ascii="Arial" w:cs="Arial" w:eastAsia="Arial" w:hAnsi="Arial"/>
                <w:sz w:val="18"/>
                <w:szCs w:val="18"/>
                <w:color w:val="auto"/>
                <w:w w:val="87"/>
              </w:rPr>
              <w:t>U.S. $</w:t>
            </w:r>
          </w:p>
        </w:tc>
        <w:tc>
          <w:tcPr>
            <w:tcW w:w="520" w:type="dxa"/>
            <w:vAlign w:val="bottom"/>
            <w:tcBorders>
              <w:bottom w:val="single" w:sz="8" w:color="auto"/>
            </w:tcBorders>
          </w:tcPr>
          <w:p>
            <w:pPr>
              <w:spacing w:after="0"/>
              <w:rPr>
                <w:sz w:val="24"/>
                <w:szCs w:val="24"/>
                <w:color w:val="auto"/>
              </w:rPr>
            </w:pPr>
          </w:p>
        </w:tc>
      </w:tr>
      <w:tr>
        <w:trPr>
          <w:trHeight w:val="397"/>
        </w:trPr>
        <w:tc>
          <w:tcPr>
            <w:tcW w:w="2900" w:type="dxa"/>
            <w:vAlign w:val="bottom"/>
            <w:gridSpan w:val="3"/>
          </w:tcPr>
          <w:p>
            <w:pPr>
              <w:ind w:left="20"/>
              <w:spacing w:after="0"/>
              <w:rPr>
                <w:sz w:val="20"/>
                <w:szCs w:val="20"/>
                <w:color w:val="auto"/>
              </w:rPr>
            </w:pPr>
            <w:r>
              <w:rPr>
                <w:rFonts w:ascii="Arial" w:cs="Arial" w:eastAsia="Arial" w:hAnsi="Arial"/>
                <w:sz w:val="18"/>
                <w:szCs w:val="18"/>
                <w:color w:val="auto"/>
              </w:rPr>
              <w:t>[CUSIP No. ]</w:t>
            </w:r>
          </w:p>
        </w:tc>
        <w:tc>
          <w:tcPr>
            <w:tcW w:w="80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ACTIVE POWER, INC., a company duly incorporated under the laws of the State of Delaware (herein called the “Company”, which term includes any successor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00" w:type="dxa"/>
            <w:vAlign w:val="bottom"/>
            <w:gridSpan w:val="12"/>
          </w:tcPr>
          <w:p>
            <w:pPr>
              <w:spacing w:after="0"/>
              <w:rPr>
                <w:sz w:val="20"/>
                <w:szCs w:val="20"/>
                <w:color w:val="auto"/>
              </w:rPr>
            </w:pPr>
            <w:r>
              <w:rPr>
                <w:rFonts w:ascii="Arial" w:cs="Arial" w:eastAsia="Arial" w:hAnsi="Arial"/>
                <w:sz w:val="18"/>
                <w:szCs w:val="18"/>
                <w:color w:val="auto"/>
                <w:w w:val="88"/>
              </w:rPr>
              <w:t>or resulting Person under the Indenture hereinafter referred to), for value received, hereby promises to pay to</w:t>
            </w:r>
          </w:p>
        </w:tc>
        <w:tc>
          <w:tcPr>
            <w:tcW w:w="1760" w:type="dxa"/>
            <w:vAlign w:val="bottom"/>
            <w:tcBorders>
              <w:bottom w:val="single" w:sz="8" w:color="auto"/>
            </w:tcBorders>
          </w:tcPr>
          <w:p>
            <w:pPr>
              <w:spacing w:after="0"/>
              <w:rPr>
                <w:sz w:val="17"/>
                <w:szCs w:val="17"/>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w w:val="84"/>
              </w:rPr>
              <w:t>, or registered assigns, the</w:t>
            </w:r>
          </w:p>
        </w:tc>
      </w:tr>
      <w:tr>
        <w:trPr>
          <w:trHeight w:val="196"/>
        </w:trPr>
        <w:tc>
          <w:tcPr>
            <w:tcW w:w="1200" w:type="dxa"/>
            <w:vAlign w:val="bottom"/>
            <w:gridSpan w:val="3"/>
          </w:tcPr>
          <w:p>
            <w:pPr>
              <w:spacing w:after="0" w:line="196" w:lineRule="exact"/>
              <w:rPr>
                <w:sz w:val="20"/>
                <w:szCs w:val="20"/>
                <w:color w:val="auto"/>
              </w:rPr>
            </w:pPr>
            <w:r>
              <w:rPr>
                <w:rFonts w:ascii="Arial" w:cs="Arial" w:eastAsia="Arial" w:hAnsi="Arial"/>
                <w:sz w:val="18"/>
                <w:szCs w:val="18"/>
                <w:color w:val="auto"/>
                <w:w w:val="93"/>
              </w:rPr>
              <w:t>principal sum of</w:t>
            </w:r>
          </w:p>
        </w:tc>
        <w:tc>
          <w:tcPr>
            <w:tcW w:w="6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gridSpan w:val="3"/>
          </w:tcPr>
          <w:p>
            <w:pPr>
              <w:ind w:left="20"/>
              <w:spacing w:after="0" w:line="196" w:lineRule="exact"/>
              <w:rPr>
                <w:sz w:val="20"/>
                <w:szCs w:val="20"/>
                <w:color w:val="auto"/>
              </w:rPr>
            </w:pPr>
            <w:r>
              <w:rPr>
                <w:rFonts w:ascii="Arial" w:cs="Arial" w:eastAsia="Arial" w:hAnsi="Arial"/>
                <w:sz w:val="18"/>
                <w:szCs w:val="18"/>
                <w:color w:val="auto"/>
                <w:w w:val="89"/>
              </w:rPr>
              <w:t>United States Dollars on</w:t>
            </w:r>
          </w:p>
        </w:tc>
        <w:tc>
          <w:tcPr>
            <w:tcW w:w="880" w:type="dxa"/>
            <w:vAlign w:val="bottom"/>
            <w:tcBorders>
              <w:bottom w:val="single" w:sz="8" w:color="auto"/>
            </w:tcBorders>
          </w:tcPr>
          <w:p>
            <w:pPr>
              <w:spacing w:after="0"/>
              <w:rPr>
                <w:sz w:val="17"/>
                <w:szCs w:val="17"/>
                <w:color w:val="auto"/>
              </w:rPr>
            </w:pPr>
          </w:p>
        </w:tc>
        <w:tc>
          <w:tcPr>
            <w:tcW w:w="5640" w:type="dxa"/>
            <w:vAlign w:val="bottom"/>
            <w:gridSpan w:val="5"/>
          </w:tcPr>
          <w:p>
            <w:pPr>
              <w:ind w:left="40"/>
              <w:spacing w:after="0" w:line="196" w:lineRule="exact"/>
              <w:rPr>
                <w:sz w:val="20"/>
                <w:szCs w:val="20"/>
                <w:color w:val="auto"/>
              </w:rPr>
            </w:pPr>
            <w:r>
              <w:rPr>
                <w:rFonts w:ascii="Arial" w:cs="Arial" w:eastAsia="Arial" w:hAnsi="Arial"/>
                <w:sz w:val="18"/>
                <w:szCs w:val="18"/>
                <w:color w:val="auto"/>
                <w:w w:val="90"/>
              </w:rPr>
              <w:t>[</w:t>
            </w:r>
            <w:r>
              <w:rPr>
                <w:rFonts w:ascii="Arial" w:cs="Arial" w:eastAsia="Arial" w:hAnsi="Arial"/>
                <w:sz w:val="18"/>
                <w:szCs w:val="18"/>
                <w:i w:val="1"/>
                <w:iCs w:val="1"/>
                <w:color w:val="auto"/>
                <w:w w:val="90"/>
              </w:rPr>
              <w:t>If the Security is to bear interest prior to Maturity, insert—</w:t>
            </w:r>
            <w:r>
              <w:rPr>
                <w:rFonts w:ascii="Arial" w:cs="Arial" w:eastAsia="Arial" w:hAnsi="Arial"/>
                <w:sz w:val="18"/>
                <w:szCs w:val="18"/>
                <w:color w:val="auto"/>
                <w:w w:val="90"/>
              </w:rPr>
              <w:t>, and to pay interest</w:t>
            </w: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w w:val="92"/>
              </w:rPr>
              <w:t>thereon from</w:t>
            </w:r>
          </w:p>
        </w:tc>
        <w:tc>
          <w:tcPr>
            <w:tcW w:w="880" w:type="dxa"/>
            <w:vAlign w:val="bottom"/>
            <w:tcBorders>
              <w:bottom w:val="single" w:sz="8" w:color="auto"/>
            </w:tcBorders>
            <w:gridSpan w:val="2"/>
          </w:tcPr>
          <w:p>
            <w:pPr>
              <w:spacing w:after="0"/>
              <w:rPr>
                <w:sz w:val="17"/>
                <w:szCs w:val="17"/>
                <w:color w:val="auto"/>
              </w:rPr>
            </w:pPr>
          </w:p>
        </w:tc>
        <w:tc>
          <w:tcPr>
            <w:tcW w:w="8320" w:type="dxa"/>
            <w:vAlign w:val="bottom"/>
            <w:gridSpan w:val="10"/>
          </w:tcPr>
          <w:p>
            <w:pPr>
              <w:ind w:left="40"/>
              <w:spacing w:after="0" w:line="196" w:lineRule="exact"/>
              <w:rPr>
                <w:sz w:val="20"/>
                <w:szCs w:val="20"/>
                <w:color w:val="auto"/>
              </w:rPr>
            </w:pPr>
            <w:r>
              <w:rPr>
                <w:rFonts w:ascii="Arial" w:cs="Arial" w:eastAsia="Arial" w:hAnsi="Arial"/>
                <w:sz w:val="18"/>
                <w:szCs w:val="18"/>
                <w:color w:val="auto"/>
                <w:w w:val="88"/>
              </w:rPr>
              <w:t>or from the most recent Interest Payment Date to which interest has been paid or duly provided for, semi-annually on</w:t>
            </w:r>
          </w:p>
        </w:tc>
        <w:tc>
          <w:tcPr>
            <w:tcW w:w="520" w:type="dxa"/>
            <w:vAlign w:val="bottom"/>
            <w:tcBorders>
              <w:bottom w:val="single" w:sz="8" w:color="auto"/>
            </w:tcBorders>
          </w:tcPr>
          <w:p>
            <w:pPr>
              <w:spacing w:after="0"/>
              <w:rPr>
                <w:sz w:val="17"/>
                <w:szCs w:val="17"/>
                <w:color w:val="auto"/>
              </w:rPr>
            </w:pPr>
          </w:p>
        </w:tc>
        <w:tc>
          <w:tcPr>
            <w:tcW w:w="600" w:type="dxa"/>
            <w:vAlign w:val="bottom"/>
          </w:tcPr>
          <w:p>
            <w:pPr>
              <w:ind w:left="40"/>
              <w:spacing w:after="0" w:line="196" w:lineRule="exact"/>
              <w:rPr>
                <w:sz w:val="20"/>
                <w:szCs w:val="20"/>
                <w:color w:val="auto"/>
              </w:rPr>
            </w:pPr>
            <w:r>
              <w:rPr>
                <w:rFonts w:ascii="Arial" w:cs="Arial" w:eastAsia="Arial" w:hAnsi="Arial"/>
                <w:sz w:val="18"/>
                <w:szCs w:val="18"/>
                <w:color w:val="auto"/>
              </w:rPr>
              <w:t>and</w:t>
            </w:r>
          </w:p>
        </w:tc>
      </w:tr>
      <w:tr>
        <w:trPr>
          <w:trHeight w:val="196"/>
        </w:trPr>
        <w:tc>
          <w:tcPr>
            <w:tcW w:w="540" w:type="dxa"/>
            <w:vAlign w:val="bottom"/>
            <w:tcBorders>
              <w:bottom w:val="single" w:sz="8" w:color="auto"/>
            </w:tcBorders>
          </w:tcPr>
          <w:p>
            <w:pPr>
              <w:spacing w:after="0"/>
              <w:rPr>
                <w:sz w:val="17"/>
                <w:szCs w:val="17"/>
                <w:color w:val="auto"/>
              </w:rPr>
            </w:pPr>
          </w:p>
        </w:tc>
        <w:tc>
          <w:tcPr>
            <w:tcW w:w="1920" w:type="dxa"/>
            <w:vAlign w:val="bottom"/>
            <w:gridSpan w:val="4"/>
          </w:tcPr>
          <w:p>
            <w:pPr>
              <w:ind w:left="40"/>
              <w:spacing w:after="0" w:line="196" w:lineRule="exact"/>
              <w:rPr>
                <w:sz w:val="20"/>
                <w:szCs w:val="20"/>
                <w:color w:val="auto"/>
              </w:rPr>
            </w:pPr>
            <w:r>
              <w:rPr>
                <w:rFonts w:ascii="Arial" w:cs="Arial" w:eastAsia="Arial" w:hAnsi="Arial"/>
                <w:sz w:val="18"/>
                <w:szCs w:val="18"/>
                <w:color w:val="auto"/>
                <w:w w:val="88"/>
              </w:rPr>
              <w:t>in each year, commencing</w:t>
            </w:r>
          </w:p>
        </w:tc>
        <w:tc>
          <w:tcPr>
            <w:tcW w:w="5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20" w:type="dxa"/>
            <w:vAlign w:val="bottom"/>
          </w:tcPr>
          <w:p>
            <w:pPr>
              <w:spacing w:after="0" w:line="196" w:lineRule="exact"/>
              <w:rPr>
                <w:sz w:val="20"/>
                <w:szCs w:val="20"/>
                <w:color w:val="auto"/>
              </w:rPr>
            </w:pPr>
            <w:r>
              <w:rPr>
                <w:rFonts w:ascii="Arial" w:cs="Arial" w:eastAsia="Arial" w:hAnsi="Arial"/>
                <w:sz w:val="18"/>
                <w:szCs w:val="18"/>
                <w:color w:val="auto"/>
                <w:w w:val="89"/>
              </w:rPr>
              <w:t>, at the rate of</w:t>
            </w:r>
          </w:p>
        </w:tc>
        <w:tc>
          <w:tcPr>
            <w:tcW w:w="520" w:type="dxa"/>
            <w:vAlign w:val="bottom"/>
            <w:tcBorders>
              <w:bottom w:val="single" w:sz="8" w:color="auto"/>
            </w:tcBorders>
          </w:tcPr>
          <w:p>
            <w:pPr>
              <w:spacing w:after="0"/>
              <w:rPr>
                <w:sz w:val="17"/>
                <w:szCs w:val="17"/>
                <w:color w:val="auto"/>
              </w:rPr>
            </w:pPr>
          </w:p>
        </w:tc>
        <w:tc>
          <w:tcPr>
            <w:tcW w:w="6760" w:type="dxa"/>
            <w:vAlign w:val="bottom"/>
            <w:gridSpan w:val="7"/>
          </w:tcPr>
          <w:p>
            <w:pPr>
              <w:spacing w:after="0" w:line="196" w:lineRule="exact"/>
              <w:rPr>
                <w:sz w:val="20"/>
                <w:szCs w:val="20"/>
                <w:color w:val="auto"/>
              </w:rPr>
            </w:pPr>
            <w:r>
              <w:rPr>
                <w:rFonts w:ascii="Arial" w:cs="Arial" w:eastAsia="Arial" w:hAnsi="Arial"/>
                <w:sz w:val="18"/>
                <w:szCs w:val="18"/>
                <w:color w:val="auto"/>
                <w:w w:val="93"/>
              </w:rPr>
              <w:t>% per annum, until the principal hereof is paid or made available for payment [</w:t>
            </w:r>
            <w:r>
              <w:rPr>
                <w:rFonts w:ascii="Arial" w:cs="Arial" w:eastAsia="Arial" w:hAnsi="Arial"/>
                <w:sz w:val="18"/>
                <w:szCs w:val="18"/>
                <w:i w:val="1"/>
                <w:iCs w:val="1"/>
                <w:color w:val="auto"/>
                <w:w w:val="93"/>
              </w:rPr>
              <w:t>if applicable,</w:t>
            </w:r>
          </w:p>
        </w:tc>
      </w:tr>
      <w:tr>
        <w:trPr>
          <w:trHeight w:val="235"/>
        </w:trPr>
        <w:tc>
          <w:tcPr>
            <w:tcW w:w="1840" w:type="dxa"/>
            <w:vAlign w:val="bottom"/>
            <w:gridSpan w:val="4"/>
          </w:tcPr>
          <w:p>
            <w:pPr>
              <w:spacing w:after="0"/>
              <w:rPr>
                <w:sz w:val="20"/>
                <w:szCs w:val="20"/>
                <w:color w:val="auto"/>
              </w:rPr>
            </w:pPr>
            <w:r>
              <w:rPr>
                <w:rFonts w:ascii="Arial" w:cs="Arial" w:eastAsia="Arial" w:hAnsi="Arial"/>
                <w:sz w:val="18"/>
                <w:szCs w:val="18"/>
                <w:i w:val="1"/>
                <w:iCs w:val="1"/>
                <w:color w:val="auto"/>
                <w:w w:val="87"/>
              </w:rPr>
              <w:t>insert—</w:t>
            </w:r>
            <w:r>
              <w:rPr>
                <w:rFonts w:ascii="Arial" w:cs="Arial" w:eastAsia="Arial" w:hAnsi="Arial"/>
                <w:sz w:val="18"/>
                <w:szCs w:val="18"/>
                <w:color w:val="auto"/>
                <w:w w:val="87"/>
              </w:rPr>
              <w:t>, and at the rate of</w:t>
            </w:r>
          </w:p>
        </w:tc>
        <w:tc>
          <w:tcPr>
            <w:tcW w:w="9440" w:type="dxa"/>
            <w:vAlign w:val="bottom"/>
            <w:gridSpan w:val="12"/>
          </w:tcPr>
          <w:p>
            <w:pPr>
              <w:ind w:left="560"/>
              <w:spacing w:after="0"/>
              <w:rPr>
                <w:sz w:val="20"/>
                <w:szCs w:val="20"/>
                <w:color w:val="auto"/>
              </w:rPr>
            </w:pPr>
            <w:r>
              <w:rPr>
                <w:rFonts w:ascii="Arial" w:cs="Arial" w:eastAsia="Arial" w:hAnsi="Arial"/>
                <w:sz w:val="18"/>
                <w:szCs w:val="18"/>
                <w:color w:val="auto"/>
                <w:w w:val="88"/>
              </w:rPr>
              <w:t>% per annum on any overdue principal and premium and on any installment of interest (to the extent that the payment of such</w:t>
            </w:r>
          </w:p>
        </w:tc>
      </w:tr>
    </w:tbl>
    <w:p>
      <w:pPr>
        <w:jc w:val="both"/>
        <w:ind w:right="140"/>
        <w:spacing w:after="0" w:line="300" w:lineRule="auto"/>
        <w:rPr>
          <w:sz w:val="20"/>
          <w:szCs w:val="20"/>
          <w:color w:val="auto"/>
        </w:rPr>
      </w:pPr>
      <w:r>
        <w:rPr>
          <w:rFonts w:ascii="Arial" w:cs="Arial" w:eastAsia="Arial" w:hAnsi="Arial"/>
          <w:sz w:val="15"/>
          <w:szCs w:val="15"/>
          <w:color w:val="auto"/>
        </w:rPr>
        <w:t>interest shall be legally enforceable)]. The interest so payable, and punctually paid or duly provided for, on any Interest Payment Date will, as provided in such Indenture, be paid to the Person in whose name this Security (or one or more Predecessor Securities) is registered at the close of business on the Regular Record</w:t>
      </w:r>
    </w:p>
    <w:p>
      <w:pPr>
        <w:spacing w:after="0" w:line="1" w:lineRule="exact"/>
        <w:rPr>
          <w:sz w:val="20"/>
          <w:szCs w:val="20"/>
          <w:color w:val="auto"/>
        </w:rPr>
      </w:pPr>
    </w:p>
    <w:p>
      <w:pPr>
        <w:spacing w:after="0"/>
        <w:tabs>
          <w:tab w:leader="none" w:pos="3460" w:val="left"/>
          <w:tab w:leader="none" w:pos="4240" w:val="left"/>
        </w:tabs>
        <w:rPr>
          <w:sz w:val="20"/>
          <w:szCs w:val="20"/>
          <w:color w:val="auto"/>
        </w:rPr>
      </w:pPr>
      <w:r>
        <w:rPr>
          <w:rFonts w:ascii="Arial" w:cs="Arial" w:eastAsia="Arial" w:hAnsi="Arial"/>
          <w:sz w:val="18"/>
          <w:szCs w:val="18"/>
          <w:color w:val="auto"/>
        </w:rPr>
        <w:t>Date for such interest, which shall be the</w:t>
      </w:r>
      <w:r>
        <w:rPr>
          <w:sz w:val="20"/>
          <w:szCs w:val="20"/>
          <w:color w:val="auto"/>
        </w:rPr>
        <w:tab/>
      </w:r>
      <w:r>
        <w:rPr>
          <w:rFonts w:ascii="Arial" w:cs="Arial" w:eastAsia="Arial" w:hAnsi="Arial"/>
          <w:sz w:val="18"/>
          <w:szCs w:val="18"/>
          <w:color w:val="auto"/>
        </w:rPr>
        <w:t>or</w:t>
      </w:r>
      <w:r>
        <w:rPr>
          <w:sz w:val="20"/>
          <w:szCs w:val="20"/>
          <w:color w:val="auto"/>
        </w:rPr>
        <w:tab/>
      </w:r>
      <w:r>
        <w:rPr>
          <w:rFonts w:ascii="Arial" w:cs="Arial" w:eastAsia="Arial" w:hAnsi="Arial"/>
          <w:sz w:val="15"/>
          <w:szCs w:val="15"/>
          <w:color w:val="auto"/>
        </w:rPr>
        <w:t>(regardless of whether a Business Day), as the case may be, next preceding such Interest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1853565</wp:posOffset>
            </wp:positionH>
            <wp:positionV relativeFrom="paragraph">
              <wp:posOffset>-17780</wp:posOffset>
            </wp:positionV>
            <wp:extent cx="8172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ind w:right="120"/>
        <w:spacing w:after="0" w:line="261" w:lineRule="auto"/>
        <w:rPr>
          <w:sz w:val="20"/>
          <w:szCs w:val="20"/>
          <w:color w:val="auto"/>
        </w:rPr>
      </w:pPr>
      <w:r>
        <w:rPr>
          <w:rFonts w:ascii="Arial" w:cs="Arial" w:eastAsia="Arial" w:hAnsi="Arial"/>
          <w:sz w:val="18"/>
          <w:szCs w:val="18"/>
          <w:color w:val="auto"/>
        </w:rPr>
        <w:t>Date. Any such interest not so punctually paid or duly provided for will forthwith cease to be payable to the Holder on such Regular Record Date and may either be paid to the Person in whose name this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79" w:name="page80"/>
    <w:bookmarkEnd w:id="79"/>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1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 the Security is not to bear interest prior to Maturity, insert—</w:t>
      </w:r>
      <w:r>
        <w:rPr>
          <w:rFonts w:ascii="Arial" w:cs="Arial" w:eastAsia="Arial" w:hAnsi="Arial"/>
          <w:sz w:val="16"/>
          <w:szCs w:val="16"/>
          <w:color w:val="auto"/>
        </w:rPr>
        <w:t>The principal of this Security shall not bear interest except in the case of a default in payment of principal upon acceleration, upon redemption or at Stated Maturity and in such case the overdue principal of this Security shall bear interest at the rate of</w:t>
      </w:r>
    </w:p>
    <w:p>
      <w:pPr>
        <w:ind w:right="100" w:firstLine="535"/>
        <w:spacing w:after="0" w:line="300" w:lineRule="auto"/>
        <w:tabs>
          <w:tab w:leader="none" w:pos="717" w:val="left"/>
        </w:tabs>
        <w:numPr>
          <w:ilvl w:val="0"/>
          <w:numId w:val="55"/>
        </w:numPr>
        <w:rPr>
          <w:rFonts w:ascii="Arial" w:cs="Arial" w:eastAsia="Arial" w:hAnsi="Arial"/>
          <w:sz w:val="15"/>
          <w:szCs w:val="15"/>
          <w:color w:val="auto"/>
        </w:rPr>
      </w:pPr>
      <w:r>
        <w:rPr>
          <w:rFonts w:ascii="Arial" w:cs="Arial" w:eastAsia="Arial" w:hAnsi="Arial"/>
          <w:sz w:val="15"/>
          <w:szCs w:val="15"/>
          <w:color w:val="auto"/>
        </w:rPr>
        <w:t>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 Any such interest on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33464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tabs>
          <w:tab w:leader="none" w:pos="6100" w:val="left"/>
        </w:tabs>
        <w:rPr>
          <w:sz w:val="20"/>
          <w:szCs w:val="20"/>
          <w:color w:val="auto"/>
        </w:rPr>
      </w:pPr>
      <w:r>
        <w:rPr>
          <w:rFonts w:ascii="Arial" w:cs="Arial" w:eastAsia="Arial" w:hAnsi="Arial"/>
          <w:sz w:val="18"/>
          <w:szCs w:val="18"/>
          <w:color w:val="auto"/>
        </w:rPr>
        <w:t>overdue principal that is not so paid on demand shall bear interest at the rate of</w:t>
      </w:r>
      <w:r>
        <w:rPr>
          <w:sz w:val="20"/>
          <w:szCs w:val="20"/>
          <w:color w:val="auto"/>
        </w:rPr>
        <w:tab/>
      </w:r>
      <w:r>
        <w:rPr>
          <w:rFonts w:ascii="Arial" w:cs="Arial" w:eastAsia="Arial" w:hAnsi="Arial"/>
          <w:sz w:val="15"/>
          <w:szCs w:val="15"/>
          <w:color w:val="auto"/>
        </w:rPr>
        <w:t>% per annum (to the extent that the payment of such interest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3552825</wp:posOffset>
            </wp:positionH>
            <wp:positionV relativeFrom="paragraph">
              <wp:posOffset>-17780</wp:posOffset>
            </wp:positionV>
            <wp:extent cx="3346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right="140"/>
        <w:spacing w:after="0" w:line="261" w:lineRule="auto"/>
        <w:rPr>
          <w:sz w:val="20"/>
          <w:szCs w:val="20"/>
          <w:color w:val="auto"/>
        </w:rPr>
      </w:pPr>
      <w:r>
        <w:rPr>
          <w:rFonts w:ascii="Arial" w:cs="Arial" w:eastAsia="Arial" w:hAnsi="Arial"/>
          <w:sz w:val="18"/>
          <w:szCs w:val="18"/>
          <w:color w:val="auto"/>
        </w:rPr>
        <w:t>legally enforceable), which shall accrue from the date of such demand for payment to the date payment of such interest has been made or duly provided for, and such interest shall also be payable on demand.]</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 a Global Security, insert—</w:t>
      </w:r>
      <w:r>
        <w:rPr>
          <w:rFonts w:ascii="Arial" w:cs="Arial" w:eastAsia="Arial" w:hAnsi="Arial"/>
          <w:sz w:val="16"/>
          <w:szCs w:val="16"/>
          <w:color w:val="auto"/>
        </w:rPr>
        <w:t>Payment of the principal of (and premium, if any) and [</w:t>
      </w:r>
      <w:r>
        <w:rPr>
          <w:rFonts w:ascii="Arial" w:cs="Arial" w:eastAsia="Arial" w:hAnsi="Arial"/>
          <w:sz w:val="16"/>
          <w:szCs w:val="16"/>
          <w:i w:val="1"/>
          <w:iCs w:val="1"/>
          <w:color w:val="auto"/>
        </w:rPr>
        <w:t>if applicable, insert—any such</w:t>
      </w:r>
      <w:r>
        <w:rPr>
          <w:rFonts w:ascii="Arial" w:cs="Arial" w:eastAsia="Arial" w:hAnsi="Arial"/>
          <w:sz w:val="16"/>
          <w:szCs w:val="16"/>
          <w:color w:val="auto"/>
        </w:rPr>
        <w:t>] interest on this Security will be made by</w:t>
      </w:r>
    </w:p>
    <w:p>
      <w:pPr>
        <w:spacing w:after="0" w:line="3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transfer of immediately available funds to a bank account in designated by the Holder in such coin or currency of the United States of America as at the time of payment is legal tender for payment of public and private debts [state other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2710815</wp:posOffset>
            </wp:positionH>
            <wp:positionV relativeFrom="paragraph">
              <wp:posOffset>-172720</wp:posOffset>
            </wp:positionV>
            <wp:extent cx="55753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 a Definitive Security, insert—</w:t>
      </w:r>
      <w:r>
        <w:rPr>
          <w:rFonts w:ascii="Arial" w:cs="Arial" w:eastAsia="Arial" w:hAnsi="Arial"/>
          <w:sz w:val="16"/>
          <w:szCs w:val="16"/>
          <w:color w:val="auto"/>
        </w:rPr>
        <w:t>Payment of the principal of (and premium, if any) and [</w:t>
      </w:r>
      <w:r>
        <w:rPr>
          <w:rFonts w:ascii="Arial" w:cs="Arial" w:eastAsia="Arial" w:hAnsi="Arial"/>
          <w:sz w:val="16"/>
          <w:szCs w:val="16"/>
          <w:i w:val="1"/>
          <w:iCs w:val="1"/>
          <w:color w:val="auto"/>
        </w:rPr>
        <w:t>if applicable, insert—</w:t>
      </w:r>
      <w:r>
        <w:rPr>
          <w:rFonts w:ascii="Arial" w:cs="Arial" w:eastAsia="Arial" w:hAnsi="Arial"/>
          <w:sz w:val="16"/>
          <w:szCs w:val="16"/>
          <w:color w:val="auto"/>
        </w:rPr>
        <w:t>any such] interest on this Security will be made at</w:t>
      </w:r>
    </w:p>
    <w:p>
      <w:pPr>
        <w:spacing w:after="0" w:line="38"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the office or agency of the Company maintained for that purpose in</w:t>
      </w:r>
      <w:r>
        <w:rPr>
          <w:sz w:val="20"/>
          <w:szCs w:val="20"/>
          <w:color w:val="auto"/>
        </w:rPr>
        <w:tab/>
      </w:r>
      <w:r>
        <w:rPr>
          <w:rFonts w:ascii="Arial" w:cs="Arial" w:eastAsia="Arial" w:hAnsi="Arial"/>
          <w:sz w:val="15"/>
          <w:szCs w:val="15"/>
          <w:color w:val="auto"/>
        </w:rPr>
        <w:t>, in such coin or currency of the United States of America as at the time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-17780</wp:posOffset>
            </wp:positionV>
            <wp:extent cx="55753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payment is legal tender for payment of public and private debts] [state other currency] [or subject to any laws or regulations applicable thereto and to the right of</w:t>
      </w:r>
    </w:p>
    <w:p>
      <w:pPr>
        <w:spacing w:after="0" w:line="32" w:lineRule="exact"/>
        <w:rPr>
          <w:sz w:val="20"/>
          <w:szCs w:val="20"/>
          <w:color w:val="auto"/>
        </w:rPr>
      </w:pPr>
    </w:p>
    <w:p>
      <w:pPr>
        <w:spacing w:after="0"/>
        <w:tabs>
          <w:tab w:leader="none" w:pos="9420" w:val="left"/>
          <w:tab w:leader="none" w:pos="10480" w:val="left"/>
        </w:tabs>
        <w:rPr>
          <w:sz w:val="20"/>
          <w:szCs w:val="20"/>
          <w:color w:val="auto"/>
        </w:rPr>
      </w:pPr>
      <w:r>
        <w:rPr>
          <w:rFonts w:ascii="Arial" w:cs="Arial" w:eastAsia="Arial" w:hAnsi="Arial"/>
          <w:sz w:val="18"/>
          <w:szCs w:val="18"/>
          <w:color w:val="auto"/>
        </w:rPr>
        <w:t>the Company (as provided in the Indenture) to rescind the designation of any such Paying Agent, at the [main] offices of</w:t>
      </w:r>
      <w:r>
        <w:rPr>
          <w:sz w:val="20"/>
          <w:szCs w:val="20"/>
          <w:color w:val="auto"/>
        </w:rPr>
        <w:tab/>
      </w:r>
      <w:r>
        <w:rPr>
          <w:rFonts w:ascii="Arial" w:cs="Arial" w:eastAsia="Arial" w:hAnsi="Arial"/>
          <w:sz w:val="18"/>
          <w:szCs w:val="18"/>
          <w:color w:val="auto"/>
        </w:rPr>
        <w:t>in</w:t>
      </w:r>
      <w:r>
        <w:rPr>
          <w:sz w:val="20"/>
          <w:szCs w:val="20"/>
          <w:color w:val="auto"/>
        </w:rPr>
        <w:tab/>
      </w:r>
      <w:r>
        <w:rPr>
          <w:rFonts w:ascii="Arial" w:cs="Arial" w:eastAsia="Arial" w:hAnsi="Arial"/>
          <w:sz w:val="15"/>
          <w:szCs w:val="15"/>
          <w:color w:val="auto"/>
        </w:rPr>
        <w:t>, or at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5408930</wp:posOffset>
            </wp:positionH>
            <wp:positionV relativeFrom="paragraph">
              <wp:posOffset>-17780</wp:posOffset>
            </wp:positionV>
            <wp:extent cx="12573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ind w:right="160"/>
        <w:spacing w:after="0" w:line="300" w:lineRule="auto"/>
        <w:rPr>
          <w:sz w:val="20"/>
          <w:szCs w:val="20"/>
          <w:color w:val="auto"/>
        </w:rPr>
      </w:pPr>
      <w:r>
        <w:rPr>
          <w:rFonts w:ascii="Arial" w:cs="Arial" w:eastAsia="Arial" w:hAnsi="Arial"/>
          <w:sz w:val="15"/>
          <w:szCs w:val="15"/>
          <w:color w:val="auto"/>
        </w:rPr>
        <w:t>other offices or agencies as the Company may designate, by [United States Dollar] [state other currency] check drawn on, or transfer to a [United States Dollar] account maintained by the payee with, a bank in The City of New York (so long as the applicable Paying Agency has received proper transfer instructions in</w:t>
      </w:r>
    </w:p>
    <w:p>
      <w:pPr>
        <w:spacing w:after="0" w:line="1"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writing at least</w:t>
      </w:r>
      <w:r>
        <w:rPr>
          <w:sz w:val="20"/>
          <w:szCs w:val="20"/>
          <w:color w:val="auto"/>
        </w:rPr>
        <w:tab/>
      </w:r>
      <w:r>
        <w:rPr>
          <w:rFonts w:ascii="Arial" w:cs="Arial" w:eastAsia="Arial" w:hAnsi="Arial"/>
          <w:sz w:val="15"/>
          <w:szCs w:val="15"/>
          <w:color w:val="auto"/>
        </w:rPr>
        <w:t>days prior to the payment date)] [</w:t>
      </w:r>
      <w:r>
        <w:rPr>
          <w:rFonts w:ascii="Arial" w:cs="Arial" w:eastAsia="Arial" w:hAnsi="Arial"/>
          <w:sz w:val="15"/>
          <w:szCs w:val="15"/>
          <w:i w:val="1"/>
          <w:iCs w:val="1"/>
          <w:color w:val="auto"/>
        </w:rPr>
        <w:t>if applicable, insert—</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payment of interest may be made at the option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-17780</wp:posOffset>
            </wp:positionV>
            <wp:extent cx="22288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ind w:right="180"/>
        <w:spacing w:after="0" w:line="254" w:lineRule="auto"/>
        <w:rPr>
          <w:sz w:val="20"/>
          <w:szCs w:val="20"/>
          <w:color w:val="auto"/>
        </w:rPr>
      </w:pPr>
      <w:r>
        <w:rPr>
          <w:rFonts w:ascii="Arial" w:cs="Arial" w:eastAsia="Arial" w:hAnsi="Arial"/>
          <w:sz w:val="18"/>
          <w:szCs w:val="18"/>
          <w:color w:val="auto"/>
        </w:rPr>
        <w:t>Company by [United States Dollar] [state other currency] check mailed to the addresses of the Persons entitled thereto as such addresses shall appear in the Security Register] [or by transfer to a [United States Dollar] [state other currency] account maintained by the payee with a bank in The City of New York [state other Place of Payment] (so long as the applicable Paying Agent has received proper transfer instructions in writing by the Record Date prior to the applicable Interest Payment Date)].]</w:t>
      </w:r>
    </w:p>
    <w:p>
      <w:pPr>
        <w:spacing w:after="0" w:line="14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80" w:name="page81"/>
    <w:bookmarkEnd w:id="8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has caused this instrument to be duly executed.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2540</wp:posOffset>
            </wp:positionV>
            <wp:extent cx="26587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Form of Reverse of Security</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This Security is one of a duly authorized issue of senior securities of the Company (herein called the “Securities”), issued and to be issued in one or more series</w:t>
      </w:r>
    </w:p>
    <w:p>
      <w:pPr>
        <w:spacing w:after="0" w:line="38" w:lineRule="exact"/>
        <w:rPr>
          <w:sz w:val="20"/>
          <w:szCs w:val="20"/>
          <w:color w:val="auto"/>
        </w:rPr>
      </w:pPr>
    </w:p>
    <w:p>
      <w:pPr>
        <w:spacing w:after="0"/>
        <w:tabs>
          <w:tab w:leader="none" w:pos="3140" w:val="left"/>
          <w:tab w:leader="none" w:pos="3480" w:val="left"/>
          <w:tab w:leader="none" w:pos="11140" w:val="left"/>
        </w:tabs>
        <w:rPr>
          <w:sz w:val="20"/>
          <w:szCs w:val="20"/>
          <w:color w:val="auto"/>
        </w:rPr>
      </w:pPr>
      <w:r>
        <w:rPr>
          <w:rFonts w:ascii="Arial" w:cs="Arial" w:eastAsia="Arial" w:hAnsi="Arial"/>
          <w:sz w:val="18"/>
          <w:szCs w:val="18"/>
          <w:color w:val="auto"/>
        </w:rPr>
        <w:t>under an Indenture, dated as of [</w:t>
      </w:r>
      <w:r>
        <w:rPr>
          <w:sz w:val="20"/>
          <w:szCs w:val="20"/>
          <w:color w:val="auto"/>
        </w:rPr>
        <w:tab/>
      </w:r>
      <w:r>
        <w:rPr>
          <w:rFonts w:ascii="Arial" w:cs="Arial" w:eastAsia="Arial" w:hAnsi="Arial"/>
          <w:sz w:val="18"/>
          <w:szCs w:val="18"/>
          <w:color w:val="auto"/>
        </w:rPr>
        <w:t>] [</w:t>
        <w:tab/>
        <w:t xml:space="preserve">], 2006 (herein called the “Indenture”), between the Company, the Guarantors and </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1450975</wp:posOffset>
            </wp:positionH>
            <wp:positionV relativeFrom="paragraph">
              <wp:posOffset>-17780</wp:posOffset>
            </wp:positionV>
            <wp:extent cx="7708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0890" cy="8890"/>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-17780</wp:posOffset>
            </wp:positionV>
            <wp:extent cx="11430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ind w:right="20"/>
        <w:spacing w:after="0" w:line="300" w:lineRule="auto"/>
        <w:rPr>
          <w:sz w:val="20"/>
          <w:szCs w:val="20"/>
          <w:color w:val="auto"/>
        </w:rPr>
      </w:pPr>
      <w:r>
        <w:rPr>
          <w:rFonts w:ascii="Arial" w:cs="Arial" w:eastAsia="Arial" w:hAnsi="Arial"/>
          <w:sz w:val="15"/>
          <w:szCs w:val="15"/>
          <w:color w:val="auto"/>
        </w:rPr>
        <w:t>as Trustee (herein called the “Trustee”, which term includes any successor trustee under the Indenture), to which Indenture and all indentures supplemental thereto reference is hereby made for a statement, of the respective rights, limitations of rights, duties and immunities thereunder of the Company, the Guarantors, the Trustee and the Holders of the Securities and of the terms upon which the Securities are, and are to be, authenticated and delivered. As provided in the Indenture, the Securities may be issued in one or more series, which different series may be issued in various aggregate principal amounts, may mature at different times, may bear interest, if any, at different rates, may be subject to different redemption provisions, if any, may be subject to different sinking, purchase or analogous funds, if any, may be subject to different covenants and Events of Default and may otherwise vary as in the Indenture provided or permitted. This</w:t>
      </w:r>
    </w:p>
    <w:p>
      <w:pPr>
        <w:spacing w:after="0" w:line="3" w:lineRule="exact"/>
        <w:rPr>
          <w:sz w:val="20"/>
          <w:szCs w:val="20"/>
          <w:color w:val="auto"/>
        </w:rPr>
      </w:pPr>
    </w:p>
    <w:p>
      <w:pPr>
        <w:spacing w:after="0"/>
        <w:tabs>
          <w:tab w:leader="none" w:pos="8040" w:val="left"/>
        </w:tabs>
        <w:rPr>
          <w:sz w:val="20"/>
          <w:szCs w:val="20"/>
          <w:color w:val="auto"/>
        </w:rPr>
      </w:pPr>
      <w:r>
        <w:rPr>
          <w:rFonts w:ascii="Arial" w:cs="Arial" w:eastAsia="Arial" w:hAnsi="Arial"/>
          <w:sz w:val="18"/>
          <w:szCs w:val="18"/>
          <w:color w:val="auto"/>
        </w:rPr>
        <w:t>Security is one of the series designated on the face hereof [, limited in aggregate principal amount to $</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4565015</wp:posOffset>
            </wp:positionH>
            <wp:positionV relativeFrom="paragraph">
              <wp:posOffset>-17780</wp:posOffset>
            </wp:positionV>
            <wp:extent cx="5575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4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This security is the general, unsecured, senior obligation of the Company [</w:t>
      </w:r>
      <w:r>
        <w:rPr>
          <w:rFonts w:ascii="Arial" w:cs="Arial" w:eastAsia="Arial" w:hAnsi="Arial"/>
          <w:sz w:val="16"/>
          <w:szCs w:val="16"/>
          <w:i w:val="1"/>
          <w:iCs w:val="1"/>
          <w:color w:val="auto"/>
        </w:rPr>
        <w:t>if applicable, insert—</w:t>
      </w:r>
      <w:r>
        <w:rPr>
          <w:rFonts w:ascii="Arial" w:cs="Arial" w:eastAsia="Arial" w:hAnsi="Arial"/>
          <w:sz w:val="16"/>
          <w:szCs w:val="16"/>
          <w:color w:val="auto"/>
        </w:rPr>
        <w:t>and is guaranteed pursuant to a guarantee (the “Guarantee”) by [</w:t>
      </w:r>
      <w:r>
        <w:rPr>
          <w:rFonts w:ascii="Arial" w:cs="Arial" w:eastAsia="Arial" w:hAnsi="Arial"/>
          <w:sz w:val="16"/>
          <w:szCs w:val="16"/>
          <w:i w:val="1"/>
          <w:iCs w:val="1"/>
          <w:color w:val="auto"/>
        </w:rPr>
        <w:t>insert name of each Guarantor</w:t>
      </w:r>
      <w:r>
        <w:rPr>
          <w:rFonts w:ascii="Arial" w:cs="Arial" w:eastAsia="Arial" w:hAnsi="Arial"/>
          <w:sz w:val="16"/>
          <w:szCs w:val="16"/>
          <w:color w:val="auto"/>
        </w:rPr>
        <w:t>] (the “Guarantors”). The Guarantee is the general, unsecured, senior obligation of each Guarantor.]</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20" w:type="dxa"/>
            <w:vAlign w:val="bottom"/>
            <w:gridSpan w:val="19"/>
          </w:tcPr>
          <w:p>
            <w:pP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i w:val="1"/>
                <w:iCs w:val="1"/>
                <w:color w:val="auto"/>
                <w:w w:val="88"/>
              </w:rPr>
              <w:t>If applicable, insert—</w:t>
            </w:r>
            <w:r>
              <w:rPr>
                <w:rFonts w:ascii="Arial" w:cs="Arial" w:eastAsia="Arial" w:hAnsi="Arial"/>
                <w:sz w:val="18"/>
                <w:szCs w:val="18"/>
                <w:color w:val="auto"/>
                <w:w w:val="88"/>
              </w:rPr>
              <w:t>The Securities of this series are subject to redemption upon not less than</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480" w:type="dxa"/>
            <w:vAlign w:val="bottom"/>
            <w:gridSpan w:val="8"/>
          </w:tcPr>
          <w:p>
            <w:pPr>
              <w:jc w:val="center"/>
              <w:ind w:right="780"/>
              <w:spacing w:after="0"/>
              <w:rPr>
                <w:sz w:val="20"/>
                <w:szCs w:val="20"/>
                <w:color w:val="auto"/>
              </w:rPr>
            </w:pPr>
            <w:r>
              <w:rPr>
                <w:rFonts w:ascii="Arial" w:cs="Arial" w:eastAsia="Arial" w:hAnsi="Arial"/>
                <w:sz w:val="18"/>
                <w:szCs w:val="18"/>
                <w:color w:val="auto"/>
                <w:w w:val="91"/>
              </w:rPr>
              <w:t>days’ notice by mail, [</w:t>
            </w:r>
            <w:r>
              <w:rPr>
                <w:rFonts w:ascii="Arial" w:cs="Arial" w:eastAsia="Arial" w:hAnsi="Arial"/>
                <w:sz w:val="18"/>
                <w:szCs w:val="18"/>
                <w:i w:val="1"/>
                <w:iCs w:val="1"/>
                <w:color w:val="auto"/>
                <w:w w:val="91"/>
              </w:rPr>
              <w:t>if applicable, insert</w:t>
            </w:r>
            <w:r>
              <w:rPr>
                <w:rFonts w:ascii="Arial" w:cs="Arial" w:eastAsia="Arial" w:hAnsi="Arial"/>
                <w:sz w:val="18"/>
                <w:szCs w:val="18"/>
                <w:color w:val="auto"/>
                <w:w w:val="91"/>
              </w:rPr>
              <w:t xml:space="preserve">, </w:t>
            </w:r>
            <w:r>
              <w:rPr>
                <w:rFonts w:ascii="Arial" w:cs="Arial" w:eastAsia="Arial" w:hAnsi="Arial"/>
                <w:sz w:val="18"/>
                <w:szCs w:val="18"/>
                <w:i w:val="1"/>
                <w:iCs w:val="1"/>
                <w:color w:val="auto"/>
                <w:w w:val="91"/>
              </w:rPr>
              <w:t>—</w:t>
            </w:r>
            <w:r>
              <w:rPr>
                <w:rFonts w:ascii="Arial" w:cs="Arial" w:eastAsia="Arial" w:hAnsi="Arial"/>
                <w:sz w:val="18"/>
                <w:szCs w:val="18"/>
                <w:color w:val="auto"/>
                <w:w w:val="91"/>
              </w:rPr>
              <w:t>(1) on</w:t>
            </w:r>
          </w:p>
        </w:tc>
      </w:tr>
      <w:tr>
        <w:trPr>
          <w:trHeight w:val="196"/>
        </w:trPr>
        <w:tc>
          <w:tcPr>
            <w:tcW w:w="4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780" w:type="dxa"/>
            <w:vAlign w:val="bottom"/>
            <w:gridSpan w:val="7"/>
          </w:tcPr>
          <w:p>
            <w:pPr>
              <w:ind w:left="40"/>
              <w:spacing w:after="0" w:line="196" w:lineRule="exact"/>
              <w:rPr>
                <w:sz w:val="20"/>
                <w:szCs w:val="20"/>
                <w:color w:val="auto"/>
              </w:rPr>
            </w:pPr>
            <w:r>
              <w:rPr>
                <w:rFonts w:ascii="Arial" w:cs="Arial" w:eastAsia="Arial" w:hAnsi="Arial"/>
                <w:sz w:val="18"/>
                <w:szCs w:val="18"/>
                <w:color w:val="auto"/>
                <w:w w:val="90"/>
              </w:rPr>
              <w:t>in any year commencing with the year</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20" w:type="dxa"/>
            <w:vAlign w:val="bottom"/>
            <w:gridSpan w:val="2"/>
          </w:tcPr>
          <w:p>
            <w:pPr>
              <w:ind w:left="40"/>
              <w:spacing w:after="0" w:line="196" w:lineRule="exact"/>
              <w:rPr>
                <w:sz w:val="20"/>
                <w:szCs w:val="20"/>
                <w:color w:val="auto"/>
              </w:rPr>
            </w:pPr>
            <w:r>
              <w:rPr>
                <w:rFonts w:ascii="Arial" w:cs="Arial" w:eastAsia="Arial" w:hAnsi="Arial"/>
                <w:sz w:val="18"/>
                <w:szCs w:val="18"/>
                <w:color w:val="auto"/>
                <w:w w:val="89"/>
              </w:rPr>
              <w:t>and ending with the year</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180" w:type="dxa"/>
            <w:vAlign w:val="bottom"/>
            <w:gridSpan w:val="13"/>
          </w:tcPr>
          <w:p>
            <w:pPr>
              <w:ind w:left="40"/>
              <w:spacing w:after="0" w:line="196" w:lineRule="exact"/>
              <w:rPr>
                <w:sz w:val="20"/>
                <w:szCs w:val="20"/>
                <w:color w:val="auto"/>
              </w:rPr>
            </w:pPr>
            <w:r>
              <w:rPr>
                <w:rFonts w:ascii="Arial" w:cs="Arial" w:eastAsia="Arial" w:hAnsi="Arial"/>
                <w:sz w:val="18"/>
                <w:szCs w:val="18"/>
                <w:color w:val="auto"/>
                <w:w w:val="94"/>
              </w:rPr>
              <w:t>through operation of the sinking fund for this series at a Redemption</w:t>
            </w:r>
          </w:p>
        </w:tc>
      </w:tr>
      <w:tr>
        <w:trPr>
          <w:trHeight w:val="196"/>
        </w:trPr>
        <w:tc>
          <w:tcPr>
            <w:tcW w:w="5500" w:type="dxa"/>
            <w:vAlign w:val="bottom"/>
            <w:gridSpan w:val="12"/>
          </w:tcPr>
          <w:p>
            <w:pPr>
              <w:spacing w:after="0" w:line="196" w:lineRule="exact"/>
              <w:rPr>
                <w:sz w:val="20"/>
                <w:szCs w:val="20"/>
                <w:color w:val="auto"/>
              </w:rPr>
            </w:pPr>
            <w:r>
              <w:rPr>
                <w:rFonts w:ascii="Arial" w:cs="Arial" w:eastAsia="Arial" w:hAnsi="Arial"/>
                <w:sz w:val="18"/>
                <w:szCs w:val="18"/>
                <w:color w:val="auto"/>
                <w:w w:val="89"/>
              </w:rPr>
              <w:t>Price equal to 100% of the principal amount, and (2) ] at any time [on or after</w:t>
            </w:r>
          </w:p>
        </w:tc>
        <w:tc>
          <w:tcPr>
            <w:tcW w:w="3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0" w:type="dxa"/>
            <w:vAlign w:val="bottom"/>
            <w:gridSpan w:val="12"/>
          </w:tcPr>
          <w:p>
            <w:pPr>
              <w:jc w:val="center"/>
              <w:ind w:right="280"/>
              <w:spacing w:after="0" w:line="196" w:lineRule="exact"/>
              <w:rPr>
                <w:sz w:val="20"/>
                <w:szCs w:val="20"/>
                <w:color w:val="auto"/>
              </w:rPr>
            </w:pPr>
            <w:r>
              <w:rPr>
                <w:rFonts w:ascii="Arial" w:cs="Arial" w:eastAsia="Arial" w:hAnsi="Arial"/>
                <w:sz w:val="18"/>
                <w:szCs w:val="18"/>
                <w:color w:val="auto"/>
                <w:w w:val="89"/>
              </w:rPr>
              <w:t>, 20  ], as a whole or in part, at the election of the Company, at the</w:t>
            </w:r>
          </w:p>
        </w:tc>
      </w:tr>
      <w:tr>
        <w:trPr>
          <w:trHeight w:val="20"/>
        </w:trPr>
        <w:tc>
          <w:tcPr>
            <w:tcW w:w="174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80" w:type="dxa"/>
            <w:vAlign w:val="bottom"/>
            <w:gridSpan w:val="5"/>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r>
      <w:tr>
        <w:trPr>
          <w:trHeight w:val="196"/>
        </w:trPr>
        <w:tc>
          <w:tcPr>
            <w:tcW w:w="8460" w:type="dxa"/>
            <w:vAlign w:val="bottom"/>
            <w:gridSpan w:val="23"/>
          </w:tcPr>
          <w:p>
            <w:pPr>
              <w:spacing w:after="0" w:line="196" w:lineRule="exact"/>
              <w:rPr>
                <w:sz w:val="20"/>
                <w:szCs w:val="20"/>
                <w:color w:val="auto"/>
              </w:rPr>
            </w:pPr>
            <w:r>
              <w:rPr>
                <w:rFonts w:ascii="Arial" w:cs="Arial" w:eastAsia="Arial" w:hAnsi="Arial"/>
                <w:sz w:val="18"/>
                <w:szCs w:val="18"/>
                <w:color w:val="auto"/>
                <w:w w:val="98"/>
              </w:rPr>
              <w:t>following Redemption Prices (expressed as percentages of the principal amount): If redeemed [on or before</w:t>
            </w:r>
          </w:p>
        </w:tc>
        <w:tc>
          <w:tcPr>
            <w:tcW w:w="1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720" w:type="dxa"/>
            <w:vAlign w:val="bottom"/>
            <w:gridSpan w:val="3"/>
          </w:tcPr>
          <w:p>
            <w:pPr>
              <w:ind w:left="260"/>
              <w:spacing w:after="0" w:line="196" w:lineRule="exact"/>
              <w:rPr>
                <w:sz w:val="20"/>
                <w:szCs w:val="20"/>
                <w:color w:val="auto"/>
              </w:rPr>
            </w:pPr>
            <w:r>
              <w:rPr>
                <w:rFonts w:ascii="Arial" w:cs="Arial" w:eastAsia="Arial" w:hAnsi="Arial"/>
                <w:sz w:val="18"/>
                <w:szCs w:val="18"/>
                <w:color w:val="auto"/>
                <w:w w:val="88"/>
              </w:rPr>
              <w:t>%, and if redeemed] during the 12-</w:t>
            </w:r>
          </w:p>
        </w:tc>
      </w:tr>
      <w:tr>
        <w:trPr>
          <w:trHeight w:val="196"/>
        </w:trPr>
        <w:tc>
          <w:tcPr>
            <w:tcW w:w="1700" w:type="dxa"/>
            <w:vAlign w:val="bottom"/>
            <w:gridSpan w:val="3"/>
          </w:tcPr>
          <w:p>
            <w:pPr>
              <w:spacing w:after="0" w:line="196" w:lineRule="exact"/>
              <w:rPr>
                <w:sz w:val="20"/>
                <w:szCs w:val="20"/>
                <w:color w:val="auto"/>
              </w:rPr>
            </w:pPr>
            <w:r>
              <w:rPr>
                <w:rFonts w:ascii="Arial" w:cs="Arial" w:eastAsia="Arial" w:hAnsi="Arial"/>
                <w:sz w:val="18"/>
                <w:szCs w:val="18"/>
                <w:color w:val="auto"/>
                <w:w w:val="89"/>
              </w:rPr>
              <w:t>month period beginning</w:t>
            </w:r>
          </w:p>
        </w:tc>
        <w:tc>
          <w:tcPr>
            <w:tcW w:w="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240" w:type="dxa"/>
            <w:vAlign w:val="bottom"/>
            <w:gridSpan w:val="9"/>
          </w:tcPr>
          <w:p>
            <w:pPr>
              <w:ind w:left="40"/>
              <w:spacing w:after="0" w:line="196" w:lineRule="exact"/>
              <w:rPr>
                <w:sz w:val="20"/>
                <w:szCs w:val="20"/>
                <w:color w:val="auto"/>
              </w:rPr>
            </w:pPr>
            <w:r>
              <w:rPr>
                <w:rFonts w:ascii="Arial" w:cs="Arial" w:eastAsia="Arial" w:hAnsi="Arial"/>
                <w:sz w:val="18"/>
                <w:szCs w:val="18"/>
                <w:color w:val="auto"/>
              </w:rPr>
              <w:t>of the years indicated,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379"/>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Redemption Price</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Redemption Price</w:t>
            </w:r>
          </w:p>
        </w:tc>
        <w:tc>
          <w:tcPr>
            <w:tcW w:w="420" w:type="dxa"/>
            <w:vAlign w:val="bottom"/>
          </w:tcPr>
          <w:p>
            <w:pPr>
              <w:spacing w:after="0"/>
              <w:rPr>
                <w:sz w:val="24"/>
                <w:szCs w:val="24"/>
                <w:color w:val="auto"/>
              </w:rPr>
            </w:pPr>
          </w:p>
        </w:tc>
      </w:tr>
      <w:tr>
        <w:trPr>
          <w:trHeight w:val="635"/>
        </w:trPr>
        <w:tc>
          <w:tcPr>
            <w:tcW w:w="3220" w:type="dxa"/>
            <w:vAlign w:val="bottom"/>
            <w:gridSpan w:val="7"/>
          </w:tcPr>
          <w:p>
            <w:pPr>
              <w:spacing w:after="0"/>
              <w:rPr>
                <w:sz w:val="20"/>
                <w:szCs w:val="20"/>
                <w:color w:val="auto"/>
              </w:rPr>
            </w:pPr>
            <w:r>
              <w:rPr>
                <w:rFonts w:ascii="Arial" w:cs="Arial" w:eastAsia="Arial" w:hAnsi="Arial"/>
                <w:sz w:val="18"/>
                <w:szCs w:val="18"/>
                <w:color w:val="auto"/>
                <w:w w:val="87"/>
              </w:rPr>
              <w:t>and thereafter at a Redemption Price equal to</w:t>
            </w:r>
          </w:p>
        </w:tc>
        <w:tc>
          <w:tcPr>
            <w:tcW w:w="44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20" w:type="dxa"/>
            <w:vAlign w:val="bottom"/>
            <w:gridSpan w:val="19"/>
          </w:tcPr>
          <w:p>
            <w:pPr>
              <w:spacing w:after="0"/>
              <w:rPr>
                <w:sz w:val="20"/>
                <w:szCs w:val="20"/>
                <w:color w:val="auto"/>
              </w:rPr>
            </w:pPr>
            <w:r>
              <w:rPr>
                <w:rFonts w:ascii="Arial" w:cs="Arial" w:eastAsia="Arial" w:hAnsi="Arial"/>
                <w:sz w:val="18"/>
                <w:szCs w:val="18"/>
                <w:color w:val="auto"/>
                <w:w w:val="93"/>
              </w:rPr>
              <w:t>% of the principal amount, together in the case of any such redemption [</w:t>
            </w:r>
            <w:r>
              <w:rPr>
                <w:rFonts w:ascii="Arial" w:cs="Arial" w:eastAsia="Arial" w:hAnsi="Arial"/>
                <w:sz w:val="18"/>
                <w:szCs w:val="18"/>
                <w:i w:val="1"/>
                <w:iCs w:val="1"/>
                <w:color w:val="auto"/>
                <w:w w:val="93"/>
              </w:rPr>
              <w:t>if applicable, insert—</w:t>
            </w:r>
            <w:r>
              <w:rPr>
                <w:rFonts w:ascii="Arial" w:cs="Arial" w:eastAsia="Arial" w:hAnsi="Arial"/>
                <w:sz w:val="18"/>
                <w:szCs w:val="18"/>
                <w:color w:val="auto"/>
                <w:w w:val="93"/>
              </w:rPr>
              <w:t>(whether</w:t>
            </w:r>
          </w:p>
        </w:tc>
      </w:tr>
    </w:tbl>
    <w:p>
      <w:pPr>
        <w:spacing w:after="0" w:line="1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7980" w:type="dxa"/>
            <w:vAlign w:val="bottom"/>
            <w:gridSpan w:val="7"/>
          </w:tcPr>
          <w:p>
            <w:pP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i w:val="1"/>
                <w:iCs w:val="1"/>
                <w:color w:val="auto"/>
                <w:w w:val="90"/>
              </w:rPr>
              <w:t>If applicable, insert—</w:t>
            </w:r>
            <w:r>
              <w:rPr>
                <w:rFonts w:ascii="Arial" w:cs="Arial" w:eastAsia="Arial" w:hAnsi="Arial"/>
                <w:sz w:val="18"/>
                <w:szCs w:val="18"/>
                <w:color w:val="auto"/>
                <w:w w:val="90"/>
              </w:rPr>
              <w:t>The Securities of this series are subject to redemption upon not less than   nor more than</w:t>
            </w:r>
          </w:p>
        </w:tc>
        <w:tc>
          <w:tcPr>
            <w:tcW w:w="180" w:type="dxa"/>
            <w:vAlign w:val="bottom"/>
          </w:tcPr>
          <w:p>
            <w:pPr>
              <w:spacing w:after="0"/>
              <w:rPr>
                <w:sz w:val="17"/>
                <w:szCs w:val="17"/>
                <w:color w:val="auto"/>
              </w:rPr>
            </w:pPr>
          </w:p>
        </w:tc>
        <w:tc>
          <w:tcPr>
            <w:tcW w:w="2900" w:type="dxa"/>
            <w:vAlign w:val="bottom"/>
            <w:gridSpan w:val="2"/>
          </w:tcPr>
          <w:p>
            <w:pPr>
              <w:ind w:left="40"/>
              <w:spacing w:after="0"/>
              <w:rPr>
                <w:sz w:val="20"/>
                <w:szCs w:val="20"/>
                <w:color w:val="auto"/>
              </w:rPr>
            </w:pPr>
            <w:r>
              <w:rPr>
                <w:rFonts w:ascii="Arial" w:cs="Arial" w:eastAsia="Arial" w:hAnsi="Arial"/>
                <w:sz w:val="18"/>
                <w:szCs w:val="18"/>
                <w:color w:val="auto"/>
              </w:rPr>
              <w:t>days’ notice by mail, (1) on</w:t>
            </w:r>
          </w:p>
        </w:tc>
        <w:tc>
          <w:tcPr>
            <w:tcW w:w="180" w:type="dxa"/>
            <w:vAlign w:val="bottom"/>
          </w:tcPr>
          <w:p>
            <w:pPr>
              <w:ind w:left="40"/>
              <w:spacing w:after="0"/>
              <w:rPr>
                <w:sz w:val="20"/>
                <w:szCs w:val="20"/>
                <w:color w:val="auto"/>
              </w:rPr>
            </w:pPr>
            <w:r>
              <w:rPr>
                <w:rFonts w:ascii="Arial" w:cs="Arial" w:eastAsia="Arial" w:hAnsi="Arial"/>
                <w:sz w:val="18"/>
                <w:szCs w:val="18"/>
                <w:color w:val="auto"/>
                <w:w w:val="85"/>
              </w:rPr>
              <w:t>in</w:t>
            </w:r>
          </w:p>
        </w:tc>
      </w:tr>
      <w:tr>
        <w:trPr>
          <w:trHeight w:val="20"/>
        </w:trPr>
        <w:tc>
          <w:tcPr>
            <w:tcW w:w="2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2560" w:type="dxa"/>
            <w:vAlign w:val="bottom"/>
          </w:tcPr>
          <w:p>
            <w:pPr>
              <w:spacing w:after="0" w:line="196" w:lineRule="exact"/>
              <w:rPr>
                <w:sz w:val="20"/>
                <w:szCs w:val="20"/>
                <w:color w:val="auto"/>
              </w:rPr>
            </w:pPr>
            <w:r>
              <w:rPr>
                <w:rFonts w:ascii="Arial" w:cs="Arial" w:eastAsia="Arial" w:hAnsi="Arial"/>
                <w:sz w:val="18"/>
                <w:szCs w:val="18"/>
                <w:color w:val="auto"/>
                <w:w w:val="89"/>
              </w:rPr>
              <w:t>any year commencing with the year</w:t>
            </w:r>
          </w:p>
        </w:tc>
        <w:tc>
          <w:tcPr>
            <w:tcW w:w="360" w:type="dxa"/>
            <w:vAlign w:val="bottom"/>
            <w:tcBorders>
              <w:bottom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w w:val="89"/>
              </w:rPr>
              <w:t>and ending with the year</w:t>
            </w:r>
          </w:p>
        </w:tc>
        <w:tc>
          <w:tcPr>
            <w:tcW w:w="340" w:type="dxa"/>
            <w:vAlign w:val="bottom"/>
            <w:tcBorders>
              <w:bottom w:val="single" w:sz="8" w:color="auto"/>
            </w:tcBorders>
          </w:tcPr>
          <w:p>
            <w:pPr>
              <w:spacing w:after="0"/>
              <w:rPr>
                <w:sz w:val="17"/>
                <w:szCs w:val="17"/>
                <w:color w:val="auto"/>
              </w:rPr>
            </w:pPr>
          </w:p>
        </w:tc>
        <w:tc>
          <w:tcPr>
            <w:tcW w:w="5980" w:type="dxa"/>
            <w:vAlign w:val="bottom"/>
            <w:gridSpan w:val="6"/>
          </w:tcPr>
          <w:p>
            <w:pPr>
              <w:ind w:left="60"/>
              <w:spacing w:after="0" w:line="196" w:lineRule="exact"/>
              <w:rPr>
                <w:sz w:val="20"/>
                <w:szCs w:val="20"/>
                <w:color w:val="auto"/>
              </w:rPr>
            </w:pPr>
            <w:r>
              <w:rPr>
                <w:rFonts w:ascii="Arial" w:cs="Arial" w:eastAsia="Arial" w:hAnsi="Arial"/>
                <w:sz w:val="18"/>
                <w:szCs w:val="18"/>
                <w:color w:val="auto"/>
                <w:w w:val="92"/>
              </w:rPr>
              <w:t>through operation of the sinking fund for this series at the Redemption Prices for</w:t>
            </w:r>
          </w:p>
        </w:tc>
        <w:tc>
          <w:tcPr>
            <w:tcW w:w="180" w:type="dxa"/>
            <w:vAlign w:val="bottom"/>
          </w:tcPr>
          <w:p>
            <w:pPr>
              <w:spacing w:after="0"/>
              <w:rPr>
                <w:sz w:val="17"/>
                <w:szCs w:val="17"/>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880" w:right="20" w:hanging="877"/>
        <w:spacing w:after="0" w:line="286" w:lineRule="auto"/>
        <w:rPr>
          <w:sz w:val="20"/>
          <w:szCs w:val="20"/>
          <w:color w:val="auto"/>
        </w:rPr>
      </w:pPr>
      <w:r>
        <w:rPr>
          <w:rFonts w:ascii="Arial" w:cs="Arial" w:eastAsia="Arial" w:hAnsi="Arial"/>
          <w:sz w:val="16"/>
          <w:szCs w:val="16"/>
          <w:color w:val="auto"/>
        </w:rPr>
        <w:t>redemption through operation of the sinking fund (expressed as percentages of the principal amount) set forth in the table below, and (2) at anytime [on or after ], as a whole or in part, at the election of the Company, at the Redemption Prices for redemption otherwise than through operation of the sinking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575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8"/>
        </w:trPr>
        <w:tc>
          <w:tcPr>
            <w:tcW w:w="10080" w:type="dxa"/>
            <w:vAlign w:val="bottom"/>
            <w:gridSpan w:val="9"/>
          </w:tcPr>
          <w:p>
            <w:pPr>
              <w:spacing w:after="0" w:line="177" w:lineRule="exact"/>
              <w:rPr>
                <w:sz w:val="20"/>
                <w:szCs w:val="20"/>
                <w:color w:val="auto"/>
              </w:rPr>
            </w:pPr>
            <w:r>
              <w:rPr>
                <w:rFonts w:ascii="Arial" w:cs="Arial" w:eastAsia="Arial" w:hAnsi="Arial"/>
                <w:sz w:val="18"/>
                <w:szCs w:val="18"/>
                <w:color w:val="auto"/>
                <w:w w:val="97"/>
              </w:rPr>
              <w:t>(expressed as percentages of the principal amount) set forth in the table below: If redeemed during the 12-month period beginning</w:t>
            </w:r>
          </w:p>
        </w:tc>
        <w:tc>
          <w:tcPr>
            <w:tcW w:w="880" w:type="dxa"/>
            <w:vAlign w:val="bottom"/>
            <w:gridSpan w:val="2"/>
          </w:tcPr>
          <w:p>
            <w:pPr>
              <w:ind w:left="40"/>
              <w:spacing w:after="0" w:line="177" w:lineRule="exact"/>
              <w:rPr>
                <w:sz w:val="20"/>
                <w:szCs w:val="20"/>
                <w:color w:val="auto"/>
              </w:rPr>
            </w:pPr>
            <w:r>
              <w:rPr>
                <w:rFonts w:ascii="Arial" w:cs="Arial" w:eastAsia="Arial" w:hAnsi="Arial"/>
                <w:sz w:val="18"/>
                <w:szCs w:val="18"/>
                <w:color w:val="auto"/>
                <w:w w:val="87"/>
              </w:rPr>
              <w:t>of the years</w:t>
            </w:r>
          </w:p>
        </w:tc>
      </w:tr>
      <w:tr>
        <w:trPr>
          <w:trHeight w:val="235"/>
        </w:trPr>
        <w:tc>
          <w:tcPr>
            <w:tcW w:w="3220" w:type="dxa"/>
            <w:vAlign w:val="bottom"/>
            <w:gridSpan w:val="2"/>
          </w:tcPr>
          <w:p>
            <w:pPr>
              <w:spacing w:after="0"/>
              <w:rPr>
                <w:sz w:val="20"/>
                <w:szCs w:val="20"/>
                <w:color w:val="auto"/>
              </w:rPr>
            </w:pPr>
            <w:r>
              <w:rPr>
                <w:rFonts w:ascii="Arial" w:cs="Arial" w:eastAsia="Arial" w:hAnsi="Arial"/>
                <w:sz w:val="18"/>
                <w:szCs w:val="18"/>
                <w:color w:val="auto"/>
              </w:rPr>
              <w:t>indicated,</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40"/>
        </w:trPr>
        <w:tc>
          <w:tcPr>
            <w:tcW w:w="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2"/>
          </w:tcPr>
          <w:p>
            <w:pPr>
              <w:jc w:val="center"/>
              <w:ind w:left="352"/>
              <w:spacing w:after="0"/>
              <w:rPr>
                <w:sz w:val="20"/>
                <w:szCs w:val="20"/>
                <w:color w:val="auto"/>
              </w:rPr>
            </w:pPr>
            <w:r>
              <w:rPr>
                <w:rFonts w:ascii="Arial" w:cs="Arial" w:eastAsia="Arial" w:hAnsi="Arial"/>
                <w:sz w:val="14"/>
                <w:szCs w:val="14"/>
                <w:b w:val="1"/>
                <w:bCs w:val="1"/>
                <w:color w:val="auto"/>
                <w:w w:val="88"/>
              </w:rPr>
              <w:t>Redemption Price for</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49"/>
        </w:trPr>
        <w:tc>
          <w:tcPr>
            <w:tcW w:w="9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Redemption Price For</w:t>
            </w:r>
          </w:p>
        </w:tc>
        <w:tc>
          <w:tcPr>
            <w:tcW w:w="200" w:type="dxa"/>
            <w:vAlign w:val="bottom"/>
          </w:tcPr>
          <w:p>
            <w:pPr>
              <w:spacing w:after="0"/>
              <w:rPr>
                <w:sz w:val="12"/>
                <w:szCs w:val="12"/>
                <w:color w:val="auto"/>
              </w:rPr>
            </w:pPr>
          </w:p>
        </w:tc>
        <w:tc>
          <w:tcPr>
            <w:tcW w:w="2440" w:type="dxa"/>
            <w:vAlign w:val="bottom"/>
            <w:gridSpan w:val="2"/>
          </w:tcPr>
          <w:p>
            <w:pPr>
              <w:jc w:val="center"/>
              <w:ind w:left="352"/>
              <w:spacing w:after="0" w:line="149" w:lineRule="exact"/>
              <w:rPr>
                <w:sz w:val="20"/>
                <w:szCs w:val="20"/>
                <w:color w:val="auto"/>
              </w:rPr>
            </w:pPr>
            <w:r>
              <w:rPr>
                <w:rFonts w:ascii="Arial" w:cs="Arial" w:eastAsia="Arial" w:hAnsi="Arial"/>
                <w:sz w:val="14"/>
                <w:szCs w:val="14"/>
                <w:b w:val="1"/>
                <w:bCs w:val="1"/>
                <w:color w:val="auto"/>
                <w:w w:val="87"/>
              </w:rPr>
              <w:t>Redemption Otherwise Than</w:t>
            </w: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 Through</w:t>
            </w:r>
          </w:p>
        </w:tc>
        <w:tc>
          <w:tcPr>
            <w:tcW w:w="200" w:type="dxa"/>
            <w:vAlign w:val="bottom"/>
          </w:tcPr>
          <w:p>
            <w:pPr>
              <w:spacing w:after="0"/>
              <w:rPr>
                <w:sz w:val="12"/>
                <w:szCs w:val="12"/>
                <w:color w:val="auto"/>
              </w:rPr>
            </w:pPr>
          </w:p>
        </w:tc>
        <w:tc>
          <w:tcPr>
            <w:tcW w:w="2440" w:type="dxa"/>
            <w:vAlign w:val="bottom"/>
            <w:gridSpan w:val="2"/>
          </w:tcPr>
          <w:p>
            <w:pPr>
              <w:jc w:val="center"/>
              <w:ind w:left="352"/>
              <w:spacing w:after="0" w:line="149" w:lineRule="exact"/>
              <w:rPr>
                <w:sz w:val="20"/>
                <w:szCs w:val="20"/>
                <w:color w:val="auto"/>
              </w:rPr>
            </w:pPr>
            <w:r>
              <w:rPr>
                <w:rFonts w:ascii="Arial" w:cs="Arial" w:eastAsia="Arial" w:hAnsi="Arial"/>
                <w:sz w:val="14"/>
                <w:szCs w:val="14"/>
                <w:b w:val="1"/>
                <w:bCs w:val="1"/>
                <w:color w:val="auto"/>
                <w:w w:val="88"/>
              </w:rPr>
              <w:t>Through Operation of the</w:t>
            </w: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68"/>
        </w:trPr>
        <w:tc>
          <w:tcPr>
            <w:tcW w:w="920" w:type="dxa"/>
            <w:vAlign w:val="bottom"/>
          </w:tcPr>
          <w:p>
            <w:pPr>
              <w:spacing w:after="0"/>
              <w:rPr>
                <w:sz w:val="14"/>
                <w:szCs w:val="14"/>
                <w:color w:val="auto"/>
              </w:rPr>
            </w:pPr>
          </w:p>
        </w:tc>
        <w:tc>
          <w:tcPr>
            <w:tcW w:w="2300" w:type="dxa"/>
            <w:vAlign w:val="bottom"/>
          </w:tcPr>
          <w:p>
            <w:pPr>
              <w:ind w:left="1560"/>
              <w:spacing w:after="0"/>
              <w:rPr>
                <w:sz w:val="20"/>
                <w:szCs w:val="20"/>
                <w:color w:val="auto"/>
              </w:rPr>
            </w:pPr>
            <w:r>
              <w:rPr>
                <w:rFonts w:ascii="Arial" w:cs="Arial" w:eastAsia="Arial" w:hAnsi="Arial"/>
                <w:sz w:val="14"/>
                <w:szCs w:val="14"/>
                <w:b w:val="1"/>
                <w:bCs w:val="1"/>
                <w:color w:val="auto"/>
              </w:rPr>
              <w:t>Year</w:t>
            </w: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Operation of the Sinking Fund</w:t>
            </w:r>
          </w:p>
        </w:tc>
        <w:tc>
          <w:tcPr>
            <w:tcW w:w="200" w:type="dxa"/>
            <w:vAlign w:val="bottom"/>
          </w:tcPr>
          <w:p>
            <w:pPr>
              <w:spacing w:after="0"/>
              <w:rPr>
                <w:sz w:val="14"/>
                <w:szCs w:val="14"/>
                <w:color w:val="auto"/>
              </w:rPr>
            </w:pPr>
          </w:p>
        </w:tc>
        <w:tc>
          <w:tcPr>
            <w:tcW w:w="2440" w:type="dxa"/>
            <w:vAlign w:val="bottom"/>
            <w:tcBorders>
              <w:bottom w:val="single" w:sz="8" w:color="auto"/>
            </w:tcBorders>
            <w:gridSpan w:val="2"/>
          </w:tcPr>
          <w:p>
            <w:pPr>
              <w:jc w:val="center"/>
              <w:ind w:left="352"/>
              <w:spacing w:after="0"/>
              <w:rPr>
                <w:sz w:val="20"/>
                <w:szCs w:val="20"/>
                <w:color w:val="auto"/>
              </w:rPr>
            </w:pPr>
            <w:r>
              <w:rPr>
                <w:rFonts w:ascii="Arial" w:cs="Arial" w:eastAsia="Arial" w:hAnsi="Arial"/>
                <w:sz w:val="14"/>
                <w:szCs w:val="14"/>
                <w:b w:val="1"/>
                <w:bCs w:val="1"/>
                <w:color w:val="auto"/>
                <w:w w:val="87"/>
              </w:rPr>
              <w:t>Sinking Fund</w:t>
            </w:r>
          </w:p>
        </w:tc>
        <w:tc>
          <w:tcPr>
            <w:tcW w:w="4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r>
      <w:tr>
        <w:trPr>
          <w:trHeight w:val="635"/>
        </w:trPr>
        <w:tc>
          <w:tcPr>
            <w:tcW w:w="3220" w:type="dxa"/>
            <w:vAlign w:val="bottom"/>
            <w:gridSpan w:val="2"/>
          </w:tcPr>
          <w:p>
            <w:pPr>
              <w:spacing w:after="0"/>
              <w:rPr>
                <w:sz w:val="20"/>
                <w:szCs w:val="20"/>
                <w:color w:val="auto"/>
              </w:rPr>
            </w:pPr>
            <w:r>
              <w:rPr>
                <w:rFonts w:ascii="Arial" w:cs="Arial" w:eastAsia="Arial" w:hAnsi="Arial"/>
                <w:sz w:val="18"/>
                <w:szCs w:val="18"/>
                <w:color w:val="auto"/>
                <w:w w:val="87"/>
              </w:rPr>
              <w:t>and thereafter at a Redemption Price equal to</w:t>
            </w:r>
          </w:p>
        </w:tc>
        <w:tc>
          <w:tcPr>
            <w:tcW w:w="360" w:type="dxa"/>
            <w:vAlign w:val="bottom"/>
            <w:tcBorders>
              <w:bottom w:val="single" w:sz="8" w:color="auto"/>
            </w:tcBorders>
          </w:tcPr>
          <w:p>
            <w:pPr>
              <w:spacing w:after="0"/>
              <w:rPr>
                <w:sz w:val="24"/>
                <w:szCs w:val="24"/>
                <w:color w:val="auto"/>
              </w:rPr>
            </w:pPr>
          </w:p>
        </w:tc>
        <w:tc>
          <w:tcPr>
            <w:tcW w:w="7380" w:type="dxa"/>
            <w:vAlign w:val="bottom"/>
            <w:gridSpan w:val="8"/>
          </w:tcPr>
          <w:p>
            <w:pPr>
              <w:spacing w:after="0"/>
              <w:rPr>
                <w:sz w:val="20"/>
                <w:szCs w:val="20"/>
                <w:color w:val="auto"/>
              </w:rPr>
            </w:pPr>
            <w:r>
              <w:rPr>
                <w:rFonts w:ascii="Arial" w:cs="Arial" w:eastAsia="Arial" w:hAnsi="Arial"/>
                <w:sz w:val="18"/>
                <w:szCs w:val="18"/>
                <w:color w:val="auto"/>
                <w:w w:val="88"/>
              </w:rPr>
              <w:t>% of the principal amount, together in the case of any such redemption (whether through operation of the</w:t>
            </w:r>
          </w:p>
        </w:tc>
      </w:tr>
    </w:tbl>
    <w:p>
      <w:pPr>
        <w:spacing w:after="0" w:line="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40" w:lineRule="exact"/>
        <w:rPr>
          <w:sz w:val="20"/>
          <w:szCs w:val="20"/>
          <w:color w:val="auto"/>
        </w:rPr>
      </w:pPr>
    </w:p>
    <w:p>
      <w:pPr>
        <w:spacing w:after="0"/>
        <w:tabs>
          <w:tab w:leader="none" w:pos="692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applicable, insert—</w:t>
      </w:r>
      <w:r>
        <w:rPr>
          <w:rFonts w:ascii="Arial" w:cs="Arial" w:eastAsia="Arial" w:hAnsi="Arial"/>
          <w:sz w:val="18"/>
          <w:szCs w:val="18"/>
          <w:color w:val="auto"/>
        </w:rPr>
        <w:t>Notwithstanding the foregoing, the Company may not, prior to</w:t>
      </w:r>
      <w:r>
        <w:rPr>
          <w:sz w:val="20"/>
          <w:szCs w:val="20"/>
          <w:color w:val="auto"/>
        </w:rPr>
        <w:tab/>
      </w:r>
      <w:r>
        <w:rPr>
          <w:rFonts w:ascii="Arial" w:cs="Arial" w:eastAsia="Arial" w:hAnsi="Arial"/>
          <w:sz w:val="15"/>
          <w:szCs w:val="15"/>
          <w:color w:val="auto"/>
        </w:rPr>
        <w:t>, redeem any Securities of this series as contemplated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-13970</wp:posOffset>
            </wp:positionV>
            <wp:extent cx="5575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[clause (2) of] the preceding paragraph as a part of, or in anticipation of, any refunding operation by the application, directly or indirectly, of moneys borrowed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00" w:type="dxa"/>
            <w:vAlign w:val="bottom"/>
            <w:gridSpan w:val="9"/>
          </w:tcPr>
          <w:p>
            <w:pPr>
              <w:spacing w:after="0"/>
              <w:rPr>
                <w:sz w:val="20"/>
                <w:szCs w:val="20"/>
                <w:color w:val="auto"/>
              </w:rPr>
            </w:pPr>
            <w:r>
              <w:rPr>
                <w:rFonts w:ascii="Arial" w:cs="Arial" w:eastAsia="Arial" w:hAnsi="Arial"/>
                <w:sz w:val="18"/>
                <w:szCs w:val="18"/>
                <w:color w:val="auto"/>
                <w:w w:val="88"/>
              </w:rPr>
              <w:t>having an interest cost to the Company (calculated in accordance with generally accepted financial practice) of less than</w:t>
            </w:r>
          </w:p>
        </w:tc>
        <w:tc>
          <w:tcPr>
            <w:tcW w:w="340" w:type="dxa"/>
            <w:vAlign w:val="bottom"/>
            <w:tcBorders>
              <w:bottom w:val="single" w:sz="8" w:color="auto"/>
            </w:tcBorders>
          </w:tcPr>
          <w:p>
            <w:pPr>
              <w:spacing w:after="0"/>
              <w:rPr>
                <w:sz w:val="17"/>
                <w:szCs w:val="17"/>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 per annum.]</w:t>
            </w:r>
          </w:p>
        </w:tc>
        <w:tc>
          <w:tcPr>
            <w:tcW w:w="1440" w:type="dxa"/>
            <w:vAlign w:val="bottom"/>
          </w:tcPr>
          <w:p>
            <w:pPr>
              <w:spacing w:after="0"/>
              <w:rPr>
                <w:sz w:val="17"/>
                <w:szCs w:val="17"/>
                <w:color w:val="auto"/>
              </w:rPr>
            </w:pPr>
          </w:p>
        </w:tc>
      </w:tr>
      <w:tr>
        <w:trPr>
          <w:trHeight w:val="358"/>
        </w:trPr>
        <w:tc>
          <w:tcPr>
            <w:tcW w:w="6060" w:type="dxa"/>
            <w:vAlign w:val="bottom"/>
            <w:gridSpan w:val="5"/>
          </w:tcPr>
          <w:p>
            <w:pP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i w:val="1"/>
                <w:iCs w:val="1"/>
                <w:color w:val="auto"/>
                <w:w w:val="90"/>
              </w:rPr>
              <w:t>If applicable, insert—</w:t>
            </w:r>
            <w:r>
              <w:rPr>
                <w:rFonts w:ascii="Arial" w:cs="Arial" w:eastAsia="Arial" w:hAnsi="Arial"/>
                <w:sz w:val="18"/>
                <w:szCs w:val="18"/>
                <w:color w:val="auto"/>
                <w:w w:val="90"/>
              </w:rPr>
              <w:t>The sinking fund for this series provides for the redemption on</w:t>
            </w:r>
          </w:p>
        </w:tc>
        <w:tc>
          <w:tcPr>
            <w:tcW w:w="880" w:type="dxa"/>
            <w:vAlign w:val="bottom"/>
            <w:tcBorders>
              <w:bottom w:val="single" w:sz="8" w:color="auto"/>
            </w:tcBorders>
            <w:gridSpan w:val="2"/>
          </w:tcPr>
          <w:p>
            <w:pPr>
              <w:spacing w:after="0"/>
              <w:rPr>
                <w:sz w:val="24"/>
                <w:szCs w:val="24"/>
                <w:color w:val="auto"/>
              </w:rPr>
            </w:pPr>
          </w:p>
        </w:tc>
        <w:tc>
          <w:tcPr>
            <w:tcW w:w="2640" w:type="dxa"/>
            <w:vAlign w:val="bottom"/>
            <w:gridSpan w:val="4"/>
          </w:tcPr>
          <w:p>
            <w:pPr>
              <w:ind w:left="40"/>
              <w:spacing w:after="0"/>
              <w:rPr>
                <w:sz w:val="20"/>
                <w:szCs w:val="20"/>
                <w:color w:val="auto"/>
              </w:rPr>
            </w:pPr>
            <w:r>
              <w:rPr>
                <w:rFonts w:ascii="Arial" w:cs="Arial" w:eastAsia="Arial" w:hAnsi="Arial"/>
                <w:sz w:val="18"/>
                <w:szCs w:val="18"/>
                <w:color w:val="auto"/>
                <w:w w:val="89"/>
              </w:rPr>
              <w:t>in each year beginning with the year</w:t>
            </w:r>
          </w:p>
        </w:tc>
        <w:tc>
          <w:tcPr>
            <w:tcW w:w="340" w:type="dxa"/>
            <w:vAlign w:val="bottom"/>
            <w:tcBorders>
              <w:bottom w:val="single" w:sz="8" w:color="auto"/>
            </w:tcBorders>
          </w:tcPr>
          <w:p>
            <w:pPr>
              <w:spacing w:after="0"/>
              <w:rPr>
                <w:sz w:val="24"/>
                <w:szCs w:val="24"/>
                <w:color w:val="auto"/>
              </w:rPr>
            </w:pPr>
          </w:p>
        </w:tc>
        <w:tc>
          <w:tcPr>
            <w:tcW w:w="1440" w:type="dxa"/>
            <w:vAlign w:val="bottom"/>
          </w:tcPr>
          <w:p>
            <w:pPr>
              <w:ind w:left="40"/>
              <w:spacing w:after="0"/>
              <w:rPr>
                <w:sz w:val="20"/>
                <w:szCs w:val="20"/>
                <w:color w:val="auto"/>
              </w:rPr>
            </w:pPr>
            <w:r>
              <w:rPr>
                <w:rFonts w:ascii="Arial" w:cs="Arial" w:eastAsia="Arial" w:hAnsi="Arial"/>
                <w:sz w:val="18"/>
                <w:szCs w:val="18"/>
                <w:color w:val="auto"/>
                <w:w w:val="88"/>
              </w:rPr>
              <w:t>and ending with the</w:t>
            </w:r>
          </w:p>
        </w:tc>
      </w:tr>
      <w:tr>
        <w:trPr>
          <w:trHeight w:val="196"/>
        </w:trPr>
        <w:tc>
          <w:tcPr>
            <w:tcW w:w="360" w:type="dxa"/>
            <w:vAlign w:val="bottom"/>
          </w:tcPr>
          <w:p>
            <w:pPr>
              <w:spacing w:after="0" w:line="196" w:lineRule="exact"/>
              <w:rPr>
                <w:sz w:val="20"/>
                <w:szCs w:val="20"/>
                <w:color w:val="auto"/>
              </w:rPr>
            </w:pPr>
            <w:r>
              <w:rPr>
                <w:rFonts w:ascii="Arial" w:cs="Arial" w:eastAsia="Arial" w:hAnsi="Arial"/>
                <w:sz w:val="18"/>
                <w:szCs w:val="18"/>
                <w:color w:val="auto"/>
                <w:w w:val="96"/>
              </w:rPr>
              <w:t>year</w:t>
            </w:r>
          </w:p>
        </w:tc>
        <w:tc>
          <w:tcPr>
            <w:tcW w:w="340" w:type="dxa"/>
            <w:vAlign w:val="bottom"/>
            <w:tcBorders>
              <w:bottom w:val="single" w:sz="8" w:color="auto"/>
            </w:tcBorders>
          </w:tcPr>
          <w:p>
            <w:pPr>
              <w:spacing w:after="0"/>
              <w:rPr>
                <w:sz w:val="17"/>
                <w:szCs w:val="17"/>
                <w:color w:val="auto"/>
              </w:rPr>
            </w:pPr>
          </w:p>
        </w:tc>
        <w:tc>
          <w:tcPr>
            <w:tcW w:w="1400" w:type="dxa"/>
            <w:vAlign w:val="bottom"/>
          </w:tcPr>
          <w:p>
            <w:pPr>
              <w:ind w:left="40"/>
              <w:spacing w:after="0" w:line="196" w:lineRule="exact"/>
              <w:rPr>
                <w:sz w:val="20"/>
                <w:szCs w:val="20"/>
                <w:color w:val="auto"/>
              </w:rPr>
            </w:pPr>
            <w:r>
              <w:rPr>
                <w:rFonts w:ascii="Arial" w:cs="Arial" w:eastAsia="Arial" w:hAnsi="Arial"/>
                <w:sz w:val="18"/>
                <w:szCs w:val="18"/>
                <w:color w:val="auto"/>
                <w:w w:val="91"/>
              </w:rPr>
              <w:t>of [not less than] $</w:t>
            </w:r>
          </w:p>
        </w:tc>
        <w:tc>
          <w:tcPr>
            <w:tcW w:w="880" w:type="dxa"/>
            <w:vAlign w:val="bottom"/>
            <w:tcBorders>
              <w:bottom w:val="single" w:sz="8" w:color="auto"/>
            </w:tcBorders>
          </w:tcPr>
          <w:p>
            <w:pPr>
              <w:spacing w:after="0"/>
              <w:rPr>
                <w:sz w:val="17"/>
                <w:szCs w:val="17"/>
                <w:color w:val="auto"/>
              </w:rPr>
            </w:pPr>
          </w:p>
        </w:tc>
        <w:tc>
          <w:tcPr>
            <w:tcW w:w="356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1"/>
              </w:rPr>
              <w:t>[(“mandatory sinking fund”) and not more than $</w:t>
            </w:r>
          </w:p>
        </w:tc>
        <w:tc>
          <w:tcPr>
            <w:tcW w:w="4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960" w:type="dxa"/>
            <w:vAlign w:val="bottom"/>
            <w:gridSpan w:val="5"/>
          </w:tcPr>
          <w:p>
            <w:pPr>
              <w:jc w:val="center"/>
              <w:spacing w:after="0" w:line="196" w:lineRule="exact"/>
              <w:rPr>
                <w:sz w:val="20"/>
                <w:szCs w:val="20"/>
                <w:color w:val="auto"/>
              </w:rPr>
            </w:pPr>
            <w:r>
              <w:rPr>
                <w:rFonts w:ascii="Arial" w:cs="Arial" w:eastAsia="Arial" w:hAnsi="Arial"/>
                <w:sz w:val="18"/>
                <w:szCs w:val="18"/>
                <w:color w:val="auto"/>
                <w:w w:val="88"/>
              </w:rPr>
              <w:t>] aggregate principal amount of Securities of this series.</w:t>
            </w:r>
          </w:p>
        </w:tc>
      </w:tr>
    </w:tbl>
    <w:p>
      <w:pPr>
        <w:spacing w:after="0" w:line="19"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[Securities of this series acquired or redeemed by the Company otherwise than through [mandatory] sinking fund payments may be credited against subsequent [mandatory] sinking fund payments otherwise required to be made [</w:t>
      </w:r>
      <w:r>
        <w:rPr>
          <w:rFonts w:ascii="Arial" w:cs="Arial" w:eastAsia="Arial" w:hAnsi="Arial"/>
          <w:sz w:val="16"/>
          <w:szCs w:val="16"/>
          <w:i w:val="1"/>
          <w:iCs w:val="1"/>
          <w:color w:val="auto"/>
        </w:rPr>
        <w:t>If applicable, insert—</w:t>
      </w:r>
      <w:r>
        <w:rPr>
          <w:rFonts w:ascii="Arial" w:cs="Arial" w:eastAsia="Arial" w:hAnsi="Arial"/>
          <w:sz w:val="16"/>
          <w:szCs w:val="16"/>
          <w:color w:val="auto"/>
        </w:rPr>
        <w:t xml:space="preserve"> in the inverse order in which they become due].]</w:t>
      </w:r>
    </w:p>
    <w:p>
      <w:pPr>
        <w:spacing w:after="0" w:line="85"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 the Securities are subject to redemption in part of any kind, insert—</w:t>
      </w:r>
      <w:r>
        <w:rPr>
          <w:rFonts w:ascii="Arial" w:cs="Arial" w:eastAsia="Arial" w:hAnsi="Arial"/>
          <w:sz w:val="16"/>
          <w:szCs w:val="16"/>
          <w:color w:val="auto"/>
        </w:rPr>
        <w:t>In the event of redemption of this Security in part only, a new Security or Securities of this series and of like tenor for the unredeemed portion hereof will be issued in the name of the Holder hereof upon the cancellation hereof.]</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applicable, insert—</w:t>
      </w:r>
      <w:r>
        <w:rPr>
          <w:rFonts w:ascii="Arial" w:cs="Arial" w:eastAsia="Arial" w:hAnsi="Arial"/>
          <w:sz w:val="18"/>
          <w:szCs w:val="18"/>
          <w:color w:val="auto"/>
        </w:rPr>
        <w:t>The Securities of this series are not redeemable prior to Stated Maturity.]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57" w:right="259" w:bottom="1440" w:gutter="0" w:footer="0" w:header="0"/>
        </w:sectPr>
      </w:pPr>
    </w:p>
    <w:bookmarkStart w:id="82" w:name="page83"/>
    <w:bookmarkEnd w:id="82"/>
    <w:p>
      <w:pPr>
        <w:ind w:right="4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i w:val="1"/>
          <w:iCs w:val="1"/>
          <w:color w:val="auto"/>
        </w:rPr>
        <w:t>If the Security is not an Original Issue Discount Security</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8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 the Security is an Original Issue Discount Security</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If an Event of Default with respect to Securities of this series shall occur and be continuing, an amount of principal of the Securities of this series may be declared due and payable in the manner and with the effect provided in the Indenture. Such amount shall be equal to </w:t>
      </w:r>
      <w:r>
        <w:rPr>
          <w:rFonts w:ascii="Arial" w:cs="Arial" w:eastAsia="Arial" w:hAnsi="Arial"/>
          <w:sz w:val="16"/>
          <w:szCs w:val="16"/>
          <w:i w:val="1"/>
          <w:iCs w:val="1"/>
          <w:color w:val="auto"/>
        </w:rPr>
        <w:t>—insert formula for determining the amount</w:t>
      </w:r>
      <w:r>
        <w:rPr>
          <w:rFonts w:ascii="Arial" w:cs="Arial" w:eastAsia="Arial" w:hAnsi="Arial"/>
          <w:sz w:val="16"/>
          <w:szCs w:val="16"/>
          <w:color w:val="auto"/>
        </w:rPr>
        <w:t>. Upon payment (i) of the amount of principal so declared due and payable and (ii) of interest on any overdue principal and overdue interest (in each case to the extent that the payment of such interest shall be legally enforceable), all of the Company’s obligations in respect of the payment of the principal of and interest, if any, on the Securities of this series shall terminate.]</w:t>
      </w:r>
    </w:p>
    <w:p>
      <w:pPr>
        <w:spacing w:after="0" w:line="11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Indenture permits, with certain exceptions as therein provided, the amendment thereof and the modification of the rights and obligations of the Company [</w:t>
      </w:r>
      <w:r>
        <w:rPr>
          <w:rFonts w:ascii="Arial" w:cs="Arial" w:eastAsia="Arial" w:hAnsi="Arial"/>
          <w:sz w:val="16"/>
          <w:szCs w:val="16"/>
          <w:i w:val="1"/>
          <w:iCs w:val="1"/>
          <w:color w:val="auto"/>
        </w:rPr>
        <w:t>If</w:t>
      </w:r>
      <w:r>
        <w:rPr>
          <w:rFonts w:ascii="Arial" w:cs="Arial" w:eastAsia="Arial" w:hAnsi="Arial"/>
          <w:sz w:val="16"/>
          <w:szCs w:val="16"/>
          <w:color w:val="auto"/>
        </w:rPr>
        <w:t xml:space="preserve"> </w:t>
      </w:r>
      <w:r>
        <w:rPr>
          <w:rFonts w:ascii="Arial" w:cs="Arial" w:eastAsia="Arial" w:hAnsi="Arial"/>
          <w:sz w:val="16"/>
          <w:szCs w:val="16"/>
          <w:i w:val="1"/>
          <w:iCs w:val="1"/>
          <w:color w:val="auto"/>
        </w:rPr>
        <w:t>applicable, insert—</w:t>
      </w:r>
      <w:r>
        <w:rPr>
          <w:rFonts w:ascii="Arial" w:cs="Arial" w:eastAsia="Arial" w:hAnsi="Arial"/>
          <w:sz w:val="16"/>
          <w:szCs w:val="16"/>
          <w:color w:val="auto"/>
        </w:rPr>
        <w:t>and the Guarantors] and the rights of the Holders of the Securities of each series to be affected under the Indenture at any time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t>
      </w:r>
      <w:r>
        <w:rPr>
          <w:rFonts w:ascii="Arial" w:cs="Arial" w:eastAsia="Arial" w:hAnsi="Arial"/>
          <w:sz w:val="16"/>
          <w:szCs w:val="16"/>
          <w:i w:val="1"/>
          <w:iCs w:val="1"/>
          <w:color w:val="auto"/>
        </w:rPr>
        <w:t>If applicable, insert—</w:t>
      </w:r>
      <w:r>
        <w:rPr>
          <w:rFonts w:ascii="Arial" w:cs="Arial" w:eastAsia="Arial" w:hAnsi="Arial"/>
          <w:sz w:val="16"/>
          <w:szCs w:val="16"/>
          <w:color w:val="auto"/>
        </w:rPr>
        <w:t>and the Guarantors]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t>
      </w:r>
      <w:r>
        <w:rPr>
          <w:rFonts w:ascii="Arial" w:cs="Arial" w:eastAsia="Arial" w:hAnsi="Arial"/>
          <w:sz w:val="16"/>
          <w:szCs w:val="16"/>
          <w:i w:val="1"/>
          <w:iCs w:val="1"/>
          <w:color w:val="auto"/>
        </w:rPr>
        <w:t>If applicable,</w:t>
      </w:r>
      <w:r>
        <w:rPr>
          <w:rFonts w:ascii="Arial" w:cs="Arial" w:eastAsia="Arial" w:hAnsi="Arial"/>
          <w:sz w:val="16"/>
          <w:szCs w:val="16"/>
          <w:color w:val="auto"/>
        </w:rPr>
        <w:t xml:space="preserve"> </w:t>
      </w:r>
      <w:r>
        <w:rPr>
          <w:rFonts w:ascii="Arial" w:cs="Arial" w:eastAsia="Arial" w:hAnsi="Arial"/>
          <w:sz w:val="16"/>
          <w:szCs w:val="16"/>
          <w:i w:val="1"/>
          <w:iCs w:val="1"/>
          <w:color w:val="auto"/>
        </w:rPr>
        <w:t>insert—</w:t>
      </w:r>
      <w:r>
        <w:rPr>
          <w:rFonts w:ascii="Arial" w:cs="Arial" w:eastAsia="Arial" w:hAnsi="Arial"/>
          <w:sz w:val="16"/>
          <w:szCs w:val="16"/>
          <w:color w:val="auto"/>
        </w:rPr>
        <w:t>and the Guarantors] with certain provisions of the Indenture and certain past defaults under the Indenture and their consequences. Any such consent or</w:t>
      </w:r>
      <w:r>
        <w:rPr>
          <w:rFonts w:ascii="Arial" w:cs="Arial" w:eastAsia="Arial" w:hAnsi="Arial"/>
          <w:sz w:val="16"/>
          <w:szCs w:val="16"/>
          <w:i w:val="1"/>
          <w:iCs w:val="1"/>
          <w:color w:val="auto"/>
        </w:rPr>
        <w:t xml:space="preserve"> </w:t>
      </w:r>
      <w:r>
        <w:rPr>
          <w:rFonts w:ascii="Arial" w:cs="Arial" w:eastAsia="Arial" w:hAnsi="Arial"/>
          <w:sz w:val="16"/>
          <w:szCs w:val="16"/>
          <w:color w:val="auto"/>
        </w:rPr>
        <w:t>waiver by the Holder of this Security shall be conclusive and binding upon such Holder and upon all future Holders of this Security and of any Security issued upon the registration of transfer hereof or in exchange herefor or in lieu hereof, regardless of whether notation of such consent or waiver is made upon this Security.</w:t>
      </w:r>
    </w:p>
    <w:p>
      <w:pPr>
        <w:spacing w:after="0" w:line="120"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premium, if any) and interest on this Security at the times, place(s) and rate, and in the coin or currency, herein prescribed.</w:t>
      </w:r>
    </w:p>
    <w:p>
      <w:pPr>
        <w:spacing w:after="0" w:line="14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 a Global Security, insert—</w:t>
      </w:r>
      <w:r>
        <w:rPr>
          <w:rFonts w:ascii="Arial" w:cs="Arial" w:eastAsia="Arial" w:hAnsi="Arial"/>
          <w:sz w:val="16"/>
          <w:szCs w:val="16"/>
          <w:color w:val="auto"/>
        </w:rPr>
        <w:t>This Global Security or portion hereof may not be exchanged for Definitive Securities of this series except in the limited circumstances provided in the Indenture. The holders of beneficial interests in this Global Security will not be entitled to receive physical delivery of Definitive Securities except as described in the Indenture and will not be considered the Holders thereof for any purpose under the Indenture.]</w:t>
      </w:r>
    </w:p>
    <w:p>
      <w:pPr>
        <w:spacing w:after="0" w:line="107"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 a Definitive Security, insert—</w:t>
      </w:r>
      <w:r>
        <w:rPr>
          <w:rFonts w:ascii="Arial" w:cs="Arial" w:eastAsia="Arial" w:hAnsi="Arial"/>
          <w:sz w:val="16"/>
          <w:szCs w:val="16"/>
          <w:color w:val="auto"/>
        </w:rPr>
        <w:t>As provided in the Indenture and subject to certain limitations therein set forth, the transfer of this Security is registerable in the Security Register, upon surrender of this Security for registration of transfer at the office or agency of the Company in [</w:t>
      </w:r>
      <w:r>
        <w:rPr>
          <w:rFonts w:ascii="Arial" w:cs="Arial" w:eastAsia="Arial" w:hAnsi="Arial"/>
          <w:sz w:val="16"/>
          <w:szCs w:val="16"/>
          <w:i w:val="1"/>
          <w:iCs w:val="1"/>
          <w:color w:val="auto"/>
        </w:rPr>
        <w:t>if applicable, insert—</w:t>
      </w:r>
      <w:r>
        <w:rPr>
          <w:rFonts w:ascii="Arial" w:cs="Arial" w:eastAsia="Arial" w:hAnsi="Arial"/>
          <w:sz w:val="16"/>
          <w:szCs w:val="16"/>
          <w:color w:val="auto"/>
        </w:rPr>
        <w:t>any place where the principal of and any premium and interest on this Security are payable] [</w:t>
      </w:r>
      <w:r>
        <w:rPr>
          <w:rFonts w:ascii="Arial" w:cs="Arial" w:eastAsia="Arial" w:hAnsi="Arial"/>
          <w:sz w:val="16"/>
          <w:szCs w:val="16"/>
          <w:i w:val="1"/>
          <w:iCs w:val="1"/>
          <w:color w:val="auto"/>
        </w:rPr>
        <w:t>if applicable, insert—</w:t>
      </w:r>
      <w:r>
        <w:rPr>
          <w:rFonts w:ascii="Arial" w:cs="Arial" w:eastAsia="Arial" w:hAnsi="Arial"/>
          <w:sz w:val="16"/>
          <w:szCs w:val="16"/>
          <w:color w:val="auto"/>
        </w:rPr>
        <w:t>The City of New York [, or, subject to any laws or regulations applicable thereto and to the right of the Company (limited as provided in the Indenture) to rescind the designation of any such transfer agent, at the [main]</w:t>
      </w:r>
    </w:p>
    <w:p>
      <w:pPr>
        <w:spacing w:after="0" w:line="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offices of in or at such other offices or agencies as the Company may designate]],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-443230</wp:posOffset>
            </wp:positionV>
            <wp:extent cx="12573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83" w:name="page84"/>
    <w:bookmarkEnd w:id="83"/>
    <w:p>
      <w:pPr>
        <w:spacing w:after="0"/>
        <w:tabs>
          <w:tab w:leader="none" w:pos="8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Securities of this series are issuable only in registered form without coupons in denominations of U.S. $</w:t>
      </w:r>
      <w:r>
        <w:rPr>
          <w:sz w:val="20"/>
          <w:szCs w:val="20"/>
          <w:color w:val="auto"/>
        </w:rPr>
        <w:tab/>
      </w:r>
      <w:r>
        <w:rPr>
          <w:rFonts w:ascii="Arial" w:cs="Arial" w:eastAsia="Arial" w:hAnsi="Arial"/>
          <w:sz w:val="16"/>
          <w:szCs w:val="16"/>
          <w:color w:val="auto"/>
        </w:rPr>
        <w:t>and any integral multiple thereof.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4866005</wp:posOffset>
            </wp:positionH>
            <wp:positionV relativeFrom="paragraph">
              <wp:posOffset>-13970</wp:posOffset>
            </wp:positionV>
            <wp:extent cx="5575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right="320"/>
        <w:spacing w:after="0" w:line="323" w:lineRule="auto"/>
        <w:rPr>
          <w:sz w:val="20"/>
          <w:szCs w:val="20"/>
          <w:color w:val="auto"/>
        </w:rPr>
      </w:pPr>
      <w:r>
        <w:rPr>
          <w:rFonts w:ascii="Arial" w:cs="Arial" w:eastAsia="Arial" w:hAnsi="Arial"/>
          <w:sz w:val="16"/>
          <w:szCs w:val="16"/>
          <w:color w:val="auto"/>
        </w:rPr>
        <w:t>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9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Prior to due presentment of this Security for registration of transfer, the Company, [</w:t>
      </w:r>
      <w:r>
        <w:rPr>
          <w:rFonts w:ascii="Arial" w:cs="Arial" w:eastAsia="Arial" w:hAnsi="Arial"/>
          <w:sz w:val="18"/>
          <w:szCs w:val="18"/>
          <w:i w:val="1"/>
          <w:iCs w:val="1"/>
          <w:color w:val="auto"/>
        </w:rPr>
        <w:t>If applicable, insert—</w:t>
      </w:r>
      <w:r>
        <w:rPr>
          <w:rFonts w:ascii="Arial" w:cs="Arial" w:eastAsia="Arial" w:hAnsi="Arial"/>
          <w:sz w:val="18"/>
          <w:szCs w:val="18"/>
          <w:color w:val="auto"/>
        </w:rPr>
        <w:t>any Guarantor,] the Trustee and any agent of the Company [</w:t>
      </w:r>
      <w:r>
        <w:rPr>
          <w:rFonts w:ascii="Arial" w:cs="Arial" w:eastAsia="Arial" w:hAnsi="Arial"/>
          <w:sz w:val="18"/>
          <w:szCs w:val="18"/>
          <w:i w:val="1"/>
          <w:iCs w:val="1"/>
          <w:color w:val="auto"/>
        </w:rPr>
        <w:t>If applicable, insert—</w:t>
      </w:r>
      <w:r>
        <w:rPr>
          <w:rFonts w:ascii="Arial" w:cs="Arial" w:eastAsia="Arial" w:hAnsi="Arial"/>
          <w:sz w:val="18"/>
          <w:szCs w:val="18"/>
          <w:color w:val="auto"/>
        </w:rPr>
        <w:t>, a Guarantor] or the Trustee may treat the Person in whose name this Security is registered as the owner hereof for all purposes, regardless of whether this Security be overdue, and none of the Company, [</w:t>
      </w:r>
      <w:r>
        <w:rPr>
          <w:rFonts w:ascii="Arial" w:cs="Arial" w:eastAsia="Arial" w:hAnsi="Arial"/>
          <w:sz w:val="18"/>
          <w:szCs w:val="18"/>
          <w:i w:val="1"/>
          <w:iCs w:val="1"/>
          <w:color w:val="auto"/>
        </w:rPr>
        <w:t>If applicable, insert—</w:t>
      </w:r>
      <w:r>
        <w:rPr>
          <w:rFonts w:ascii="Arial" w:cs="Arial" w:eastAsia="Arial" w:hAnsi="Arial"/>
          <w:sz w:val="18"/>
          <w:szCs w:val="18"/>
          <w:color w:val="auto"/>
        </w:rPr>
        <w:t>the Guarantors,] the Trustee nor any such agent shall be affected by notice to the contrary.</w:t>
      </w:r>
    </w:p>
    <w:p>
      <w:pPr>
        <w:spacing w:after="0" w:line="14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No recourse under or upon any obligation, covenant or agreement of or contained in the Indenture or of or contained in any Security, [</w:t>
      </w:r>
      <w:r>
        <w:rPr>
          <w:rFonts w:ascii="Arial" w:cs="Arial" w:eastAsia="Arial" w:hAnsi="Arial"/>
          <w:sz w:val="16"/>
          <w:szCs w:val="16"/>
          <w:i w:val="1"/>
          <w:iCs w:val="1"/>
          <w:color w:val="auto"/>
        </w:rPr>
        <w:t>If applicable, insert—</w:t>
      </w:r>
      <w:r>
        <w:rPr>
          <w:rFonts w:ascii="Arial" w:cs="Arial" w:eastAsia="Arial" w:hAnsi="Arial"/>
          <w:sz w:val="16"/>
          <w:szCs w:val="16"/>
          <w:color w:val="auto"/>
        </w:rPr>
        <w:t>, or the Guarantee endorsed thereon,] or for any claim based thereon or otherwise in respect thereof, or in any Security [</w:t>
      </w:r>
      <w:r>
        <w:rPr>
          <w:rFonts w:ascii="Arial" w:cs="Arial" w:eastAsia="Arial" w:hAnsi="Arial"/>
          <w:sz w:val="16"/>
          <w:szCs w:val="16"/>
          <w:i w:val="1"/>
          <w:iCs w:val="1"/>
          <w:color w:val="auto"/>
        </w:rPr>
        <w:t>If applicable, insert—</w:t>
      </w:r>
      <w:r>
        <w:rPr>
          <w:rFonts w:ascii="Arial" w:cs="Arial" w:eastAsia="Arial" w:hAnsi="Arial"/>
          <w:sz w:val="16"/>
          <w:szCs w:val="16"/>
          <w:color w:val="auto"/>
        </w:rPr>
        <w:t>or in the Guarantee], or because of the creation of any indebtedness represented thereby, shall be had against any incorporator, shareholder, member, officer, manager or director, as such, past, present or future, of the Company [</w:t>
      </w:r>
      <w:r>
        <w:rPr>
          <w:rFonts w:ascii="Arial" w:cs="Arial" w:eastAsia="Arial" w:hAnsi="Arial"/>
          <w:sz w:val="16"/>
          <w:szCs w:val="16"/>
          <w:i w:val="1"/>
          <w:iCs w:val="1"/>
          <w:color w:val="auto"/>
        </w:rPr>
        <w:t>If applicable, insert—</w:t>
      </w:r>
      <w:r>
        <w:rPr>
          <w:rFonts w:ascii="Arial" w:cs="Arial" w:eastAsia="Arial" w:hAnsi="Arial"/>
          <w:sz w:val="16"/>
          <w:szCs w:val="16"/>
          <w:color w:val="auto"/>
        </w:rPr>
        <w:t>or any Guarantor] or of any successor Person, either directly or through the Company [</w:t>
      </w:r>
      <w:r>
        <w:rPr>
          <w:rFonts w:ascii="Arial" w:cs="Arial" w:eastAsia="Arial" w:hAnsi="Arial"/>
          <w:sz w:val="16"/>
          <w:szCs w:val="16"/>
          <w:i w:val="1"/>
          <w:iCs w:val="1"/>
          <w:color w:val="auto"/>
        </w:rPr>
        <w:t>If</w:t>
      </w:r>
      <w:r>
        <w:rPr>
          <w:rFonts w:ascii="Arial" w:cs="Arial" w:eastAsia="Arial" w:hAnsi="Arial"/>
          <w:sz w:val="16"/>
          <w:szCs w:val="16"/>
          <w:color w:val="auto"/>
        </w:rPr>
        <w:t xml:space="preserve"> </w:t>
      </w:r>
      <w:r>
        <w:rPr>
          <w:rFonts w:ascii="Arial" w:cs="Arial" w:eastAsia="Arial" w:hAnsi="Arial"/>
          <w:sz w:val="16"/>
          <w:szCs w:val="16"/>
          <w:i w:val="1"/>
          <w:iCs w:val="1"/>
          <w:color w:val="auto"/>
        </w:rPr>
        <w:t>applicable, insert—</w:t>
      </w:r>
      <w:r>
        <w:rPr>
          <w:rFonts w:ascii="Arial" w:cs="Arial" w:eastAsia="Arial" w:hAnsi="Arial"/>
          <w:sz w:val="16"/>
          <w:szCs w:val="16"/>
          <w:color w:val="auto"/>
        </w:rPr>
        <w:t>or any Guarantor] or any successor Person, whether by virtue of any constitution, statute or rule of law, or by the enforcement of any</w:t>
      </w:r>
      <w:r>
        <w:rPr>
          <w:rFonts w:ascii="Arial" w:cs="Arial" w:eastAsia="Arial" w:hAnsi="Arial"/>
          <w:sz w:val="16"/>
          <w:szCs w:val="16"/>
          <w:i w:val="1"/>
          <w:iCs w:val="1"/>
          <w:color w:val="auto"/>
        </w:rPr>
        <w:t xml:space="preserve"> </w:t>
      </w:r>
      <w:r>
        <w:rPr>
          <w:rFonts w:ascii="Arial" w:cs="Arial" w:eastAsia="Arial" w:hAnsi="Arial"/>
          <w:sz w:val="16"/>
          <w:szCs w:val="16"/>
          <w:color w:val="auto"/>
        </w:rPr>
        <w:t>assessment, penalty or otherwise; it being expressly understood that all such liability is hereby expressly waived and released by the acceptance hereof and as a condition of, and as part of the consideration for, the Securities and the execution of the Indenture.</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Indenture provides that the Company [</w:t>
      </w:r>
      <w:r>
        <w:rPr>
          <w:rFonts w:ascii="Arial" w:cs="Arial" w:eastAsia="Arial" w:hAnsi="Arial"/>
          <w:sz w:val="16"/>
          <w:szCs w:val="16"/>
          <w:i w:val="1"/>
          <w:iCs w:val="1"/>
          <w:color w:val="auto"/>
        </w:rPr>
        <w:t>If applicable, insert—</w:t>
      </w:r>
      <w:r>
        <w:rPr>
          <w:rFonts w:ascii="Arial" w:cs="Arial" w:eastAsia="Arial" w:hAnsi="Arial"/>
          <w:sz w:val="16"/>
          <w:szCs w:val="16"/>
          <w:color w:val="auto"/>
        </w:rPr>
        <w:t>and the Guarantors] (a) will be discharged from any and all obligations in respect of the Securities (except for certain obligations described in the Indenture), or (b) need not comply with certain restrictive covenants of the Indenture, in each case if the Company [</w:t>
      </w:r>
      <w:r>
        <w:rPr>
          <w:rFonts w:ascii="Arial" w:cs="Arial" w:eastAsia="Arial" w:hAnsi="Arial"/>
          <w:sz w:val="16"/>
          <w:szCs w:val="16"/>
          <w:i w:val="1"/>
          <w:iCs w:val="1"/>
          <w:color w:val="auto"/>
        </w:rPr>
        <w:t>If applicable, insert—</w:t>
      </w:r>
      <w:r>
        <w:rPr>
          <w:rFonts w:ascii="Arial" w:cs="Arial" w:eastAsia="Arial" w:hAnsi="Arial"/>
          <w:sz w:val="16"/>
          <w:szCs w:val="16"/>
          <w:color w:val="auto"/>
        </w:rPr>
        <w:t>or a Guarantor] deposits, in trust, with the Trustee money or U.S. Government Obligations (or a combination thereof) which through the payment of interest thereon and principal thereof in accordance with their terms will provide money, in an amount sufficient to pay all the principal of and interest on the Securities, but such money need not be segregated from other funds except to the extent required by law.</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Except as otherwise defined herein, all terms used in this Security which are defined in the Indenture shall have the meanings assigned to them in the Indenture.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a Definitive Security, insert as a separate page</w:t>
            </w: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372"/>
        </w:trPr>
        <w:tc>
          <w:tcPr>
            <w:tcW w:w="7140" w:type="dxa"/>
            <w:vAlign w:val="bottom"/>
          </w:tcPr>
          <w:p>
            <w:pPr>
              <w:spacing w:after="0"/>
              <w:rPr>
                <w:sz w:val="20"/>
                <w:szCs w:val="20"/>
                <w:color w:val="auto"/>
              </w:rPr>
            </w:pPr>
            <w:r>
              <w:rPr>
                <w:rFonts w:ascii="Arial" w:cs="Arial" w:eastAsia="Arial" w:hAnsi="Arial"/>
                <w:sz w:val="18"/>
                <w:szCs w:val="18"/>
                <w:color w:val="auto"/>
              </w:rPr>
              <w:t>FOR VALUE RECEIVED, the undersigned hereby sell(s), assign(s) and transfer(s) unto</w:t>
            </w:r>
          </w:p>
        </w:tc>
        <w:tc>
          <w:tcPr>
            <w:tcW w:w="124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w w:val="88"/>
              </w:rPr>
              <w:t>________________________________________________________________________________</w:t>
            </w:r>
          </w:p>
        </w:tc>
        <w:tc>
          <w:tcPr>
            <w:tcW w:w="124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22"/>
        </w:trPr>
        <w:tc>
          <w:tcPr>
            <w:tcW w:w="7140" w:type="dxa"/>
            <w:vAlign w:val="bottom"/>
          </w:tcPr>
          <w:p>
            <w:pPr>
              <w:spacing w:after="0"/>
              <w:rPr>
                <w:sz w:val="20"/>
                <w:szCs w:val="20"/>
                <w:color w:val="auto"/>
              </w:rPr>
            </w:pPr>
            <w:r>
              <w:rPr>
                <w:rFonts w:ascii="Arial" w:cs="Arial" w:eastAsia="Arial" w:hAnsi="Arial"/>
                <w:sz w:val="18"/>
                <w:szCs w:val="18"/>
                <w:color w:val="auto"/>
              </w:rPr>
              <w:t>(Please Print or Typewrite Name and Address of Assignee)</w:t>
            </w:r>
          </w:p>
        </w:tc>
        <w:tc>
          <w:tcPr>
            <w:tcW w:w="124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340"/>
        </w:trPr>
        <w:tc>
          <w:tcPr>
            <w:tcW w:w="7140" w:type="dxa"/>
            <w:vAlign w:val="bottom"/>
          </w:tcPr>
          <w:p>
            <w:pPr>
              <w:spacing w:after="0"/>
              <w:rPr>
                <w:sz w:val="20"/>
                <w:szCs w:val="20"/>
                <w:color w:val="auto"/>
              </w:rPr>
            </w:pPr>
            <w:r>
              <w:rPr>
                <w:rFonts w:ascii="Arial" w:cs="Arial" w:eastAsia="Arial" w:hAnsi="Arial"/>
                <w:sz w:val="18"/>
                <w:szCs w:val="18"/>
                <w:color w:val="auto"/>
                <w:w w:val="90"/>
              </w:rPr>
              <w:t>the within instrument of ACTIVE POWER, INC. and does hereby irrevocably constitute and appoint</w:t>
            </w:r>
          </w:p>
        </w:tc>
        <w:tc>
          <w:tcPr>
            <w:tcW w:w="1240" w:type="dxa"/>
            <w:vAlign w:val="bottom"/>
            <w:tcBorders>
              <w:bottom w:val="single" w:sz="8" w:color="auto"/>
            </w:tcBorders>
          </w:tcPr>
          <w:p>
            <w:pPr>
              <w:spacing w:after="0"/>
              <w:rPr>
                <w:sz w:val="24"/>
                <w:szCs w:val="24"/>
                <w:color w:val="auto"/>
              </w:rPr>
            </w:pPr>
          </w:p>
        </w:tc>
        <w:tc>
          <w:tcPr>
            <w:tcW w:w="3020" w:type="dxa"/>
            <w:vAlign w:val="bottom"/>
          </w:tcPr>
          <w:p>
            <w:pPr>
              <w:ind w:left="40"/>
              <w:spacing w:after="0"/>
              <w:rPr>
                <w:sz w:val="20"/>
                <w:szCs w:val="20"/>
                <w:color w:val="auto"/>
              </w:rPr>
            </w:pPr>
            <w:r>
              <w:rPr>
                <w:rFonts w:ascii="Arial" w:cs="Arial" w:eastAsia="Arial" w:hAnsi="Arial"/>
                <w:sz w:val="18"/>
                <w:szCs w:val="18"/>
                <w:color w:val="auto"/>
                <w:w w:val="88"/>
              </w:rPr>
              <w:t>Attorney to transfer said instrument on the</w:t>
            </w:r>
          </w:p>
        </w:tc>
      </w:tr>
      <w:tr>
        <w:trPr>
          <w:trHeight w:val="235"/>
        </w:trPr>
        <w:tc>
          <w:tcPr>
            <w:tcW w:w="7140" w:type="dxa"/>
            <w:vAlign w:val="bottom"/>
          </w:tcPr>
          <w:p>
            <w:pPr>
              <w:spacing w:after="0"/>
              <w:rPr>
                <w:sz w:val="20"/>
                <w:szCs w:val="20"/>
                <w:color w:val="auto"/>
              </w:rPr>
            </w:pPr>
            <w:r>
              <w:rPr>
                <w:rFonts w:ascii="Arial" w:cs="Arial" w:eastAsia="Arial" w:hAnsi="Arial"/>
                <w:sz w:val="18"/>
                <w:szCs w:val="18"/>
                <w:color w:val="auto"/>
              </w:rPr>
              <w:t>books of the within-named Company, with full power of substitution in the premises.</w:t>
            </w:r>
          </w:p>
        </w:tc>
        <w:tc>
          <w:tcPr>
            <w:tcW w:w="124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365"/>
        </w:trPr>
        <w:tc>
          <w:tcPr>
            <w:tcW w:w="7140" w:type="dxa"/>
            <w:vAlign w:val="bottom"/>
          </w:tcPr>
          <w:p>
            <w:pPr>
              <w:ind w:left="5620"/>
              <w:spacing w:after="0"/>
              <w:rPr>
                <w:sz w:val="20"/>
                <w:szCs w:val="20"/>
                <w:color w:val="auto"/>
              </w:rPr>
            </w:pPr>
            <w:r>
              <w:rPr>
                <w:rFonts w:ascii="Arial" w:cs="Arial" w:eastAsia="Arial" w:hAnsi="Arial"/>
                <w:sz w:val="18"/>
                <w:szCs w:val="18"/>
                <w:color w:val="auto"/>
              </w:rPr>
              <w:t>19</w:t>
            </w:r>
          </w:p>
        </w:tc>
        <w:tc>
          <w:tcPr>
            <w:tcW w:w="1240" w:type="dxa"/>
            <w:vAlign w:val="bottom"/>
          </w:tcPr>
          <w:p>
            <w:pPr>
              <w:spacing w:after="0"/>
              <w:rPr>
                <w:sz w:val="24"/>
                <w:szCs w:val="24"/>
                <w:color w:val="auto"/>
              </w:rPr>
            </w:pPr>
          </w:p>
        </w:tc>
        <w:tc>
          <w:tcPr>
            <w:tcW w:w="3020" w:type="dxa"/>
            <w:vAlign w:val="bottom"/>
          </w:tcPr>
          <w:p>
            <w:pPr>
              <w:spacing w:after="0"/>
              <w:rPr>
                <w:sz w:val="24"/>
                <w:szCs w:val="24"/>
                <w:color w:val="auto"/>
              </w:rPr>
            </w:pPr>
          </w:p>
        </w:tc>
      </w:tr>
    </w:tbl>
    <w:p>
      <w:pPr>
        <w:sectPr>
          <w:pgSz w:w="11900" w:h="16838" w:orient="portrait"/>
          <w:cols w:equalWidth="0" w:num="1">
            <w:col w:w="11400"/>
          </w:cols>
          <w:pgMar w:left="240" w:top="280" w:right="25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Please Insert Social Security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2540</wp:posOffset>
            </wp:positionV>
            <wp:extent cx="68694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ind w:left="8640"/>
        <w:spacing w:after="0"/>
        <w:rPr>
          <w:sz w:val="20"/>
          <w:szCs w:val="20"/>
          <w:color w:val="auto"/>
        </w:rPr>
      </w:pPr>
      <w:r>
        <w:rPr>
          <w:rFonts w:ascii="Arial" w:cs="Arial" w:eastAsia="Arial" w:hAnsi="Arial"/>
          <w:sz w:val="18"/>
          <w:szCs w:val="18"/>
          <w:color w:val="auto"/>
        </w:rPr>
        <w:t>(Signature)</w:t>
      </w:r>
    </w:p>
    <w:p>
      <w:pPr>
        <w:spacing w:after="0" w:line="17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NOTICE: The signature to this assignment must correspond with the name as written upon the face of the within instrument in every particular, without alteration or enlargement or any change whatever.]</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 a Security to which Article Fourteen has been made applicable, insert the following Form of Notation on such Security relating to the Guarantee</w:t>
      </w:r>
      <w:r>
        <w:rPr>
          <w:rFonts w:ascii="Arial" w:cs="Arial" w:eastAsia="Arial" w:hAnsi="Arial"/>
          <w:sz w:val="16"/>
          <w:szCs w:val="16"/>
          <w:color w:val="auto"/>
        </w:rPr>
        <w:t>—</w:t>
      </w:r>
    </w:p>
    <w:p>
      <w:pPr>
        <w:spacing w:after="0" w:line="194"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Each of the Guarantors (which term includes any successor Person in such capacity under the Indenture), has fully, unconditionally and absolutely guaranteed, to the extent set forth in the Indenture and subject to the provisions in the Indenture, the due and punctual payment of the principal of, and premium, if any, and interest on the Securities of this series and all other amounts due and payable under the Indenture and the Securities of this series by the Company.</w:t>
      </w:r>
    </w:p>
    <w:p>
      <w:pPr>
        <w:spacing w:after="0" w:line="10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obligations of the Guarantors to the Holders of Securities of this series and to the Trustee pursuant to the Guarantee and the Indenture are expressly set forth in Article Fourteen of the Indenture and reference is hereby made to the Indenture for the precise terms of the Guarantee.</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Guarantors: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EACH GUARANTOR]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2540</wp:posOffset>
            </wp:positionV>
            <wp:extent cx="268414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-5715</wp:posOffset>
            </wp:positionV>
            <wp:extent cx="26155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Global Securities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Every Global Security authenticated and delivered hereunder shall bear a legend in substantially the following form:</w:t>
      </w:r>
    </w:p>
    <w:p>
      <w:pPr>
        <w:spacing w:after="0" w:line="84"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b w:val="1"/>
          <w:bCs w:val="1"/>
          <w:color w:val="auto"/>
        </w:rPr>
        <w:t>THIS SECURITY IS A GLOBAL SECURITY WITHIN THE MEANING OF THE INDENTURE HEREINAFTER REFERRED TO AND IS REGISTERED IN THE NAME OF A DEPOSITARY OR A NOMINEE THEREOF. THIS SECURITY MAY NOT BE TRANSFERRED TO, OR REGISTERED OR EXCHANGED FOR SECURITIES REGISTERED IN THE NAME OF, ANY PERSON OTHER THAN THE DEPOSITARY OR A NOMINEE THEREOF AND NO SUCH TRANSFER MAY BE REGISTERED, EXCEPT IN THE LIMITED CIRCUMSTANCES DESCRIBED IN THE INDENTURE.</w:t>
      </w:r>
    </w:p>
    <w:p>
      <w:pPr>
        <w:spacing w:after="0" w:line="58" w:lineRule="exact"/>
        <w:rPr>
          <w:sz w:val="20"/>
          <w:szCs w:val="20"/>
          <w:color w:val="auto"/>
        </w:rPr>
      </w:pPr>
    </w:p>
    <w:p>
      <w:pPr>
        <w:ind w:left="460" w:right="200"/>
        <w:spacing w:after="0" w:line="262" w:lineRule="auto"/>
        <w:rPr>
          <w:sz w:val="20"/>
          <w:szCs w:val="20"/>
          <w:color w:val="auto"/>
        </w:rPr>
      </w:pPr>
      <w:r>
        <w:rPr>
          <w:rFonts w:ascii="Arial" w:cs="Arial" w:eastAsia="Arial" w:hAnsi="Arial"/>
          <w:sz w:val="18"/>
          <w:szCs w:val="18"/>
          <w:b w:val="1"/>
          <w:bCs w:val="1"/>
          <w:color w:val="auto"/>
        </w:rPr>
        <w:t>EVERY SECURITY AUTHENTICATED AND DELIVERED UPON REGISTRATION OF TRANSFER OF, OR IN EXCHANGE FOR OR IN LIEU OF, THIS SECURITY SHALL BE A GLOBAL SECURITY SUBJECT TO THE FOREGOING, EXCEPT IN SUCH LIMITED CIRCUMSTANCES.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85" w:name="page86"/>
    <w:bookmarkEnd w:id="85"/>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Securities of a series are issuable in whole or in part in the form of one or more Global Securities, as specified as contemplated by Section 3.1, then, notwithstanding clause (i) of Section 3.1 and the provisions of Section 3.2, any Global Security shall represent such of the Outstanding Securities of such series as shall be specified therein and may provide that it shall represent the aggregate amount of Outstanding Securities from time to time endorsed thereon and that the aggregate amount of Outstanding Securities represented thereby may from time to time be reduced or increased, as the case may be, to reflect exchanges. Any endorsement of a Global Security to reflect the amount, or any reduction or increase in the amount, of Outstanding Securities represented thereby shall be made in such manner and upon instructions given by such Person or Persons as shall be specified therein or in a Company Order. Subject to the provisions of Section 3.3, Section 3.4 and Section 3.5, the Trustee shall deliver and redeliver any Global Security in the manner and upon instructions given by the Person or Persons specified therein or in the applicable Company Order. Any instructions by the Company with respect to endorsement or delivery or redelivery of a Global Security shall be in a Company Order (which need not comply with Section 1.3 and need not be accompanied by an Opinion of Counsel).</w:t>
      </w:r>
    </w:p>
    <w:p>
      <w:pPr>
        <w:spacing w:after="0" w:line="12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provisions of the last sentence of Section 3.3 shall apply to any Security represented by a Global Security if such Security was never issued and sold by the Company and the Company delivers to the Trustee the Global Security together with a Company Order (which need not comply with Section 1.3 and need not be accompanied by an Opinion of Counsel) with regard to the reduction or increase, as the case may be, in the principal amount of Securities represented thereby, together with the written statement contemplated by the last sentence of Section 3.3.</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Form of Trustee’s Certificate of Authentication</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Trustee’s certificate(s) of authentication shall be in substantially the following form:</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19"/>
                <w:szCs w:val="19"/>
                <w:color w:val="auto"/>
              </w:rPr>
            </w:pPr>
          </w:p>
        </w:tc>
        <w:tc>
          <w:tcPr>
            <w:tcW w:w="8460" w:type="dxa"/>
            <w:vAlign w:val="bottom"/>
            <w:gridSpan w:val="6"/>
          </w:tcPr>
          <w:p>
            <w:pPr>
              <w:ind w:left="80"/>
              <w:spacing w:after="0"/>
              <w:rPr>
                <w:sz w:val="20"/>
                <w:szCs w:val="20"/>
                <w:color w:val="auto"/>
              </w:rPr>
            </w:pPr>
            <w:r>
              <w:rPr>
                <w:rFonts w:ascii="Arial" w:cs="Arial" w:eastAsia="Arial" w:hAnsi="Arial"/>
                <w:sz w:val="18"/>
                <w:szCs w:val="18"/>
                <w:color w:val="auto"/>
                <w:w w:val="99"/>
              </w:rPr>
              <w:t>This is one of the Securities of the series designated therein referred to in the within-mentioned Indenture.</w:t>
            </w: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80"/>
        </w:trPr>
        <w:tc>
          <w:tcPr>
            <w:tcW w:w="6920" w:type="dxa"/>
            <w:vAlign w:val="bottom"/>
            <w:gridSpan w:val="5"/>
          </w:tcPr>
          <w:p>
            <w:pPr>
              <w:ind w:left="6860"/>
              <w:spacing w:after="0"/>
              <w:rPr>
                <w:sz w:val="20"/>
                <w:szCs w:val="20"/>
                <w:color w:val="auto"/>
              </w:rPr>
            </w:pPr>
            <w:r>
              <w:rPr>
                <w:rFonts w:ascii="Arial" w:cs="Arial" w:eastAsia="Arial" w:hAnsi="Arial"/>
                <w:sz w:val="16"/>
                <w:szCs w:val="16"/>
                <w:b w:val="1"/>
                <w:bCs w:val="1"/>
                <w:color w:val="auto"/>
                <w:w w:val="74"/>
              </w:rPr>
              <w:t>[</w:t>
            </w: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20" w:type="dxa"/>
            <w:vAlign w:val="bottom"/>
            <w:gridSpan w:val="2"/>
          </w:tcPr>
          <w:p>
            <w:pPr>
              <w:jc w:val="right"/>
              <w:ind w:right="17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0"/>
        </w:trPr>
        <w:tc>
          <w:tcPr>
            <w:tcW w:w="8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8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35"/>
        </w:trPr>
        <w:tc>
          <w:tcPr>
            <w:tcW w:w="8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40" w:type="dxa"/>
            <w:vAlign w:val="bottom"/>
            <w:gridSpan w:val="3"/>
          </w:tcPr>
          <w:p>
            <w:pPr>
              <w:ind w:left="400"/>
              <w:spacing w:after="0"/>
              <w:rPr>
                <w:sz w:val="20"/>
                <w:szCs w:val="20"/>
                <w:color w:val="auto"/>
              </w:rPr>
            </w:pPr>
            <w:r>
              <w:rPr>
                <w:rFonts w:ascii="Arial" w:cs="Arial" w:eastAsia="Arial" w:hAnsi="Arial"/>
                <w:sz w:val="18"/>
                <w:szCs w:val="18"/>
                <w:color w:val="auto"/>
              </w:rPr>
              <w:t>as Trustee</w:t>
            </w:r>
          </w:p>
        </w:tc>
        <w:tc>
          <w:tcPr>
            <w:tcW w:w="3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21"/>
        </w:trPr>
        <w:tc>
          <w:tcPr>
            <w:tcW w:w="8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40" w:type="dxa"/>
            <w:vAlign w:val="bottom"/>
            <w:gridSpan w:val="3"/>
          </w:tcPr>
          <w:p>
            <w:pPr>
              <w:ind w:left="400"/>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21"/>
        </w:trPr>
        <w:tc>
          <w:tcPr>
            <w:tcW w:w="8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Officer</w:t>
            </w:r>
          </w:p>
        </w:tc>
        <w:tc>
          <w:tcPr>
            <w:tcW w:w="30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r>
      <w:tr>
        <w:trPr>
          <w:trHeight w:val="528"/>
        </w:trPr>
        <w:tc>
          <w:tcPr>
            <w:tcW w:w="8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320" w:type="dxa"/>
            <w:vAlign w:val="bottom"/>
            <w:gridSpan w:val="4"/>
          </w:tcPr>
          <w:p>
            <w:pPr>
              <w:spacing w:after="0"/>
              <w:rPr>
                <w:sz w:val="20"/>
                <w:szCs w:val="20"/>
                <w:color w:val="auto"/>
              </w:rPr>
            </w:pPr>
            <w:r>
              <w:rPr>
                <w:rFonts w:ascii="Arial" w:cs="Arial" w:eastAsia="Arial" w:hAnsi="Arial"/>
                <w:sz w:val="18"/>
                <w:szCs w:val="18"/>
                <w:b w:val="1"/>
                <w:bCs w:val="1"/>
                <w:color w:val="auto"/>
              </w:rPr>
              <w:t>ARTICLE THREE</w:t>
            </w: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90"/>
        </w:trPr>
        <w:tc>
          <w:tcPr>
            <w:tcW w:w="8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b w:val="1"/>
                <w:bCs w:val="1"/>
                <w:color w:val="auto"/>
                <w:w w:val="97"/>
              </w:rPr>
              <w:t>THE SECURITIES</w:t>
            </w:r>
          </w:p>
        </w:tc>
        <w:tc>
          <w:tcPr>
            <w:tcW w:w="2840" w:type="dxa"/>
            <w:vAlign w:val="bottom"/>
            <w:gridSpan w:val="3"/>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399"/>
        </w:trPr>
        <w:tc>
          <w:tcPr>
            <w:tcW w:w="9300" w:type="dxa"/>
            <w:vAlign w:val="bottom"/>
            <w:gridSpan w:val="7"/>
          </w:tcPr>
          <w:p>
            <w:pPr>
              <w:spacing w:after="0"/>
              <w:rPr>
                <w:sz w:val="20"/>
                <w:szCs w:val="20"/>
                <w:color w:val="auto"/>
              </w:rPr>
            </w:pPr>
            <w:r>
              <w:rPr>
                <w:rFonts w:ascii="Arial" w:cs="Arial" w:eastAsia="Arial" w:hAnsi="Arial"/>
                <w:sz w:val="18"/>
                <w:szCs w:val="18"/>
                <w:color w:val="auto"/>
              </w:rPr>
              <w:t>Section3.1. Amount Unlimited; Issuable in Series.</w:t>
            </w: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58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16"/>
        </w:trPr>
        <w:tc>
          <w:tcPr>
            <w:tcW w:w="9300" w:type="dxa"/>
            <w:vAlign w:val="bottom"/>
            <w:gridSpan w:val="7"/>
          </w:tcPr>
          <w:p>
            <w:pPr>
              <w:ind w:left="460"/>
              <w:spacing w:after="0"/>
              <w:rPr>
                <w:sz w:val="20"/>
                <w:szCs w:val="20"/>
                <w:color w:val="auto"/>
              </w:rPr>
            </w:pPr>
            <w:r>
              <w:rPr>
                <w:rFonts w:ascii="Arial" w:cs="Arial" w:eastAsia="Arial" w:hAnsi="Arial"/>
                <w:sz w:val="18"/>
                <w:szCs w:val="18"/>
                <w:color w:val="auto"/>
                <w:w w:val="91"/>
              </w:rPr>
              <w:t>The aggregate principal amount of Securities which may be authenticated and delivered under this Indenture is unlimited.</w:t>
            </w: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156" w:lineRule="exact"/>
        <w:rPr>
          <w:sz w:val="20"/>
          <w:szCs w:val="20"/>
          <w:color w:val="auto"/>
        </w:rPr>
      </w:pPr>
    </w:p>
    <w:p>
      <w:pPr>
        <w:ind w:right="420" w:firstLine="456"/>
        <w:spacing w:after="0" w:line="357" w:lineRule="auto"/>
        <w:rPr>
          <w:sz w:val="20"/>
          <w:szCs w:val="20"/>
          <w:color w:val="auto"/>
        </w:rPr>
      </w:pPr>
      <w:r>
        <w:rPr>
          <w:rFonts w:ascii="Arial" w:cs="Arial" w:eastAsia="Arial" w:hAnsi="Arial"/>
          <w:sz w:val="15"/>
          <w:szCs w:val="15"/>
          <w:color w:val="auto"/>
        </w:rPr>
        <w:t>The Securities may be issued in one or more series. There shall be established in or pursuant to a Board Resolution, and set forth, or determined in the manner provided, in an Officer’s Certificate, or established in one or more indentures supplemental hereto, prior to the issuance of Securities of any series,</w:t>
      </w:r>
    </w:p>
    <w:p>
      <w:pPr>
        <w:ind w:left="460" w:right="360" w:firstLine="443"/>
        <w:spacing w:after="0" w:line="268" w:lineRule="auto"/>
        <w:tabs>
          <w:tab w:leader="none" w:pos="113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the series from all other Securities and which may be part of a series of Securities previously issued);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86" w:name="page87"/>
    <w:bookmarkEnd w:id="86"/>
    <w:p>
      <w:pPr>
        <w:ind w:right="100" w:firstLine="443"/>
        <w:spacing w:after="0" w:line="256" w:lineRule="auto"/>
        <w:tabs>
          <w:tab w:leader="none" w:pos="687"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3.4, Section 3.5, Section 3.6, Section 9.6 or Section 11.7 and except for any Securities which, pursuant to Section 3.3, are deemed never to have been authenticated and delivered hereunder);</w:t>
      </w:r>
    </w:p>
    <w:p>
      <w:pPr>
        <w:spacing w:after="0" w:line="62" w:lineRule="exact"/>
        <w:rPr>
          <w:rFonts w:ascii="Arial" w:cs="Arial" w:eastAsia="Arial" w:hAnsi="Arial"/>
          <w:sz w:val="18"/>
          <w:szCs w:val="18"/>
          <w:color w:val="auto"/>
        </w:rPr>
      </w:pPr>
    </w:p>
    <w:p>
      <w:pPr>
        <w:ind w:right="80" w:firstLine="443"/>
        <w:spacing w:after="0" w:line="268" w:lineRule="auto"/>
        <w:tabs>
          <w:tab w:leader="none" w:pos="67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 or the method of determination thereof;</w:t>
      </w:r>
    </w:p>
    <w:p>
      <w:pPr>
        <w:spacing w:after="0" w:line="90" w:lineRule="exact"/>
        <w:rPr>
          <w:rFonts w:ascii="Arial" w:cs="Arial" w:eastAsia="Arial" w:hAnsi="Arial"/>
          <w:sz w:val="18"/>
          <w:szCs w:val="18"/>
          <w:color w:val="auto"/>
        </w:rPr>
      </w:pPr>
    </w:p>
    <w:p>
      <w:pPr>
        <w:ind w:right="120" w:firstLine="443"/>
        <w:spacing w:after="0" w:line="306" w:lineRule="auto"/>
        <w:tabs>
          <w:tab w:leader="none" w:pos="677"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rate or rates at which the Securities of the series shall bear interest, if any, or the formula, method or provision pursuant to which such rate or rates are determined, the date or dates from which such interest shall accrue or the method of determination thereof, the Interest Payment Dates on which such interest shall be payable and the Regular Record Date for the interest payable on any Interest Payment Date;</w:t>
      </w:r>
    </w:p>
    <w:p>
      <w:pPr>
        <w:spacing w:after="0" w:line="25" w:lineRule="exact"/>
        <w:rPr>
          <w:rFonts w:ascii="Arial" w:cs="Arial" w:eastAsia="Arial" w:hAnsi="Arial"/>
          <w:sz w:val="16"/>
          <w:szCs w:val="16"/>
          <w:color w:val="auto"/>
        </w:rPr>
      </w:pPr>
    </w:p>
    <w:p>
      <w:pPr>
        <w:ind w:firstLine="443"/>
        <w:spacing w:after="0" w:line="306" w:lineRule="auto"/>
        <w:tabs>
          <w:tab w:leader="none" w:pos="657"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place or places where, subject to the provisions of Section 10.2, the principal of and any premium and interest on Securities of the series shall be payable, Securities of the series may be surrendered for registration of transfer, Securities of the series may be surrendered for exchange and notices, and demands to or upon the Company in respect of the Securities of the series and this Indenture may be served;</w:t>
      </w:r>
    </w:p>
    <w:p>
      <w:pPr>
        <w:spacing w:after="0" w:line="25" w:lineRule="exact"/>
        <w:rPr>
          <w:rFonts w:ascii="Arial" w:cs="Arial" w:eastAsia="Arial" w:hAnsi="Arial"/>
          <w:sz w:val="16"/>
          <w:szCs w:val="16"/>
          <w:color w:val="auto"/>
        </w:rPr>
      </w:pPr>
    </w:p>
    <w:p>
      <w:pPr>
        <w:ind w:right="740" w:firstLine="443"/>
        <w:spacing w:after="0" w:line="268" w:lineRule="auto"/>
        <w:tabs>
          <w:tab w:leader="none" w:pos="68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Securities of the series may be redeemed, in whole or in part, at the option of the Company;</w:t>
      </w:r>
    </w:p>
    <w:p>
      <w:pPr>
        <w:spacing w:after="0" w:line="50" w:lineRule="exact"/>
        <w:rPr>
          <w:rFonts w:ascii="Arial" w:cs="Arial" w:eastAsia="Arial" w:hAnsi="Arial"/>
          <w:sz w:val="18"/>
          <w:szCs w:val="18"/>
          <w:color w:val="auto"/>
        </w:rPr>
      </w:pPr>
    </w:p>
    <w:p>
      <w:pPr>
        <w:jc w:val="both"/>
        <w:ind w:right="240" w:firstLine="443"/>
        <w:spacing w:after="0" w:line="306" w:lineRule="auto"/>
        <w:tabs>
          <w:tab w:leader="none" w:pos="687"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obligation, if any, of the Company to redeem or purchase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25" w:lineRule="exact"/>
        <w:rPr>
          <w:rFonts w:ascii="Arial" w:cs="Arial" w:eastAsia="Arial" w:hAnsi="Arial"/>
          <w:sz w:val="16"/>
          <w:szCs w:val="16"/>
          <w:color w:val="auto"/>
        </w:rPr>
      </w:pPr>
    </w:p>
    <w:p>
      <w:pPr>
        <w:ind w:left="660" w:hanging="217"/>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Securities of the series shall be issuable;</w:t>
      </w:r>
    </w:p>
    <w:p>
      <w:pPr>
        <w:spacing w:after="0" w:line="113" w:lineRule="exact"/>
        <w:rPr>
          <w:rFonts w:ascii="Arial" w:cs="Arial" w:eastAsia="Arial" w:hAnsi="Arial"/>
          <w:sz w:val="16"/>
          <w:szCs w:val="16"/>
          <w:color w:val="auto"/>
        </w:rPr>
      </w:pPr>
    </w:p>
    <w:p>
      <w:pPr>
        <w:ind w:right="460" w:firstLine="443"/>
        <w:spacing w:after="0" w:line="268"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payment of principal of and premium, if any, and interest, if any, on the Securities of the series shall be without deduction for taxes, assessments or governmental charges paid by Holders of the series;</w:t>
      </w:r>
    </w:p>
    <w:p>
      <w:pPr>
        <w:spacing w:after="0" w:line="50" w:lineRule="exact"/>
        <w:rPr>
          <w:rFonts w:ascii="Arial" w:cs="Arial" w:eastAsia="Arial" w:hAnsi="Arial"/>
          <w:sz w:val="18"/>
          <w:szCs w:val="18"/>
          <w:color w:val="auto"/>
        </w:rPr>
      </w:pPr>
    </w:p>
    <w:p>
      <w:pPr>
        <w:ind w:right="140" w:firstLine="443"/>
        <w:spacing w:after="0" w:line="268" w:lineRule="auto"/>
        <w:tabs>
          <w:tab w:leader="none" w:pos="687"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 pursuant to Section 5.2;</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700" w:top="280" w:right="239" w:bottom="1440" w:gutter="0" w:footer="0" w:header="0"/>
        </w:sectPr>
      </w:pPr>
    </w:p>
    <w:bookmarkStart w:id="87" w:name="page88"/>
    <w:bookmarkEnd w:id="87"/>
    <w:p>
      <w:pPr>
        <w:ind w:left="460" w:right="420" w:firstLine="443"/>
        <w:spacing w:after="0" w:line="268" w:lineRule="auto"/>
        <w:tabs>
          <w:tab w:leader="none" w:pos="1108"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amount of payments of principal of and any premium or interest on the Securities of the series may be determined with reference to an index, the manner in which such amounts shall be determined;</w:t>
      </w:r>
    </w:p>
    <w:p>
      <w:pPr>
        <w:spacing w:after="0" w:line="50" w:lineRule="exact"/>
        <w:rPr>
          <w:rFonts w:ascii="Arial" w:cs="Arial" w:eastAsia="Arial" w:hAnsi="Arial"/>
          <w:sz w:val="18"/>
          <w:szCs w:val="18"/>
          <w:color w:val="auto"/>
        </w:rPr>
      </w:pPr>
    </w:p>
    <w:p>
      <w:pPr>
        <w:ind w:left="460" w:firstLine="443"/>
        <w:spacing w:after="0" w:line="298" w:lineRule="auto"/>
        <w:tabs>
          <w:tab w:leader="none" w:pos="1196"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and as applicable, that the Securities of the series shall be issuable in whole or in part in the form of one or more Global Securities and, in such case, the Depositary or Depositaries for such Global Security or Global Securities and any circumstances other than those set forth in Section 3.5 in which any such Global Security may be transferred to, and registered and exchanged for Securities registered in the name of, a Person other than the Depositary for such Global Security or a nominee thereof and in which any such transfer may be registered;</w:t>
      </w:r>
    </w:p>
    <w:p>
      <w:pPr>
        <w:spacing w:after="0" w:line="31" w:lineRule="exact"/>
        <w:rPr>
          <w:rFonts w:ascii="Arial" w:cs="Arial" w:eastAsia="Arial" w:hAnsi="Arial"/>
          <w:sz w:val="16"/>
          <w:szCs w:val="16"/>
          <w:color w:val="auto"/>
        </w:rPr>
      </w:pPr>
    </w:p>
    <w:p>
      <w:pPr>
        <w:ind w:left="460" w:right="260" w:firstLine="443"/>
        <w:spacing w:after="0" w:line="268" w:lineRule="auto"/>
        <w:tabs>
          <w:tab w:leader="none" w:pos="1147"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deletions from, modifications of or additions to the Events of Default set forth in Section 5.1 or the covenants of the Company set forth in Article Ten with respect to the Securities of such series;</w:t>
      </w:r>
    </w:p>
    <w:p>
      <w:pPr>
        <w:spacing w:after="0" w:line="5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whether and under what circumstances the Company will pay additional amounts on the Securities of the series held by a Person who is not a U.S. Person in respect of any tax, assessment or governmental charge withheld or deducted and, if so, whether the Company will have the option to redeem the Securities of the series rather than pay such additional amounts;</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Securities of the series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w:t>
      </w:r>
    </w:p>
    <w:p>
      <w:pPr>
        <w:spacing w:after="0" w:line="59"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Securities of the series are to be convertible into or exchangeable for any other security or property of the Company, including, without limitation, securities of another Person held by the Company or its Affiliates and, if so, the terms thereof;</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17"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other than as provided in Section 13.2 and Section 13.3, the means of defeasance or covenant defeasance as may be specified for the Securities of the series;</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other than the Trustee, the identity of the initial Security Registrar and any initial Paying Agent;</w:t>
      </w:r>
    </w:p>
    <w:p>
      <w:pPr>
        <w:spacing w:after="0" w:line="90" w:lineRule="exact"/>
        <w:rPr>
          <w:rFonts w:ascii="Arial" w:cs="Arial" w:eastAsia="Arial" w:hAnsi="Arial"/>
          <w:sz w:val="18"/>
          <w:szCs w:val="18"/>
          <w:color w:val="auto"/>
        </w:rPr>
      </w:pPr>
    </w:p>
    <w:p>
      <w:pPr>
        <w:ind w:left="460" w:right="200" w:firstLine="443"/>
        <w:spacing w:after="0" w:line="332" w:lineRule="auto"/>
        <w:tabs>
          <w:tab w:leader="none" w:pos="1108" w:val="left"/>
        </w:tabs>
        <w:numPr>
          <w:ilvl w:val="0"/>
          <w:numId w:val="58"/>
        </w:numPr>
        <w:rPr>
          <w:rFonts w:ascii="Arial" w:cs="Arial" w:eastAsia="Arial" w:hAnsi="Arial"/>
          <w:sz w:val="16"/>
          <w:szCs w:val="16"/>
          <w:color w:val="auto"/>
        </w:rPr>
      </w:pPr>
      <w:r>
        <w:rPr>
          <w:rFonts w:ascii="Arial" w:cs="Arial" w:eastAsia="Arial" w:hAnsi="Arial"/>
          <w:sz w:val="16"/>
          <w:szCs w:val="16"/>
          <w:color w:val="auto"/>
        </w:rPr>
        <w:t>whether the Securities of the series will be guaranteed pursuant to the Guarantee set forth in Article Fourteen, any modifications to the terms of Article Fourteen applicable to the Securities of such series and the applicability of any other guarantees; and</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other terms of the series (which terms shall not be inconsistent with the provisions of this Indenture).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the Board Resolution referred to above and (subject to Section 3.3) set forth, or determined in the manner provided, in the Officer’s Certificate referred to above or in any such indenture supplemental hereto.</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All Securities of any one series need not be issued at the same time and, unless otherwise provided, a series may be reopened, without the consent of the Holders, for increases in the aggregate principal amount of such series of Securities and issuances of additional Securities of such series or for the establishment of additional terms with respect to the Securities of such series.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88" w:name="page89"/>
    <w:bookmarkEnd w:id="88"/>
    <w:p>
      <w:pPr>
        <w:jc w:val="both"/>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any of the terms of the series are established by action taken by or pursuant to a Board Resolution, a copy of an appropriate record of such action shall be certified by an authorized officer or other authorized person on behalf of the Company and, if applicable, the Guarantors and delivered to the Trustee at or prior to the delivery of the Officer’s Certificate setting forth, or providing the manner for determining, the terms of the series.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With respect to Securities of a series subject to a Periodic Offering, such Board Resolution or Officer’s Certificate may provide general terms for Securities of such series and provide either that the specific terms of particular Securities of such series shall be specified in a Company Order or that such terms shall be determined by the Company and, if applicable, the Guarantors or one or more agents thereof designated in an Officer’s Certificate, in accordance with a Company Order.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Denominations</w:t>
      </w:r>
      <w:r>
        <w:rPr>
          <w:rFonts w:ascii="Arial" w:cs="Arial" w:eastAsia="Arial" w:hAnsi="Arial"/>
          <w:sz w:val="18"/>
          <w:szCs w:val="18"/>
          <w:color w:val="auto"/>
        </w:rPr>
        <w:t>.</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Securities of each series shall be issuable in registered form without coupons in such denominations as shall be specified as contemplated by Section 3.1. In the absence of any such provisions with respect to the Securities of any series, the Securities of such series shall be issuable in denominations of $2,000 each and integral multiples of $1,000.</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Section3.3. </w:t>
      </w:r>
      <w:r>
        <w:rPr>
          <w:rFonts w:ascii="Arial" w:cs="Arial" w:eastAsia="Arial" w:hAnsi="Arial"/>
          <w:sz w:val="18"/>
          <w:szCs w:val="18"/>
          <w:u w:val="single" w:color="auto"/>
          <w:color w:val="auto"/>
        </w:rPr>
        <w:t>Execution, Authentication, Delivery and Dating</w:t>
      </w:r>
      <w:r>
        <w:rPr>
          <w:rFonts w:ascii="Arial" w:cs="Arial" w:eastAsia="Arial" w:hAnsi="Arial"/>
          <w:sz w:val="18"/>
          <w:szCs w:val="18"/>
          <w:color w:val="auto"/>
        </w:rPr>
        <w:t>.</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Securities shall be executed on behalf of the Company by its Chairman of the Board, its Chief Executive Officer, its President, its Chief Financial Officer or any of its Vice Presidents and need not be attested. The signature of any of these officers on the Securities may be manual or facsimile. Any Guarantee endorsed on the Securities shall be executed on behalf of the applicable Guarantor by its Chairman of the Board, its Chief Executive Officer, its President, its Chief Financial Officer or any of its Vice Presidents and need not be attested.</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Securities and any Guarantee bearing the manual or facsimile signatures of individuals who were at any time the proper officers of the Company or a Guarantor, as the case may be, shall bind the Company or such Guarantor, as the case may be, notwithstanding that such individuals or any of them have ceased to hold such offices prior to the authentication and delivery of such Securities or did not hold such offices at the date of such Securities.</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case of Securities offered in a Periodic Offering, the Trustee shall authenticate and deliver such Securities from time to time in accordance with such other procedures (including, without limitation, the receipt by the Trustee of oral or electronic instructions from the Company or its duly authorized agents, thereafter promptly confirmed in writing) acceptable to the Trustee as may be specified by or pursuant to a Company Order delivered to the Trustee prior to the time of the first authentication of Securities of such series. If the forms or terms of the Securities of the series have been established in or pursuant to one or more Board Resolutions as permitted by Section 2.1 and Section 3.1, in authenticating such Securities, and accepting the additional responsibilities under this Indenture in relation to such Securities, the Trustee shall be entitled to receive such documents as it may reasonably request. The Trustee shall also be entitled to receive, and (subject to Section 6.1) shall be fully protected in relying upon, an Opinion of Counsel stating,</w:t>
      </w:r>
    </w:p>
    <w:p>
      <w:pPr>
        <w:spacing w:after="0" w:line="42" w:lineRule="exact"/>
        <w:rPr>
          <w:sz w:val="20"/>
          <w:szCs w:val="20"/>
          <w:color w:val="auto"/>
        </w:rPr>
      </w:pPr>
    </w:p>
    <w:p>
      <w:pPr>
        <w:ind w:left="460" w:right="60" w:firstLine="443"/>
        <w:spacing w:after="0" w:line="268" w:lineRule="auto"/>
        <w:tabs>
          <w:tab w:leader="none" w:pos="1137"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form or forms of such Securities has been established in or pursuant to a Board Resolution as permitted by Section 2.1, that each such form has been established in conformity with the provisions of this Indenture;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89" w:name="page90"/>
    <w:bookmarkEnd w:id="89"/>
    <w:p>
      <w:pPr>
        <w:ind w:left="460" w:firstLine="443"/>
        <w:spacing w:after="0" w:line="256" w:lineRule="auto"/>
        <w:tabs>
          <w:tab w:leader="none" w:pos="1147"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terms of such Securities have been, or in the case of Securities of a series offered in a Periodic Offering will be, established in or pursuant to a Board Resolution as permitted by Section 3.1, that such terms have been, or in the case of Securities of a series offered in a Periodic Offering will be, established in conformity with the provisions of this Indenture, subject, in the case of Securities of a series offered in a Periodic Offering, to any conditions specified in such Opinion of Counsel; and</w:t>
      </w:r>
    </w:p>
    <w:p>
      <w:pPr>
        <w:spacing w:after="0" w:line="62" w:lineRule="exact"/>
        <w:rPr>
          <w:rFonts w:ascii="Arial" w:cs="Arial" w:eastAsia="Arial" w:hAnsi="Arial"/>
          <w:sz w:val="18"/>
          <w:szCs w:val="18"/>
          <w:color w:val="auto"/>
        </w:rPr>
      </w:pPr>
    </w:p>
    <w:p>
      <w:pPr>
        <w:ind w:left="460" w:right="80" w:firstLine="443"/>
        <w:spacing w:after="0" w:line="291" w:lineRule="auto"/>
        <w:tabs>
          <w:tab w:leader="none" w:pos="1137"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that such Securities when authenticated and delivered by the Trustee and issued by the Company in the manner and subject to any conditions and assumptions specified in such Opinion of Counsel, will constitute valid and legally binding obligations of the Company and, if applicable, the Guarantors, enforceable in accordance with their terms, subject to the following limitations: (i) bankruptcy, insolvency, moratorium, reorganization, liquidation, fraudulent conveyance or transfer and other similar laws of general applicability relating to or affecting the enforcement of creditors’ rights, or to general equity principles, (ii) the availability of equitable remedies being subject to the discretion of the court to which application therefor is made; and (iii) such other usual and customary matters as shall be specified in such Opinion of Counsel.</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such form or forms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Notwithstanding the provisions of Section 3.1 and of the preceding paragraph, if all Securities of a series are not to be originally issued at one time, it shall not be necessary to deliver the Officer’s Certificate otherwise required pursuant to Section 3.1 or the Company Order and Opinion of Counsel otherwise required pursuant to such preceding paragraph at or prior to the time of authentication of each Security of such series if such documents are delivered at or prior to the authentication upon original issuance of the first Security of such series to be issued.</w:t>
      </w:r>
    </w:p>
    <w:p>
      <w:pPr>
        <w:spacing w:after="0" w:line="143" w:lineRule="exact"/>
        <w:rPr>
          <w:sz w:val="20"/>
          <w:szCs w:val="20"/>
          <w:color w:val="auto"/>
        </w:rPr>
      </w:pPr>
    </w:p>
    <w:p>
      <w:pPr>
        <w:jc w:val="both"/>
        <w:ind w:right="80" w:firstLine="456"/>
        <w:spacing w:after="0" w:line="335" w:lineRule="auto"/>
        <w:rPr>
          <w:sz w:val="20"/>
          <w:szCs w:val="20"/>
          <w:color w:val="auto"/>
        </w:rPr>
      </w:pPr>
      <w:r>
        <w:rPr>
          <w:rFonts w:ascii="Arial" w:cs="Arial" w:eastAsia="Arial" w:hAnsi="Arial"/>
          <w:sz w:val="15"/>
          <w:szCs w:val="15"/>
          <w:color w:val="auto"/>
        </w:rPr>
        <w:t>With respect to Securities of a series offered in a Periodic Offering, the Trustee may rely, as to the authorization by the Company of any of such Securities, on the form or forms and terms thereof and the legality, validity, binding effect and enforceability thereof, upon the Opinion of Counsel and the other documents delivered pursuant to Section 2.1 and Section 3.1 and this Section, as applicable, in connection with the first authentication of Securities of such series.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Security shall be dated the date of its authentication.</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 Security, nor any Guarantee endorsed thereon, shall be entitled to any benefit under this Indenture or be valid or obligatory for any purpose unless there appears on such Security a certificate of authentication substantially in the form provided for herein executed by the Trustee by manual signature of an authorized officer, and such certificate upon any Security shall be conclusive evidence, and the only evidence, that such Security has been duly authenticated and delivered hereunder and is entitled to the benefits of this Indenture. Notwithstanding the foregoing, if any Security shall have been authenticated and delivered hereunder but never issued and sold by the Company, and the Company shall deliver such Security to the Trustee for cancellation as provided in Section 3.9 for all purposes of this Indenture such Security shall be deemed never to have been authenticated and delivered hereunder and shall never be entitled to the benefits of this Indenture.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90" w:name="page91"/>
    <w:bookmarkEnd w:id="90"/>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3.4.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13"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a like principal amount of Definitive Securities of the same series and tenor of authorized denominations. Until so exchanged the temporary Securities of any series shall in all respects be entitled to the same benefits under this Indenture as Definitive Securities of such series.</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Registration, Registration of Transfer and Exchange</w:t>
      </w:r>
      <w:r>
        <w:rPr>
          <w:rFonts w:ascii="Arial" w:cs="Arial" w:eastAsia="Arial" w:hAnsi="Arial"/>
          <w:sz w:val="18"/>
          <w:szCs w:val="18"/>
          <w:color w:val="auto"/>
        </w:rPr>
        <w:t>.</w:t>
      </w:r>
    </w:p>
    <w:p>
      <w:pPr>
        <w:spacing w:after="0" w:line="90"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The Company shall cause to be kept at the office or agency of the Company in the Borough of Manhattan, the City of New York or in any other office or agency of the Company in a Place of Payment required by Section 10.2 a register (the register maintained in such office being herein sometimes referred to as the “Security Register”) in which, subject to such reasonable regulations as it may prescribe, the Company shall provide for the registration of Securities and of transfers of Securities. The Trustee is hereby appointed as the initial “Security Registrar” for the purpose of registering Securities and transfers of Securities as</w:t>
      </w:r>
    </w:p>
    <w:tbl>
      <w:tblPr>
        <w:tblLayout w:type="fixed"/>
        <w:tblInd w:w="0" w:type="dxa"/>
        <w:tblCellMar>
          <w:top w:w="0" w:type="dxa"/>
          <w:left w:w="0" w:type="dxa"/>
          <w:bottom w:w="0" w:type="dxa"/>
          <w:right w:w="0" w:type="dxa"/>
        </w:tblCellMar>
      </w:tblPr>
      <w:tr>
        <w:trPr>
          <w:trHeight w:val="180"/>
        </w:trPr>
        <w:tc>
          <w:tcPr>
            <w:tcW w:w="6020" w:type="dxa"/>
            <w:vAlign w:val="bottom"/>
            <w:gridSpan w:val="3"/>
          </w:tcPr>
          <w:p>
            <w:pPr>
              <w:spacing w:after="0" w:line="181" w:lineRule="exact"/>
              <w:rPr>
                <w:sz w:val="20"/>
                <w:szCs w:val="20"/>
                <w:color w:val="auto"/>
              </w:rPr>
            </w:pPr>
            <w:r>
              <w:rPr>
                <w:rFonts w:ascii="Arial" w:cs="Arial" w:eastAsia="Arial" w:hAnsi="Arial"/>
                <w:sz w:val="18"/>
                <w:szCs w:val="18"/>
                <w:color w:val="auto"/>
                <w:w w:val="88"/>
              </w:rPr>
              <w:t xml:space="preserve">herein provided, and its corporate trust office, which, at the date hereof, is located at </w:t>
            </w:r>
            <w:r>
              <w:rPr>
                <w:rFonts w:ascii="Arial" w:cs="Arial" w:eastAsia="Arial" w:hAnsi="Arial"/>
                <w:sz w:val="18"/>
                <w:szCs w:val="18"/>
                <w:b w:val="1"/>
                <w:bCs w:val="1"/>
                <w:color w:val="auto"/>
                <w:w w:val="88"/>
              </w:rPr>
              <w:t>[</w:t>
            </w:r>
          </w:p>
        </w:tc>
        <w:tc>
          <w:tcPr>
            <w:tcW w:w="1980" w:type="dxa"/>
            <w:vAlign w:val="bottom"/>
            <w:tcBorders>
              <w:bottom w:val="single" w:sz="8" w:color="auto"/>
            </w:tcBorders>
          </w:tcPr>
          <w:p>
            <w:pPr>
              <w:spacing w:after="0"/>
              <w:rPr>
                <w:sz w:val="15"/>
                <w:szCs w:val="15"/>
                <w:color w:val="auto"/>
              </w:rPr>
            </w:pPr>
          </w:p>
        </w:tc>
        <w:tc>
          <w:tcPr>
            <w:tcW w:w="3240" w:type="dxa"/>
            <w:vAlign w:val="bottom"/>
          </w:tcPr>
          <w:p>
            <w:pPr>
              <w:spacing w:after="0" w:line="181" w:lineRule="exact"/>
              <w:rPr>
                <w:sz w:val="20"/>
                <w:szCs w:val="20"/>
                <w:color w:val="auto"/>
              </w:rPr>
            </w:pPr>
            <w:r>
              <w:rPr>
                <w:rFonts w:ascii="Arial" w:cs="Arial" w:eastAsia="Arial" w:hAnsi="Arial"/>
                <w:sz w:val="18"/>
                <w:szCs w:val="18"/>
                <w:b w:val="1"/>
                <w:bCs w:val="1"/>
                <w:color w:val="auto"/>
              </w:rPr>
              <w:t>], [New York, New York]</w:t>
            </w:r>
          </w:p>
        </w:tc>
      </w:tr>
      <w:tr>
        <w:trPr>
          <w:trHeight w:val="196"/>
        </w:trPr>
        <w:tc>
          <w:tcPr>
            <w:tcW w:w="60" w:type="dxa"/>
            <w:vAlign w:val="bottom"/>
          </w:tcPr>
          <w:p>
            <w:pPr>
              <w:spacing w:after="0"/>
              <w:rPr>
                <w:sz w:val="20"/>
                <w:szCs w:val="20"/>
                <w:color w:val="auto"/>
              </w:rPr>
            </w:pPr>
            <w:r>
              <w:rPr>
                <w:rFonts w:ascii="Arial" w:cs="Arial" w:eastAsia="Arial" w:hAnsi="Arial"/>
                <w:sz w:val="16"/>
                <w:szCs w:val="16"/>
                <w:b w:val="1"/>
                <w:bCs w:val="1"/>
                <w:color w:val="auto"/>
                <w:w w:val="74"/>
              </w:rPr>
              <w:t>[</w:t>
            </w:r>
          </w:p>
        </w:tc>
        <w:tc>
          <w:tcPr>
            <w:tcW w:w="1580" w:type="dxa"/>
            <w:vAlign w:val="bottom"/>
            <w:tcBorders>
              <w:bottom w:val="single" w:sz="8" w:color="auto"/>
            </w:tcBorders>
          </w:tcPr>
          <w:p>
            <w:pPr>
              <w:spacing w:after="0"/>
              <w:rPr>
                <w:sz w:val="17"/>
                <w:szCs w:val="17"/>
                <w:color w:val="auto"/>
              </w:rPr>
            </w:pPr>
          </w:p>
        </w:tc>
        <w:tc>
          <w:tcPr>
            <w:tcW w:w="96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w w:val="89"/>
              </w:rPr>
              <w:t>]</w:t>
            </w:r>
            <w:r>
              <w:rPr>
                <w:rFonts w:ascii="Arial" w:cs="Arial" w:eastAsia="Arial" w:hAnsi="Arial"/>
                <w:sz w:val="18"/>
                <w:szCs w:val="18"/>
                <w:color w:val="auto"/>
                <w:w w:val="89"/>
              </w:rPr>
              <w:t>, is the initial office or agency in the Borough of Manhattan where the Securities Register will be maintained. The Company may at any</w:t>
            </w:r>
          </w:p>
        </w:tc>
      </w:tr>
    </w:tbl>
    <w:p>
      <w:pPr>
        <w:spacing w:after="0" w:line="19"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time replace such Security Registrar, change such office or agency or act as its own Security Registrar. The Company will give prompt written notice to the Trustee of any change of the Security Registrar or of the location of such office or agency.</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Upon surrender for registration of transfer of any Security of any series at the office or agency maintained pursuant to Section 10.2 for such purpose, the Company and, if applicable, the Guarantors shall execute, and the Trustee shall authenticate and deliver, in the name of the designated transferee or transferees, one or more new Securities, with an endorsement of the Guarantee, if applicable, executed by the Guarantors, of the same series and tenor, of any authorized denominations and of a like aggregate principal amount.</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At the option of the Holder, Securities of any series (except a Global Security) may be exchanged for other Securities of the same series and tenor, of any authorized denominations and of a like aggregate principal amount, upon surrender of the Securities to be exchanged at such office or agency. Whenever any Securities are so surrendered for exchange, the Company and, if applicable, the Guarantors shall execute and the Trustee shall authenticate and deliver, the Securities, with an endorsement of the Guarantee, if applicable, executed by the Guarantors, which the Holder making the exchange is entitled to receive.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91" w:name="page92"/>
    <w:bookmarkEnd w:id="91"/>
    <w:p>
      <w:pPr>
        <w:ind w:right="3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Securities issued upon any registration of transfer or exchange of Securities shall be the valid obligations of the Company and, if applicable, the Guarantors evidencing the same debt, and entitled to the same benefits under this Indenture, as the Securities surrendered upon such registration of transfer or exchange.</w:t>
      </w:r>
    </w:p>
    <w:p>
      <w:pPr>
        <w:spacing w:after="0" w:line="14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his attorney duly authorized in writing.</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3.4, Section 9.6 or Section 11.7 not involving any transfer.</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shall not be required (a) to issue, register the transfer of or exchange Securities of any series during a period beginning at, the opening of business 15 days before the day of the mailing of a notice of redemption of Securities of that series selected for redemption under Section 11.3 and ending at the close of business on the day of such mailing, or (b) to register the transfer of or exchange any Security so selected for redemption in whole or in part, except the unredeemed portion of any Security being redeemed in part.</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Notwithstanding any other provisions of this Indenture and except as otherwise specified with respect to any particular series of Securities as contemplated by Section 3.1,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 Every Security authenticated and delivered upon registration of, transfer of, or in exchange for or in lieu of, a Global Security shall be a Global Security except as provided in the two paragraphs immediately following.</w:t>
      </w:r>
    </w:p>
    <w:p>
      <w:pPr>
        <w:spacing w:after="0" w:line="14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at any time the Depositary for any Securities of a series represented by one or more Global Securities notifies the Company that it is unwilling or unable to continue as Depositary for such Securities or if at any time the Depositary for such Securities shall no longer be eligible to continue as Depositary under Section 3.1 or ceases to be a clearing agency registered under the Exchange Act, the Company shall appoint a successor Depositary with respect to such Securities. If a successor Depositary for such Securities is not appointed by the Company within 90 days after the Company receives such notice or becomes aware of such ineligibility, the Company’s election pursuant to Section 3.1 that such Securities be represented by one or more Global Securities shall no longer be effective and the Company and, if applicable, the Guarantors will execute and the Trustee, upon receipt of a Company Order for the authentication and delivery of Definitive Securities of such series, will authenticate and deliver, Securities, with an endorsement of the Guarantee, if applicable, executed by the Guarantors, of such series in definitive registered form without coupons, in any authorized denominations, in an aggregate principal amount equal to the principal amount of the Global Security or Securities representing such Securities in exchange for such Global Security or Securities registered in the names of such Persons as the Depositary shall direct.</w:t>
      </w:r>
    </w:p>
    <w:p>
      <w:pPr>
        <w:spacing w:after="0" w:line="12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may at any time and in its sole discretion determine that the Securities of any series issued in the form of one or more Global Securities shall no longer be represented by a Global Security or Securities. In such event, the Company and, if applicable, the Guarantors will execute and the Trustee, upon receipt of a Company Order for the authentication and delivery of the Definitive Securities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92" w:name="page93"/>
    <w:bookmarkEnd w:id="92"/>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such series, will authenticate and deliver, Securities, with an endorsement of the Guarantee, if applicable, executed by the Guarantors, of such series in definitive registered form without coupons, in any authorized denominations, in an aggregate principal amount equal to the principal amount of the Global Security or Securities representing such Securities in exchange for such Global Security or Securities registered in the names of such Persons as the Depositary shall direct.</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specified by the Company pursuant to Section 3.1 with respect to Securities represented by a Global Security, the Depositary for such Global Security may surrender such Global Security in exchange in whole or in part for Securities of the same series and tenor in definitive registered form on such terms as are acceptable to the Company and such Depositary. Thereupon, the Company and, if applicable, the Guarantors shall execute, and the Trustee, upon receipt of a Company Order for the authentication and delivery of Securities in definitive registered form, shall authenticate and deliver, without service charge,</w:t>
      </w:r>
    </w:p>
    <w:p>
      <w:pPr>
        <w:spacing w:after="0" w:line="32" w:lineRule="exact"/>
        <w:rPr>
          <w:sz w:val="20"/>
          <w:szCs w:val="20"/>
          <w:color w:val="auto"/>
        </w:rPr>
      </w:pPr>
    </w:p>
    <w:p>
      <w:pPr>
        <w:ind w:left="460" w:right="160" w:firstLine="443"/>
        <w:spacing w:after="0" w:line="259" w:lineRule="auto"/>
        <w:tabs>
          <w:tab w:leader="none" w:pos="113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the Person specified by such Depositary a new Security or Securities, with an endorsement of the Guarantee, if applicable, executed by the Guarantors, of the same series and tenor, of any authorized denominations as requested by such Person, in an aggregate principal amount equal to and in exchange for such Person’s beneficial interest in the Global Security; and</w:t>
      </w:r>
    </w:p>
    <w:p>
      <w:pPr>
        <w:spacing w:after="0" w:line="59" w:lineRule="exact"/>
        <w:rPr>
          <w:rFonts w:ascii="Arial" w:cs="Arial" w:eastAsia="Arial" w:hAnsi="Arial"/>
          <w:sz w:val="18"/>
          <w:szCs w:val="18"/>
          <w:color w:val="auto"/>
        </w:rPr>
      </w:pPr>
    </w:p>
    <w:p>
      <w:pPr>
        <w:ind w:left="460" w:right="160" w:firstLine="443"/>
        <w:spacing w:after="0" w:line="259" w:lineRule="auto"/>
        <w:tabs>
          <w:tab w:leader="none" w:pos="114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such Depositary a new Global Security, with an endorsement of the Guarantee, if applicable, executed by the Guarantors, in a denomination equal to the difference, if any, between the principal amount of the surrendered Global Security and the aggregate principal amount of Securities authenticated and delivered pursuant to clause (a) above.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Every Person who takes or holds any beneficial interest in a Global Security agrees that:</w:t>
      </w:r>
    </w:p>
    <w:p>
      <w:pPr>
        <w:spacing w:after="0" w:line="90" w:lineRule="exact"/>
        <w:rPr>
          <w:sz w:val="20"/>
          <w:szCs w:val="20"/>
          <w:color w:val="auto"/>
        </w:rPr>
      </w:pPr>
    </w:p>
    <w:p>
      <w:pPr>
        <w:ind w:left="460" w:right="520" w:firstLine="443"/>
        <w:spacing w:after="0" w:line="268" w:lineRule="auto"/>
        <w:tabs>
          <w:tab w:leader="none" w:pos="113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the Guarantors (if applicable) and the Trustee may deal with the Depositary as sole owner of the Global Security and as the authorized representative of such Person;</w:t>
      </w:r>
    </w:p>
    <w:p>
      <w:pPr>
        <w:spacing w:after="0" w:line="50"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such Person’s rights in the Global Security shall be exercised only through the Depositary and shall be limited to those established by law and agreement between such Person and the Depositary and/or direct and indirect participants of the Depositary;</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3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Depositary and its participants make book-entry transfers of beneficial ownership among, and receive and transmit distributions of principal and interest on the Global Securities to, such Persons in accordance with their own procedures; and</w:t>
      </w:r>
    </w:p>
    <w:p>
      <w:pPr>
        <w:spacing w:after="0" w:line="50"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none of the Company, the Guarantors (if applicable), the Trustee, nor any agent of any of them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any mutilated Security is surrendered to the Trustee, together with, in proper cases, such security or indemnity as may be required by the Company, the Guarantors (if applicable) or the Trustee to save each of them and any agent of any of them harmless, the Company shall execute and the Trustee shall authenticate and deliver in exchange therefor a new Security, with an endorsement of the Guarantee, if applicable, executed by the Guarantors, of the same series and of like tenor and principal amount and bearing a number not contemporaneously outstanding.</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280" w:right="339" w:bottom="1440" w:gutter="0" w:footer="0" w:header="0"/>
        </w:sectPr>
      </w:pPr>
    </w:p>
    <w:bookmarkStart w:id="93" w:name="page94"/>
    <w:bookmarkEnd w:id="93"/>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there shall be delivered to the Company, the Guarantors (if applicable) and the Trustee (a) evidence to their satisfaction of the destruction, loss or theft of any Security and (b) such security or indemnity as may be required by them to save each of them and any agent of either of them harmless, then, in the absence of notice to the Company or the Trustee that such Security has been acquired by a bona fide purchaser, the Company and, if applicable, the Guarantors shall execute and upon its request the Trustee shall authenticate and deliver, in lieu of any such destroyed, lost or stolen Security, a new Security, with an endorsement of the Guarantee, if applicable, executed by the Guarantors, of the same series and of like tenor and principal amount and bearing a number not contemporaneously outstanding.</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32"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6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Every new Security of any series issued pursuant to this Section in lieu of any destroyed, lost or stolen Security shall constitute an original additional contractual obligation of the Company and, if applicable, the Guarantors, regardless of whether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Payment of Interest; Interest Rights Preserved</w:t>
      </w:r>
      <w:r>
        <w:rPr>
          <w:rFonts w:ascii="Arial" w:cs="Arial" w:eastAsia="Arial" w:hAnsi="Arial"/>
          <w:sz w:val="18"/>
          <w:szCs w:val="18"/>
          <w:color w:val="auto"/>
        </w:rPr>
        <w:t>.</w:t>
      </w:r>
    </w:p>
    <w:p>
      <w:pPr>
        <w:spacing w:after="0" w:line="9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Except as otherwise provided as contemplated by Section 3.1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4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(a) or (b) below:</w:t>
      </w:r>
    </w:p>
    <w:p>
      <w:pPr>
        <w:spacing w:after="0" w:line="26" w:lineRule="exact"/>
        <w:rPr>
          <w:sz w:val="20"/>
          <w:szCs w:val="20"/>
          <w:color w:val="auto"/>
        </w:rPr>
      </w:pPr>
    </w:p>
    <w:p>
      <w:pPr>
        <w:ind w:left="460" w:firstLine="443"/>
        <w:spacing w:after="0" w:line="289" w:lineRule="auto"/>
        <w:tabs>
          <w:tab w:leader="none" w:pos="1137"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94" w:name="page95"/>
    <w:bookmarkEnd w:id="94"/>
    <w:p>
      <w:pPr>
        <w:ind w:left="460" w:right="1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Securities of such series at his address as it appears in the Security Register,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(b).</w:t>
      </w:r>
    </w:p>
    <w:p>
      <w:pPr>
        <w:spacing w:after="0" w:line="66" w:lineRule="exact"/>
        <w:rPr>
          <w:sz w:val="20"/>
          <w:szCs w:val="20"/>
          <w:color w:val="auto"/>
        </w:rPr>
      </w:pPr>
    </w:p>
    <w:p>
      <w:pPr>
        <w:ind w:left="460" w:right="40" w:firstLine="443"/>
        <w:spacing w:after="0" w:line="335" w:lineRule="auto"/>
        <w:tabs>
          <w:tab w:leader="none" w:pos="1147"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8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Persons Deemed Owners</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Except as otherwise provided as contemplated by Section 3.1 with respect to any series of Securities, prior to due presentment of a Security for registration of transfer, the Company, the Trustee and, if applicable, the Guarantors and any agent thereof may treat the Person in whose name such Security is registered as the owner of such Security for the purpose of receiving payment of principal of and any premium and (subject to Section 3.5 and Section 3.7) any interest on such Security and for all other purposes whatsoever, regardless of whether such Security be overdue, and none of the Company, the Trustee nor, if applicable, the Guarantors nor any agent of any of them shall be affected by notice to the contrary.</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 holder of any beneficial interest in any Global Security held on its behalf by a Depositary shall have any rights under this Indenture with respect to such Global Security, and such Depositary may be treated by the Company, the Trustee, and, if applicable, the Guarantors and any agent of thereof as the owner of such Global Security for all purposes whatsoever.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Section3.9.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All Securities surrendered for payment, redemption, registration of transfer or exchange or for credit against any sinking fund payment shall, if surrendered to any Person other than the Trustee, be delivered to the Trustee and shall be promptly canceled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canceled by the Trustee. No Securities shall be authenticated in lieu of or in exchange for any Securities canceled as provided in this Section, except as expressly permitted by this Indenture. All canceled Securities held by the Trustee shall be disposed of in accordance with its customary practices, and the Trustee shall thereafter deliver to the Company a certificate with respect to such disposition.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3.10.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Except as otherwise specified as contemplated by Section 3.1 for Securities of any series, interest on the Securities of each series shall be computed on the basis of a year of twelve 30-day months.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CUSIP or CINS Numbers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Company in issuing the Securities may use “CUSIP” or “CINS” numbers (if then generally in use, and in addition to the other identification numbers printed on the Securities), and, if so, the Trustee shall use “CUSIP” or “CINS” numbers in notices of redemption as a convenience to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notice may state that no representation is made as to the correctness of such “CUSIP” or “CINS” numbers either as printed on the Securities or as contained in any notice of a redemption and that reliance may be placed only on the other identification numbers printed on the Securities, and any such redemption shall not be affected by any defect in or omission of such “CUSIP” or “CINS” numbers.</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FOUR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SATISFACTION AND DISCHARGE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This Indenture shall cease to be of further effect with respect to the Securities of any series (except as to any surviving rights of registration of transfer or exchange of Securities herein expressly provided for), and the Trustee, upon Company Request and at the expense of the Company, shall execute proper instruments acknowledging satisfaction and discharge of this Indenture with respect to such Securities, when:</w:t>
      </w:r>
    </w:p>
    <w:p>
      <w:pPr>
        <w:spacing w:after="0" w:line="26" w:lineRule="exact"/>
        <w:rPr>
          <w:sz w:val="20"/>
          <w:szCs w:val="20"/>
          <w:color w:val="auto"/>
        </w:rPr>
      </w:pPr>
    </w:p>
    <w:p>
      <w:pPr>
        <w:ind w:left="1140" w:hanging="237"/>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right="240" w:firstLine="421"/>
        <w:spacing w:after="0" w:line="256" w:lineRule="auto"/>
        <w:tabs>
          <w:tab w:leader="none" w:pos="1549"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such Securities theretofore authenticated and delivered (other than (A) such Securities which have been destroyed, lost or stolen and which have been replaced or paid as provided in Section 3.6, and (B) such Securities for whose payment money has theretofore been deposited in trust or segregated and held in trust by the Company and thereafter repaid to the Company or discharged from such trust, as provided in Section 10.3) have been delivered to the Trustee for cancellation; or</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such Securities not theretofore delivered to the Trustee for cancellation</w:t>
      </w:r>
    </w:p>
    <w:p>
      <w:pPr>
        <w:spacing w:after="0" w:line="90" w:lineRule="exact"/>
        <w:rPr>
          <w:rFonts w:ascii="Arial" w:cs="Arial" w:eastAsia="Arial" w:hAnsi="Arial"/>
          <w:sz w:val="18"/>
          <w:szCs w:val="18"/>
          <w:color w:val="auto"/>
        </w:rPr>
      </w:pPr>
    </w:p>
    <w:p>
      <w:pPr>
        <w:ind w:left="2180" w:hanging="291"/>
        <w:spacing w:after="0"/>
        <w:tabs>
          <w:tab w:leader="none" w:pos="2180" w:val="left"/>
        </w:tabs>
        <w:numPr>
          <w:ilvl w:val="2"/>
          <w:numId w:val="65"/>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90" w:lineRule="exact"/>
        <w:rPr>
          <w:rFonts w:ascii="Arial" w:cs="Arial" w:eastAsia="Arial" w:hAnsi="Arial"/>
          <w:sz w:val="18"/>
          <w:szCs w:val="18"/>
          <w:color w:val="auto"/>
        </w:rPr>
      </w:pPr>
    </w:p>
    <w:p>
      <w:pPr>
        <w:ind w:left="2160" w:hanging="271"/>
        <w:spacing w:after="0"/>
        <w:tabs>
          <w:tab w:leader="none" w:pos="2160" w:val="left"/>
        </w:tabs>
        <w:numPr>
          <w:ilvl w:val="2"/>
          <w:numId w:val="65"/>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90" w:lineRule="exact"/>
        <w:rPr>
          <w:rFonts w:ascii="Arial" w:cs="Arial" w:eastAsia="Arial" w:hAnsi="Arial"/>
          <w:sz w:val="18"/>
          <w:szCs w:val="18"/>
          <w:color w:val="auto"/>
        </w:rPr>
      </w:pPr>
    </w:p>
    <w:p>
      <w:pPr>
        <w:ind w:left="1500" w:right="780" w:firstLine="389"/>
        <w:spacing w:after="0" w:line="268" w:lineRule="auto"/>
        <w:tabs>
          <w:tab w:leader="none" w:pos="2175" w:val="left"/>
        </w:tabs>
        <w:numPr>
          <w:ilvl w:val="2"/>
          <w:numId w:val="65"/>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32" w:lineRule="exact"/>
        <w:rPr>
          <w:sz w:val="20"/>
          <w:szCs w:val="20"/>
          <w:color w:val="auto"/>
        </w:rPr>
      </w:pPr>
    </w:p>
    <w:p>
      <w:pPr>
        <w:ind w:left="920" w:right="500"/>
        <w:spacing w:after="0" w:line="332" w:lineRule="auto"/>
        <w:rPr>
          <w:sz w:val="20"/>
          <w:szCs w:val="20"/>
          <w:color w:val="auto"/>
        </w:rPr>
      </w:pPr>
      <w:r>
        <w:rPr>
          <w:rFonts w:ascii="Arial" w:cs="Arial" w:eastAsia="Arial" w:hAnsi="Arial"/>
          <w:sz w:val="16"/>
          <w:szCs w:val="16"/>
          <w:color w:val="auto"/>
        </w:rPr>
        <w:t>and the Company, in the case of (A), (B) or (C) above, has deposited or caused to be deposited with the Trustee as trust funds in trust for such purpose an amount sufficient to pay and discharge the entire indebtedness on such Securities not theretofore delivered to</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80" w:right="279" w:bottom="1440" w:gutter="0" w:footer="0" w:header="0"/>
        </w:sectPr>
      </w:pPr>
    </w:p>
    <w:bookmarkStart w:id="96" w:name="page97"/>
    <w:bookmarkEnd w:id="96"/>
    <w:p>
      <w:pPr>
        <w:ind w:left="9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Trustee for cancellation, for principal (and premium, if any) and interest to the date of such deposit (in the case of Securities which have become due and payable) or to the Stated Maturity or Redemption Date, as the case may be;</w:t>
      </w:r>
    </w:p>
    <w:p>
      <w:pPr>
        <w:spacing w:after="0" w:line="51" w:lineRule="exact"/>
        <w:rPr>
          <w:sz w:val="20"/>
          <w:szCs w:val="20"/>
          <w:color w:val="auto"/>
        </w:rPr>
      </w:pPr>
    </w:p>
    <w:p>
      <w:pPr>
        <w:ind w:left="1160" w:hanging="257"/>
        <w:spacing w:after="0"/>
        <w:tabs>
          <w:tab w:leader="none" w:pos="11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Company has paid or caused to be paid all other sums payable hereunder by the Company with respect to such Securities; and</w:t>
      </w:r>
    </w:p>
    <w:p>
      <w:pPr>
        <w:spacing w:after="0" w:line="113" w:lineRule="exact"/>
        <w:rPr>
          <w:rFonts w:ascii="Arial" w:cs="Arial" w:eastAsia="Arial" w:hAnsi="Arial"/>
          <w:sz w:val="16"/>
          <w:szCs w:val="16"/>
          <w:color w:val="auto"/>
        </w:rPr>
      </w:pPr>
    </w:p>
    <w:p>
      <w:pPr>
        <w:ind w:left="460" w:right="240" w:firstLine="443"/>
        <w:spacing w:after="0" w:line="332" w:lineRule="auto"/>
        <w:tabs>
          <w:tab w:leader="none" w:pos="1137"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each stating that all conditions precedent herein provided for relating to the satisfaction and discharge of this Indenture with respect to such Securities have been complied with.</w:t>
      </w:r>
    </w:p>
    <w:p>
      <w:pPr>
        <w:spacing w:after="0" w:line="8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Notwithstanding the satisfaction and discharge of this Indenture with respect to the Securities of any series, (x) the obligations of the Company to the Trustee under Section 6.7, the obligations of the Trustee to any Authenticating Agent under Section 6.14 and the right of the Trustee to resign under Section 6.10 shall survive, and (y) if money shall have been deposited with the Trustee pursuant to clause (a) of this Section, the obligations of the Company and the Trustee under Section 4.2, Section 6.6 and Section 10.2 and the last paragraph of Section 10.3 shall survive.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Application of Trust Money</w:t>
      </w:r>
      <w:r>
        <w:rPr>
          <w:rFonts w:ascii="Arial" w:cs="Arial" w:eastAsia="Arial" w:hAnsi="Arial"/>
          <w:sz w:val="18"/>
          <w:szCs w:val="18"/>
          <w:color w:val="auto"/>
        </w:rPr>
        <w:t>.</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Subject to the provisions of the last paragraph of Section 10.3, all money deposited with the Trustee pursuant to Section 4.1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FIVE</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REMEDIES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“Event of Default”,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59" w:lineRule="exact"/>
        <w:rPr>
          <w:sz w:val="20"/>
          <w:szCs w:val="20"/>
          <w:color w:val="auto"/>
        </w:rPr>
      </w:pPr>
    </w:p>
    <w:p>
      <w:pPr>
        <w:ind w:left="460" w:right="220" w:firstLine="443"/>
        <w:spacing w:after="0" w:line="268" w:lineRule="auto"/>
        <w:tabs>
          <w:tab w:leader="none" w:pos="1137"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when it becomes due and payable, and continuance of such default for a period of 30 days;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Security of that series at its Maturity; or</w:t>
      </w:r>
    </w:p>
    <w:p>
      <w:pPr>
        <w:spacing w:after="0" w:line="90" w:lineRule="exact"/>
        <w:rPr>
          <w:rFonts w:ascii="Arial" w:cs="Arial" w:eastAsia="Arial" w:hAnsi="Arial"/>
          <w:sz w:val="18"/>
          <w:szCs w:val="18"/>
          <w:color w:val="auto"/>
        </w:rPr>
      </w:pPr>
    </w:p>
    <w:p>
      <w:pPr>
        <w:ind w:left="460" w:right="240" w:firstLine="443"/>
        <w:spacing w:after="0" w:line="291" w:lineRule="auto"/>
        <w:tabs>
          <w:tab w:leader="none" w:pos="1137" w:val="left"/>
        </w:tabs>
        <w:numPr>
          <w:ilvl w:val="0"/>
          <w:numId w:val="67"/>
        </w:numPr>
        <w:rPr>
          <w:rFonts w:ascii="Arial" w:cs="Arial" w:eastAsia="Arial" w:hAnsi="Arial"/>
          <w:sz w:val="16"/>
          <w:szCs w:val="16"/>
          <w:color w:val="auto"/>
        </w:rPr>
      </w:pPr>
      <w:r>
        <w:rPr>
          <w:rFonts w:ascii="Arial" w:cs="Arial" w:eastAsia="Arial" w:hAnsi="Arial"/>
          <w:sz w:val="16"/>
          <w:szCs w:val="16"/>
          <w:color w:val="auto"/>
        </w:rPr>
        <w:t>default in the performance, or breach, of any covenant set forth in Article Ten in this Indenture (other than a covenant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280" w:right="319" w:bottom="1440" w:gutter="0" w:footer="0" w:header="0"/>
        </w:sectPr>
      </w:pPr>
    </w:p>
    <w:bookmarkStart w:id="97" w:name="page98"/>
    <w:bookmarkEnd w:id="97"/>
    <w:p>
      <w:pPr>
        <w:ind w:left="460" w:right="220" w:firstLine="443"/>
        <w:spacing w:after="0" w:line="291" w:lineRule="auto"/>
        <w:tabs>
          <w:tab w:leader="none" w:pos="1147" w:val="left"/>
        </w:tabs>
        <w:numPr>
          <w:ilvl w:val="0"/>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default in the performance, or breach, of any covenant in this Indenture (other than a covenant in Article Ten or any other covenant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180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39" w:lineRule="exact"/>
        <w:rPr>
          <w:rFonts w:ascii="Arial" w:cs="Arial" w:eastAsia="Arial" w:hAnsi="Arial"/>
          <w:sz w:val="16"/>
          <w:szCs w:val="16"/>
          <w:color w:val="auto"/>
        </w:rPr>
      </w:pPr>
    </w:p>
    <w:p>
      <w:pPr>
        <w:ind w:left="460" w:firstLine="443"/>
        <w:spacing w:after="0" w:line="259" w:lineRule="auto"/>
        <w:tabs>
          <w:tab w:leader="none" w:pos="113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 (i) commences a voluntary case, (ii) consents to the entry of any order for relief against it in an involuntary case, (iii) consents to the appointment of a Custodian of it or for all or substantially all of its property, or (iv) makes a general assignment for the benefit of its creditors; or</w:t>
      </w:r>
    </w:p>
    <w:p>
      <w:pPr>
        <w:spacing w:after="0" w:line="59" w:lineRule="exact"/>
        <w:rPr>
          <w:rFonts w:ascii="Arial" w:cs="Arial" w:eastAsia="Arial" w:hAnsi="Arial"/>
          <w:sz w:val="18"/>
          <w:szCs w:val="18"/>
          <w:color w:val="auto"/>
        </w:rPr>
      </w:pPr>
    </w:p>
    <w:p>
      <w:pPr>
        <w:jc w:val="both"/>
        <w:ind w:left="460" w:right="160" w:firstLine="443"/>
        <w:spacing w:after="0" w:line="259" w:lineRule="auto"/>
        <w:tabs>
          <w:tab w:leader="none" w:pos="1117"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 (i) is for relief against the Company in an involuntary case, (ii) appoints a Custodian of the Company or for all or substantially all of its property, or (iii) orders the liquidation of the Company; and the order or decree remains unstayed and in effect for 60 consecutive days; or</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due;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in accordance with Section 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w:t>
      </w:r>
    </w:p>
    <w:p>
      <w:pPr>
        <w:spacing w:after="0" w:line="90"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If an Event of Default with respect to Securities of any series at the time Outstanding occurs and is continuing, then in every such case the Trustee or the Holders of a specified percentage in aggregate principal amount of the Outstanding Securities of that series may declare the principal amount (or, if the Securities of that series are Original Issue Discount Securities, such portion of the principal amount as may be specified in the terms of that series) of all of the Securities of that series to be due and payable immediately, by a notice in writing to the Company (and to the Trustee if given by Holders), and upon any such declaration such principal amount (or specified amount) shall become immediately due and payable. Notwithstanding the foregoing, if an Event of Default specified in clause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(e) or (f) of Section 5.1 occurs, the Securities of any series at the time Outstanding shall be due and payable immediately without further action or notice.</w:t>
      </w:r>
    </w:p>
    <w:p>
      <w:pPr>
        <w:spacing w:after="0" w:line="18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At any time after such a declaration of acceleration with respect to Securities of any series has been made and before a judgment or decree for payment of the money due has been obtained by the Trustee as hereinafter in this Article Five provided, the Holders of a majority in principal amount of the Outstanding Securities of that series, by written notice to the Company and the Trustee, may rescind and annul such declaration and its consequences if:</w:t>
      </w:r>
    </w:p>
    <w:p>
      <w:pPr>
        <w:spacing w:after="0" w:line="26" w:lineRule="exact"/>
        <w:rPr>
          <w:sz w:val="20"/>
          <w:szCs w:val="20"/>
          <w:color w:val="auto"/>
        </w:rPr>
      </w:pPr>
    </w:p>
    <w:p>
      <w:pPr>
        <w:ind w:left="1140" w:hanging="237"/>
        <w:spacing w:after="0"/>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or, if applicable, one or more of the Guarantors has paid or deposited with the Trustee a sum sufficient to pay:</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overdue interest on all Securities of that series,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98" w:name="page99"/>
    <w:bookmarkEnd w:id="98"/>
    <w:p>
      <w:pPr>
        <w:ind w:left="920" w:right="520" w:firstLine="421"/>
        <w:spacing w:after="0" w:line="268" w:lineRule="auto"/>
        <w:tabs>
          <w:tab w:leader="none" w:pos="1598" w:val="left"/>
        </w:tabs>
        <w:numPr>
          <w:ilvl w:val="1"/>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principal of (and premium, if any, on) any Securities of that series which have become due otherwise than by such declaration of acceleration and any interest thereon at the rate or rates prescribed therefor in such Securities,</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1"/>
          <w:numId w:val="70"/>
        </w:numPr>
        <w:rPr>
          <w:rFonts w:ascii="Arial" w:cs="Arial" w:eastAsia="Arial" w:hAnsi="Arial"/>
          <w:sz w:val="15"/>
          <w:szCs w:val="15"/>
          <w:color w:val="auto"/>
        </w:rPr>
      </w:pPr>
      <w:r>
        <w:rPr>
          <w:rFonts w:ascii="Arial" w:cs="Arial" w:eastAsia="Arial" w:hAnsi="Arial"/>
          <w:sz w:val="15"/>
          <w:szCs w:val="15"/>
          <w:color w:val="auto"/>
        </w:rPr>
        <w:t>to the extent that payment of such interest is lawful, interest upon overdue interest at the rate or rates prescribed therefor in such Securities,</w:t>
      </w:r>
    </w:p>
    <w:p>
      <w:pPr>
        <w:spacing w:after="0" w:line="49" w:lineRule="exact"/>
        <w:rPr>
          <w:rFonts w:ascii="Arial" w:cs="Arial" w:eastAsia="Arial" w:hAnsi="Arial"/>
          <w:sz w:val="15"/>
          <w:szCs w:val="15"/>
          <w:color w:val="auto"/>
        </w:rPr>
      </w:pPr>
    </w:p>
    <w:p>
      <w:pPr>
        <w:ind w:left="920"/>
        <w:spacing w:after="0"/>
        <w:rPr>
          <w:rFonts w:ascii="Arial" w:cs="Arial" w:eastAsia="Arial" w:hAnsi="Arial"/>
          <w:sz w:val="15"/>
          <w:szCs w:val="15"/>
          <w:color w:val="auto"/>
        </w:rPr>
      </w:pPr>
      <w:r>
        <w:rPr>
          <w:rFonts w:ascii="Arial" w:cs="Arial" w:eastAsia="Arial" w:hAnsi="Arial"/>
          <w:sz w:val="18"/>
          <w:szCs w:val="18"/>
          <w:color w:val="auto"/>
        </w:rPr>
        <w:t>and</w:t>
      </w:r>
    </w:p>
    <w:p>
      <w:pPr>
        <w:spacing w:after="0" w:line="83" w:lineRule="exact"/>
        <w:rPr>
          <w:rFonts w:ascii="Arial" w:cs="Arial" w:eastAsia="Arial" w:hAnsi="Arial"/>
          <w:sz w:val="15"/>
          <w:szCs w:val="15"/>
          <w:color w:val="auto"/>
        </w:rPr>
      </w:pPr>
    </w:p>
    <w:p>
      <w:pPr>
        <w:ind w:left="920" w:right="560" w:firstLine="421"/>
        <w:spacing w:after="0" w:line="268" w:lineRule="auto"/>
        <w:tabs>
          <w:tab w:leader="none" w:pos="1637"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50"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Events of Default with respect to Securities of that series, other than the non-payment of the principal of Securities of that series which have become due solely by such declaration of acceleration, have been cured or waived as provided in Section 5.13.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Section5.3.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covenants that if:</w:t>
      </w:r>
    </w:p>
    <w:p>
      <w:pPr>
        <w:spacing w:after="0" w:line="90" w:lineRule="exact"/>
        <w:rPr>
          <w:sz w:val="20"/>
          <w:szCs w:val="20"/>
          <w:color w:val="auto"/>
        </w:rPr>
      </w:pPr>
    </w:p>
    <w:p>
      <w:pPr>
        <w:ind w:left="460" w:right="520" w:firstLine="443"/>
        <w:spacing w:after="0" w:line="268" w:lineRule="auto"/>
        <w:tabs>
          <w:tab w:leader="none" w:pos="1137"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default is made in the payment of any installment of interest on any Security when such interest becomes due and payable and such default continues for a period of 60 days,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on) any Security at the Maturity thereof,</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any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if applicable, the Guarantors or any other obligor upon such Securities and collect the moneys adjudged or decreed to be payable in the manner provided by law out of the property of the Company or, if applicable, the Guarantors or any other obligor upon such Securities, wherever situated.</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w:t>
      </w:r>
    </w:p>
    <w:p>
      <w:pPr>
        <w:spacing w:after="0" w:line="90"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In case of the pendency of any receivership, insolvency, liquidation, bankruptcy, reorganization, arrangement, adjustment, composition or other judicial proceeding relative to the Company or, if applicable, any Guarantor or any other obligor upon the Securities, their property or their creditors, the Trustee (irrespective of whether the principal of the Securities shall then be due and payable as therein expressed or by declaration or otherwise and irrespective of whether the Trustee shall have made any demand on the Company or, if applicable, the Guarantors for the payment of overdue principal or interest) shall be entitled and empowered, by intervention in such proceeding or otherwise,</w:t>
      </w:r>
    </w:p>
    <w:p>
      <w:pPr>
        <w:spacing w:after="0" w:line="35" w:lineRule="exact"/>
        <w:rPr>
          <w:sz w:val="20"/>
          <w:szCs w:val="20"/>
          <w:color w:val="auto"/>
        </w:rPr>
      </w:pPr>
    </w:p>
    <w:p>
      <w:pPr>
        <w:ind w:left="460" w:right="20" w:firstLine="443"/>
        <w:spacing w:after="0" w:line="306" w:lineRule="auto"/>
        <w:tabs>
          <w:tab w:leader="none" w:pos="1137" w:val="left"/>
        </w:tabs>
        <w:numPr>
          <w:ilvl w:val="0"/>
          <w:numId w:val="73"/>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principal (and premium, if any)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Holder to make such payments to the Trustee and, if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6.7.</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No provision of this Indenture shall be deemed to authorize the Trustee to authorize or consent to or accept or adopt on behalf of any Holder any plan of reorganization, compromise, arrangement, adjustment or composition affecting the Securities or, if applicable, the Guarantee or the rights of any Holder thereof or to authorize the Trustee to vote in respect of the claim of any Holder in any such proceeding;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Trustee may, on behalf of the Holders, vote for the election of a trustee in bankruptcy or similar official and be a member of a creditors’ or other similar committee.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Trustee May Enforce Claims Without Possession of Securities</w:t>
      </w:r>
      <w:r>
        <w:rPr>
          <w:rFonts w:ascii="Arial" w:cs="Arial" w:eastAsia="Arial" w:hAnsi="Arial"/>
          <w:sz w:val="18"/>
          <w:szCs w:val="18"/>
          <w:color w:val="auto"/>
        </w:rPr>
        <w:t>.</w:t>
      </w:r>
    </w:p>
    <w:p>
      <w:pPr>
        <w:spacing w:after="0" w:line="90"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Any money collected by the Trustee pursuant to this Article Five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FIRST: To the payment of all amounts due the Trustee under Section 6.7;</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100" w:name="page101"/>
    <w:bookmarkEnd w:id="100"/>
    <w:p>
      <w:pPr>
        <w:ind w:left="460" w:right="6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SECOND: To the payment of the amounts then due and unpaid for principal of and any premium and interest on the Securities in respect of which or for the benefit of which such money has been collected, ratably, without preference or priority of any kind, according to the amounts due and payable on such Securities for principal and any premium and interest, respectively; and</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THIRD: The balance, if any, to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(including, if applicable, the Guarantee), or for the appointment of a receiver or trustee, or for any other remedy hereunder, unless:</w:t>
      </w:r>
    </w:p>
    <w:p>
      <w:pPr>
        <w:spacing w:after="0" w:line="51" w:lineRule="exact"/>
        <w:rPr>
          <w:sz w:val="20"/>
          <w:szCs w:val="20"/>
          <w:color w:val="auto"/>
        </w:rPr>
      </w:pPr>
    </w:p>
    <w:p>
      <w:pPr>
        <w:ind w:left="1140" w:hanging="237"/>
        <w:spacing w:after="0"/>
        <w:tabs>
          <w:tab w:leader="none" w:pos="11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Securities of that series;</w:t>
      </w:r>
    </w:p>
    <w:p>
      <w:pPr>
        <w:spacing w:after="0" w:line="113"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50" w:lineRule="exact"/>
        <w:rPr>
          <w:rFonts w:ascii="Arial" w:cs="Arial" w:eastAsia="Arial" w:hAnsi="Arial"/>
          <w:sz w:val="18"/>
          <w:szCs w:val="18"/>
          <w:color w:val="auto"/>
        </w:rPr>
      </w:pPr>
    </w:p>
    <w:p>
      <w:pPr>
        <w:ind w:left="460" w:right="200" w:firstLine="443"/>
        <w:spacing w:after="0" w:line="268" w:lineRule="auto"/>
        <w:tabs>
          <w:tab w:leader="none" w:pos="1137"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indemnity against the costs, expenses and liabilities to be incurred in compliance with such request;</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113" w:lineRule="exact"/>
        <w:rPr>
          <w:rFonts w:ascii="Arial" w:cs="Arial" w:eastAsia="Arial" w:hAnsi="Arial"/>
          <w:sz w:val="16"/>
          <w:szCs w:val="16"/>
          <w:color w:val="auto"/>
        </w:rPr>
      </w:pPr>
    </w:p>
    <w:p>
      <w:pPr>
        <w:ind w:left="460" w:right="540" w:firstLine="443"/>
        <w:spacing w:after="0" w:line="268" w:lineRule="auto"/>
        <w:tabs>
          <w:tab w:leader="none" w:pos="1137"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Section5.8. </w:t>
      </w:r>
      <w:r>
        <w:rPr>
          <w:rFonts w:ascii="Arial" w:cs="Arial" w:eastAsia="Arial" w:hAnsi="Arial"/>
          <w:sz w:val="18"/>
          <w:szCs w:val="18"/>
          <w:u w:val="single" w:color="auto"/>
          <w:color w:val="auto"/>
        </w:rPr>
        <w:t>Unconditional Right of Holders to Receive Principal, Premium and Interest</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any premium and (subject to Section 3.5 and Section 3.7) interest on such Security on the Stated Maturity or Maturities expressed in such Security (or, in the case of redemption, on the Redemption Date) and to institute suit for the enforcement of any such payment, and such rights shall not be impaired without the consent of such Holder.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the Trustee or any Holder has instituted any proceeding to enforce any right or remedy under this Indenture and such proceeding has been discontinued or abandoned for any reason, or has been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101" w:name="page102"/>
    <w:bookmarkEnd w:id="101"/>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determined adversely to the Trustee or to such Holder, then and in every such case, subject to any determination in such proceeding, the Company, the Guarantors,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in the last paragraph of Section 3.6,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To fullest extent permitted by applicable law, 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Five or by law to the Trustee or to the Holders may be exercised from time to time, and as often as may be deemed expedient, by the Trustee or by the Holders, as the case may be.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Control by Holders</w:t>
      </w:r>
      <w:r>
        <w:rPr>
          <w:rFonts w:ascii="Arial" w:cs="Arial" w:eastAsia="Arial" w:hAnsi="Arial"/>
          <w:sz w:val="18"/>
          <w:szCs w:val="18"/>
          <w:color w:val="auto"/>
        </w:rPr>
        <w:t>.</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59" w:lineRule="exact"/>
        <w:rPr>
          <w:sz w:val="20"/>
          <w:szCs w:val="20"/>
          <w:color w:val="auto"/>
        </w:rPr>
      </w:pPr>
    </w:p>
    <w:p>
      <w:pPr>
        <w:ind w:left="1140" w:hanging="237"/>
        <w:spacing w:after="0"/>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subject to the provisions of Section 6.1, the Trustee shall have the right to decline to follow any such direction if the Trustee in good faith shall determine that the proceeding so directed would involve the Trustee in personal liability.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Section5.13.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w:t>
      </w:r>
    </w:p>
    <w:p>
      <w:pPr>
        <w:spacing w:after="0" w:line="51" w:lineRule="exact"/>
        <w:rPr>
          <w:sz w:val="20"/>
          <w:szCs w:val="20"/>
          <w:color w:val="auto"/>
        </w:rPr>
      </w:pPr>
    </w:p>
    <w:p>
      <w:pPr>
        <w:ind w:left="5620" w:right="2100" w:hanging="4717"/>
        <w:spacing w:after="0" w:line="440" w:lineRule="auto"/>
        <w:tabs>
          <w:tab w:leader="none" w:pos="11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continuing default in the payment of the principal of or any premium or interest on any Security of such series, or 37</w:t>
      </w:r>
    </w:p>
    <w:p>
      <w:pPr>
        <w:sectPr>
          <w:pgSz w:w="11900" w:h="16838" w:orient="portrait"/>
          <w:cols w:equalWidth="0" w:num="1">
            <w:col w:w="11340"/>
          </w:cols>
          <w:pgMar w:left="240" w:top="280" w:right="319" w:bottom="1440" w:gutter="0" w:footer="0" w:header="0"/>
        </w:sectPr>
      </w:pPr>
    </w:p>
    <w:bookmarkStart w:id="102" w:name="page103"/>
    <w:bookmarkEnd w:id="102"/>
    <w:p>
      <w:pPr>
        <w:ind w:left="460" w:right="60" w:firstLine="443"/>
        <w:spacing w:after="0" w:line="268" w:lineRule="auto"/>
        <w:tabs>
          <w:tab w:leader="none" w:pos="1147"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default in respect of a covenant or provision hereof which under Article Nine cannot be modified or amended without the consent of the Holder of each Outstanding Security of such series affected.</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other than the Trustee,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5.14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premium, if any) or interest on any Security on or after the Stated Maturity or Maturities expressed in such Security (or, in the case of redemption, on or after the Redemption Date).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Waiver of Stay or Extension Laws</w:t>
      </w:r>
      <w:r>
        <w:rPr>
          <w:rFonts w:ascii="Arial" w:cs="Arial" w:eastAsia="Arial" w:hAnsi="Arial"/>
          <w:sz w:val="18"/>
          <w:szCs w:val="18"/>
          <w:color w:val="auto"/>
        </w:rPr>
        <w:t>.</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Each of the Company and the Guarantors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each of the Company and the Guarantors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27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SIX</w:t>
      </w:r>
    </w:p>
    <w:p>
      <w:pPr>
        <w:spacing w:after="0" w:line="21" w:lineRule="exact"/>
        <w:rPr>
          <w:sz w:val="20"/>
          <w:szCs w:val="20"/>
          <w:color w:val="auto"/>
        </w:rPr>
      </w:pPr>
    </w:p>
    <w:p>
      <w:pPr>
        <w:ind w:left="5100"/>
        <w:spacing w:after="0"/>
        <w:rPr>
          <w:sz w:val="20"/>
          <w:szCs w:val="20"/>
          <w:color w:val="auto"/>
        </w:rPr>
      </w:pPr>
      <w:r>
        <w:rPr>
          <w:rFonts w:ascii="Arial" w:cs="Arial" w:eastAsia="Arial" w:hAnsi="Arial"/>
          <w:sz w:val="18"/>
          <w:szCs w:val="18"/>
          <w:b w:val="1"/>
          <w:bCs w:val="1"/>
          <w:u w:val="single" w:color="auto"/>
          <w:color w:val="auto"/>
        </w:rPr>
        <w:t>THE TRUSTEE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Certain Duties and Responsibilities</w:t>
      </w:r>
      <w:r>
        <w:rPr>
          <w:rFonts w:ascii="Arial" w:cs="Arial" w:eastAsia="Arial" w:hAnsi="Arial"/>
          <w:sz w:val="18"/>
          <w:szCs w:val="18"/>
          <w:color w:val="auto"/>
        </w:rPr>
        <w:t>.</w:t>
      </w:r>
    </w:p>
    <w:p>
      <w:pPr>
        <w:spacing w:after="0" w:line="90" w:lineRule="exact"/>
        <w:rPr>
          <w:sz w:val="20"/>
          <w:szCs w:val="20"/>
          <w:color w:val="auto"/>
        </w:rPr>
      </w:pPr>
    </w:p>
    <w:p>
      <w:pPr>
        <w:ind w:left="1140" w:hanging="237"/>
        <w:spacing w:after="0"/>
        <w:tabs>
          <w:tab w:leader="none" w:pos="11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90" w:lineRule="exact"/>
        <w:rPr>
          <w:rFonts w:ascii="Arial" w:cs="Arial" w:eastAsia="Arial" w:hAnsi="Arial"/>
          <w:sz w:val="18"/>
          <w:szCs w:val="18"/>
          <w:color w:val="auto"/>
        </w:rPr>
      </w:pPr>
    </w:p>
    <w:p>
      <w:pPr>
        <w:ind w:left="920" w:right="180" w:firstLine="421"/>
        <w:spacing w:after="0" w:line="259" w:lineRule="auto"/>
        <w:tabs>
          <w:tab w:leader="none" w:pos="1549"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as are specifically set forth in this Indenture and as are provided by the Trust Indenture Act, and, except for implied covenants or obligations under the Trust Indenture Act, no implied covenants or obligations shall be read into this Indenture against the Trustee; and</w:t>
      </w:r>
    </w:p>
    <w:p>
      <w:pPr>
        <w:spacing w:after="0" w:line="59" w:lineRule="exact"/>
        <w:rPr>
          <w:rFonts w:ascii="Arial" w:cs="Arial" w:eastAsia="Arial" w:hAnsi="Arial"/>
          <w:sz w:val="18"/>
          <w:szCs w:val="18"/>
          <w:color w:val="auto"/>
        </w:rPr>
      </w:pPr>
    </w:p>
    <w:p>
      <w:pPr>
        <w:ind w:left="920" w:firstLine="421"/>
        <w:spacing w:after="0" w:line="259" w:lineRule="auto"/>
        <w:tabs>
          <w:tab w:leader="none" w:pos="1598"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103" w:name="page104"/>
    <w:bookmarkEnd w:id="103"/>
    <w:p>
      <w:pPr>
        <w:ind w:left="920" w:right="7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 hereof are specifically required to be furnished to the Trustee, the Trustee shall be under a duty to examine the same to determine regardless of whether they conform to the requirements of this Indenture.</w:t>
      </w:r>
    </w:p>
    <w:p>
      <w:pPr>
        <w:spacing w:after="0" w:line="51" w:lineRule="exact"/>
        <w:rPr>
          <w:sz w:val="20"/>
          <w:szCs w:val="20"/>
          <w:color w:val="auto"/>
        </w:rPr>
      </w:pPr>
    </w:p>
    <w:p>
      <w:pPr>
        <w:ind w:left="460" w:right="80" w:firstLine="443"/>
        <w:spacing w:after="0" w:line="259" w:lineRule="auto"/>
        <w:tabs>
          <w:tab w:leader="none" w:pos="11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case an Event of Default has occurred and is continuing, the Trustee shall exercise such of the rights and powers vested in it by this Indenture, and use the same degree of care and skill in their exercise, as a prudent man would exercise or use under the circumstances in the conduct of his own affairs.</w:t>
      </w:r>
    </w:p>
    <w:p>
      <w:pPr>
        <w:spacing w:after="0" w:line="59" w:lineRule="exact"/>
        <w:rPr>
          <w:rFonts w:ascii="Arial" w:cs="Arial" w:eastAsia="Arial" w:hAnsi="Arial"/>
          <w:sz w:val="18"/>
          <w:szCs w:val="18"/>
          <w:color w:val="auto"/>
        </w:rPr>
      </w:pPr>
    </w:p>
    <w:p>
      <w:pPr>
        <w:ind w:left="460" w:right="80" w:firstLine="443"/>
        <w:spacing w:after="0" w:line="268" w:lineRule="auto"/>
        <w:tabs>
          <w:tab w:leader="none" w:pos="1137"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50" w:lineRule="exact"/>
        <w:rPr>
          <w:rFonts w:ascii="Arial" w:cs="Arial" w:eastAsia="Arial" w:hAnsi="Arial"/>
          <w:sz w:val="18"/>
          <w:szCs w:val="18"/>
          <w:color w:val="auto"/>
        </w:rPr>
      </w:pPr>
    </w:p>
    <w:p>
      <w:pPr>
        <w:ind w:left="1560" w:hanging="219"/>
        <w:spacing w:after="0"/>
        <w:tabs>
          <w:tab w:leader="none" w:pos="15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this Subsection shall not be construed to limit the effect of Subsection (a) of this Section;</w:t>
      </w:r>
    </w:p>
    <w:p>
      <w:pPr>
        <w:spacing w:after="0" w:line="90" w:lineRule="exact"/>
        <w:rPr>
          <w:rFonts w:ascii="Arial" w:cs="Arial" w:eastAsia="Arial" w:hAnsi="Arial"/>
          <w:sz w:val="18"/>
          <w:szCs w:val="18"/>
          <w:color w:val="auto"/>
        </w:rPr>
      </w:pPr>
    </w:p>
    <w:p>
      <w:pPr>
        <w:ind w:left="920" w:right="420" w:firstLine="421"/>
        <w:spacing w:after="0" w:line="268" w:lineRule="auto"/>
        <w:tabs>
          <w:tab w:leader="none" w:pos="1598"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50" w:lineRule="exact"/>
        <w:rPr>
          <w:rFonts w:ascii="Arial" w:cs="Arial" w:eastAsia="Arial" w:hAnsi="Arial"/>
          <w:sz w:val="18"/>
          <w:szCs w:val="18"/>
          <w:color w:val="auto"/>
        </w:rPr>
      </w:pPr>
    </w:p>
    <w:p>
      <w:pPr>
        <w:jc w:val="both"/>
        <w:ind w:left="920" w:right="20" w:firstLine="421"/>
        <w:spacing w:after="0" w:line="256" w:lineRule="auto"/>
        <w:tabs>
          <w:tab w:leader="none" w:pos="1647"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a majority in principal amount of the Outstanding Securities of any series, given pursuant to Section 5.12, relating to the time, method and place of conducting any proceeding for any remedy available to the Trustee, or exercising any trust or power conferred upon the Trustee, under this Indenture with respect to the Securities of such series; and</w:t>
      </w:r>
    </w:p>
    <w:p>
      <w:pPr>
        <w:spacing w:after="0" w:line="62" w:lineRule="exact"/>
        <w:rPr>
          <w:rFonts w:ascii="Arial" w:cs="Arial" w:eastAsia="Arial" w:hAnsi="Arial"/>
          <w:sz w:val="18"/>
          <w:szCs w:val="18"/>
          <w:color w:val="auto"/>
        </w:rPr>
      </w:pPr>
    </w:p>
    <w:p>
      <w:pPr>
        <w:jc w:val="both"/>
        <w:ind w:left="920" w:right="400" w:firstLine="421"/>
        <w:spacing w:after="0" w:line="306" w:lineRule="auto"/>
        <w:tabs>
          <w:tab w:leader="none" w:pos="1637" w:val="left"/>
        </w:tabs>
        <w:numPr>
          <w:ilvl w:val="1"/>
          <w:numId w:val="79"/>
        </w:numPr>
        <w:rPr>
          <w:rFonts w:ascii="Arial" w:cs="Arial" w:eastAsia="Arial" w:hAnsi="Arial"/>
          <w:sz w:val="16"/>
          <w:szCs w:val="16"/>
          <w:color w:val="auto"/>
        </w:rPr>
      </w:pPr>
      <w:r>
        <w:rPr>
          <w:rFonts w:ascii="Arial" w:cs="Arial" w:eastAsia="Arial" w:hAnsi="Arial"/>
          <w:sz w:val="16"/>
          <w:szCs w:val="16"/>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25" w:lineRule="exact"/>
        <w:rPr>
          <w:rFonts w:ascii="Arial" w:cs="Arial" w:eastAsia="Arial" w:hAnsi="Arial"/>
          <w:sz w:val="16"/>
          <w:szCs w:val="16"/>
          <w:color w:val="auto"/>
        </w:rPr>
      </w:pPr>
    </w:p>
    <w:p>
      <w:pPr>
        <w:ind w:left="460" w:right="480" w:firstLine="443"/>
        <w:spacing w:after="0" w:line="268" w:lineRule="auto"/>
        <w:tabs>
          <w:tab w:leader="none" w:pos="11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Regardless of whether therein expressly so provided, every provision of this Indenture relating to the conduct or affecting the liability of or affording protection to the Trustee shall be subject to the provisions of this Section.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Notice of Defaults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Within 90 days after the occurrence of any Default hereunder with respect to the Securities of any series, the Trustee shall transmit by mail to all Holders of Securities of such series, as their names and addresses appear in the Security Register, notice of such Default hereunder known to the Trustee, unless such Default shall have been cured or waived;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except in the case of a Default in the payment of the principal of or any premium or interest on any Security of such series or in the payment of any sinking fund installment with respect to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Holders of Securities of such series;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in the case of any Default of the character specified in Section 5.1(c) with respect to Securities of such series, no such notice to Holders shall be given until at least 90 days after the occurrence thereof and that in the case of any Default of the character specified in Section 5.1(d) with respect to Securities of such series, no such notice to Holders shall be given until at least 180 days after the occurrence thereof.</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6.3.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provisions of Section 6.1:</w:t>
      </w:r>
    </w:p>
    <w:p>
      <w:pPr>
        <w:spacing w:after="0" w:line="90" w:lineRule="exact"/>
        <w:rPr>
          <w:sz w:val="20"/>
          <w:szCs w:val="20"/>
          <w:color w:val="auto"/>
        </w:rPr>
      </w:pPr>
    </w:p>
    <w:p>
      <w:pPr>
        <w:ind w:left="460" w:right="340" w:firstLine="443"/>
        <w:spacing w:after="0" w:line="306" w:lineRule="auto"/>
        <w:tabs>
          <w:tab w:leader="none" w:pos="1137"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25" w:lineRule="exact"/>
        <w:rPr>
          <w:rFonts w:ascii="Arial" w:cs="Arial" w:eastAsia="Arial" w:hAnsi="Arial"/>
          <w:sz w:val="16"/>
          <w:szCs w:val="16"/>
          <w:color w:val="auto"/>
        </w:rPr>
      </w:pPr>
    </w:p>
    <w:p>
      <w:pPr>
        <w:ind w:left="460" w:right="220" w:firstLine="443"/>
        <w:spacing w:after="0" w:line="306" w:lineRule="auto"/>
        <w:tabs>
          <w:tab w:leader="none" w:pos="1147"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any request or direction of the Company or a Guarantor mentioned herein shall be sufficiently evidenced by a Company Request or Company Order (other than delivery of any Security to the Trustee for authentication and delivery pursuant to Section 3.3, which shall be sufficiently evidenced as provided therein) and any resolution of the Board of Directors may be sufficiently evidenced by a Board Resolution;</w:t>
      </w:r>
    </w:p>
    <w:p>
      <w:pPr>
        <w:spacing w:after="0" w:line="25" w:lineRule="exact"/>
        <w:rPr>
          <w:rFonts w:ascii="Arial" w:cs="Arial" w:eastAsia="Arial" w:hAnsi="Arial"/>
          <w:sz w:val="16"/>
          <w:szCs w:val="16"/>
          <w:color w:val="auto"/>
        </w:rPr>
      </w:pPr>
    </w:p>
    <w:p>
      <w:pPr>
        <w:jc w:val="both"/>
        <w:ind w:left="460" w:firstLine="443"/>
        <w:spacing w:after="0" w:line="259" w:lineRule="auto"/>
        <w:tabs>
          <w:tab w:leader="none" w:pos="1137" w:val="left"/>
        </w:tabs>
        <w:numPr>
          <w:ilvl w:val="0"/>
          <w:numId w:val="80"/>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shall be entitled to receive and may, in the absence of bad faith on its part, rely upon an Officer’s Certificate;</w:t>
      </w:r>
    </w:p>
    <w:p>
      <w:pPr>
        <w:spacing w:after="0" w:line="59" w:lineRule="exact"/>
        <w:rPr>
          <w:rFonts w:ascii="Arial" w:cs="Arial" w:eastAsia="Arial" w:hAnsi="Arial"/>
          <w:sz w:val="18"/>
          <w:szCs w:val="18"/>
          <w:color w:val="auto"/>
        </w:rPr>
      </w:pPr>
    </w:p>
    <w:p>
      <w:pPr>
        <w:ind w:left="460" w:right="400" w:firstLine="443"/>
        <w:spacing w:after="0" w:line="268" w:lineRule="auto"/>
        <w:tabs>
          <w:tab w:leader="none" w:pos="114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50" w:lineRule="exact"/>
        <w:rPr>
          <w:rFonts w:ascii="Arial" w:cs="Arial" w:eastAsia="Arial" w:hAnsi="Arial"/>
          <w:sz w:val="18"/>
          <w:szCs w:val="18"/>
          <w:color w:val="auto"/>
        </w:rPr>
      </w:pPr>
    </w:p>
    <w:p>
      <w:pPr>
        <w:jc w:val="both"/>
        <w:ind w:left="460" w:right="180" w:firstLine="443"/>
        <w:spacing w:after="0" w:line="259" w:lineRule="auto"/>
        <w:tabs>
          <w:tab w:leader="none" w:pos="113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59" w:lineRule="exact"/>
        <w:rPr>
          <w:rFonts w:ascii="Arial" w:cs="Arial" w:eastAsia="Arial" w:hAnsi="Arial"/>
          <w:sz w:val="18"/>
          <w:szCs w:val="18"/>
          <w:color w:val="auto"/>
        </w:rPr>
      </w:pPr>
    </w:p>
    <w:p>
      <w:pPr>
        <w:ind w:left="460" w:firstLine="443"/>
        <w:spacing w:after="0" w:line="323" w:lineRule="auto"/>
        <w:tabs>
          <w:tab w:leader="none" w:pos="1117"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w:t>
      </w:r>
    </w:p>
    <w:p>
      <w:pPr>
        <w:spacing w:after="0" w:line="16" w:lineRule="exact"/>
        <w:rPr>
          <w:rFonts w:ascii="Arial" w:cs="Arial" w:eastAsia="Arial" w:hAnsi="Arial"/>
          <w:sz w:val="15"/>
          <w:szCs w:val="15"/>
          <w:color w:val="auto"/>
        </w:rPr>
      </w:pPr>
    </w:p>
    <w:p>
      <w:pPr>
        <w:ind w:left="460" w:firstLine="443"/>
        <w:spacing w:after="0" w:line="306" w:lineRule="auto"/>
        <w:tabs>
          <w:tab w:leader="none" w:pos="1147"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and shall not be responsible for the supervision of officers and employees of such agents or attorneys;</w:t>
      </w:r>
    </w:p>
    <w:p>
      <w:pPr>
        <w:spacing w:after="0" w:line="25" w:lineRule="exact"/>
        <w:rPr>
          <w:rFonts w:ascii="Arial" w:cs="Arial" w:eastAsia="Arial" w:hAnsi="Arial"/>
          <w:sz w:val="16"/>
          <w:szCs w:val="16"/>
          <w:color w:val="auto"/>
        </w:rPr>
      </w:pPr>
    </w:p>
    <w:p>
      <w:pPr>
        <w:ind w:left="460" w:right="40" w:firstLine="443"/>
        <w:spacing w:after="0" w:line="268" w:lineRule="auto"/>
        <w:tabs>
          <w:tab w:leader="none" w:pos="114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 may request that the Company and, if applicable, the Guarantors deliver an Officer’s Certificate setting forth the names of individuals and/or titles of officers authorized at such time to take specified actions pursuant to this Indenture, which Officer’s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105" w:name="page106"/>
    <w:bookmarkEnd w:id="105"/>
    <w:p>
      <w:pPr>
        <w:ind w:left="460"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Certificate may be signed by any person authorized to sign an Officer’s Certificate, including any person specified as so authorized in any such certificate previously delivered and not superseded; and</w:t>
      </w:r>
    </w:p>
    <w:p>
      <w:pPr>
        <w:spacing w:after="0" w:line="51" w:lineRule="exact"/>
        <w:rPr>
          <w:sz w:val="20"/>
          <w:szCs w:val="20"/>
          <w:color w:val="auto"/>
        </w:rPr>
      </w:pPr>
    </w:p>
    <w:p>
      <w:pPr>
        <w:ind w:left="460" w:firstLine="443"/>
        <w:spacing w:after="0" w:line="268" w:lineRule="auto"/>
        <w:tabs>
          <w:tab w:leader="none" w:pos="1108"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Trustee shall be entitled to the rights and protections afforded to the Trustee pursuant to this Article Six in acting as a Paying Agent or Security Registrar hereunder.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Not Responsible for Recitals or Issuance of Securities</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recitals contained herein and in the Securities, except the Trustee’s certificates of authentication, shall be taken as the statements of the Company or, if applicable, the Guarantors, and the Trustee or any Authenticating Agent assumes no responsibility for their correctness. Neither the Trustee nor any Authenticating Agent makes any representations as to the validity or sufficiency of this Indenture or of the Securities. The Trustee or any Authenticating Agent shall not be accountable for the use or application by the Company of Securities or the proceeds thereof.</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May Hold Securities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Trustee, any Authenticating Agent, any Paying Agent, any Security Registrar or any other agent of the Company or, if applicable, any Guarantor, in its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individual or any other capacity, may become the owner or pledgee of Securities and, subject to Sections 310(b) and 311 of the Trust Indenture Act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6.8, Section 6.9 and Section 6.13, may otherwise deal with the Company or, if applicable, the Guarantors with the same rights it would have if it were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Trustee, Authenticating Agent, Paying Agent, Security Registrar or such other agent.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Money Held in Trust</w:t>
      </w:r>
      <w:r>
        <w:rPr>
          <w:rFonts w:ascii="Arial" w:cs="Arial" w:eastAsia="Arial" w:hAnsi="Arial"/>
          <w:sz w:val="18"/>
          <w:szCs w:val="18"/>
          <w:color w:val="auto"/>
        </w:rPr>
        <w:t>.</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in writing with the Company or, if applicable, one or more of the Guarantors.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agrees:</w:t>
      </w:r>
    </w:p>
    <w:p>
      <w:pPr>
        <w:spacing w:after="0" w:line="90" w:lineRule="exact"/>
        <w:rPr>
          <w:sz w:val="20"/>
          <w:szCs w:val="20"/>
          <w:color w:val="auto"/>
        </w:rPr>
      </w:pPr>
    </w:p>
    <w:p>
      <w:pPr>
        <w:ind w:left="460" w:right="500" w:firstLine="443"/>
        <w:spacing w:after="0" w:line="268" w:lineRule="auto"/>
        <w:tabs>
          <w:tab w:leader="none" w:pos="1137"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50" w:lineRule="exact"/>
        <w:rPr>
          <w:rFonts w:ascii="Arial" w:cs="Arial" w:eastAsia="Arial" w:hAnsi="Arial"/>
          <w:sz w:val="18"/>
          <w:szCs w:val="18"/>
          <w:color w:val="auto"/>
        </w:rPr>
      </w:pPr>
    </w:p>
    <w:p>
      <w:pPr>
        <w:ind w:left="460" w:right="80" w:firstLine="443"/>
        <w:spacing w:after="0" w:line="335" w:lineRule="auto"/>
        <w:tabs>
          <w:tab w:leader="none" w:pos="1147" w:val="left"/>
        </w:tabs>
        <w:numPr>
          <w:ilvl w:val="0"/>
          <w:numId w:val="82"/>
        </w:numPr>
        <w:rPr>
          <w:rFonts w:ascii="Arial" w:cs="Arial" w:eastAsia="Arial" w:hAnsi="Arial"/>
          <w:sz w:val="15"/>
          <w:szCs w:val="15"/>
          <w:color w:val="auto"/>
        </w:rPr>
      </w:pPr>
      <w:r>
        <w:rPr>
          <w:rFonts w:ascii="Arial" w:cs="Arial" w:eastAsia="Arial" w:hAnsi="Arial"/>
          <w:sz w:val="15"/>
          <w:szCs w:val="15"/>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7" w:lineRule="exact"/>
        <w:rPr>
          <w:rFonts w:ascii="Arial" w:cs="Arial" w:eastAsia="Arial" w:hAnsi="Arial"/>
          <w:sz w:val="15"/>
          <w:szCs w:val="15"/>
          <w:color w:val="auto"/>
        </w:rPr>
      </w:pPr>
    </w:p>
    <w:p>
      <w:pPr>
        <w:ind w:left="460" w:right="20" w:firstLine="443"/>
        <w:spacing w:after="0" w:line="256" w:lineRule="auto"/>
        <w:tabs>
          <w:tab w:leader="none" w:pos="1137"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indemnify each of the Trustee and its officers, directors, agents and employees for, and to hold it harmless against, any loss, liability or expense incurred without negligence or willful misconduct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106" w:name="page107"/>
    <w:bookmarkEnd w:id="106"/>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security for the performance of the obligations of the Company under this Section the Trustee shall have a lien prior to the Securities upon all property and funds held or collected by the Trustee as such, except funds held in trust for the payment of principal of (and premium, if any) or interest on particular Securities.</w:t>
      </w:r>
    </w:p>
    <w:p>
      <w:pPr>
        <w:spacing w:after="0" w:line="14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Without limiting any rights available to the Trustee under applicable law, when the Trustee incurs expenses or renders services in connection with an Event of Default specified in Section 5.1(e) or Section 5.1(f), the expenses (including the reasonable charges and expenses of its counsel) and the compensation for the services of the Trustee are intended to constitute expenses of administration under any applicable Bankruptcy Law.</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of this Section 6.7 shall survive the satisfaction and discharge of this Indenture and the defeasance of the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Disqualification; Conflicting Interests</w:t>
      </w:r>
      <w:r>
        <w:rPr>
          <w:rFonts w:ascii="Arial" w:cs="Arial" w:eastAsia="Arial" w:hAnsi="Arial"/>
          <w:sz w:val="18"/>
          <w:szCs w:val="18"/>
          <w:color w:val="auto"/>
        </w:rPr>
        <w:t>.</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Reference is made to Section 310(b) of the Trust Indenture Act. There shall be excluded from the operation of Section 310(b)(1) of the Trust Indenture Act this Indenture with respect to the Securities of more than one series.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Corporate Trustee Required; Eligibility</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There shall at all times be a Trustee hereunder which shall be a corporation organized and doing business under the laws of the United States of America, any State thereof or the District of Columbia, authorized under such laws to exercise corporate trust powers, having a combined capital and surplus required by the Trust Indenture Act, subject to supervision or examination by Federal or State authority. If such corporation publishes reports of condition at least annually, pursuant to law or to the requirements of said supervising or examining authority, then for the purposes of this Section, the combined capital and surplus of such corporation shall be deemed to be its combined capital and surplus as set forth in its most recent report of condition so published. The Trustee shall not be an obligor upon the Securities or an Affiliate thereof. If at any time the Trustee shall cease to be eligible in accordance with the provisions of this Section, it shall resign immediately in the manner and with the effect hereinafter specified in this Article Six.</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w:t>
      </w:r>
    </w:p>
    <w:p>
      <w:pPr>
        <w:spacing w:after="0" w:line="90" w:lineRule="exact"/>
        <w:rPr>
          <w:sz w:val="20"/>
          <w:szCs w:val="20"/>
          <w:color w:val="auto"/>
        </w:rPr>
      </w:pPr>
    </w:p>
    <w:p>
      <w:pPr>
        <w:ind w:left="460" w:right="440" w:firstLine="443"/>
        <w:spacing w:after="0" w:line="332" w:lineRule="auto"/>
        <w:tabs>
          <w:tab w:leader="none" w:pos="1137" w:val="left"/>
        </w:tabs>
        <w:numPr>
          <w:ilvl w:val="0"/>
          <w:numId w:val="83"/>
        </w:numPr>
        <w:rPr>
          <w:rFonts w:ascii="Arial" w:cs="Arial" w:eastAsia="Arial" w:hAnsi="Arial"/>
          <w:sz w:val="16"/>
          <w:szCs w:val="16"/>
          <w:color w:val="auto"/>
        </w:rPr>
      </w:pPr>
      <w:r>
        <w:rPr>
          <w:rFonts w:ascii="Arial" w:cs="Arial" w:eastAsia="Arial" w:hAnsi="Arial"/>
          <w:sz w:val="16"/>
          <w:szCs w:val="16"/>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4" w:lineRule="exact"/>
        <w:rPr>
          <w:rFonts w:ascii="Arial" w:cs="Arial" w:eastAsia="Arial" w:hAnsi="Arial"/>
          <w:sz w:val="16"/>
          <w:szCs w:val="16"/>
          <w:color w:val="auto"/>
        </w:rPr>
      </w:pPr>
    </w:p>
    <w:p>
      <w:pPr>
        <w:jc w:val="both"/>
        <w:ind w:left="460" w:firstLine="443"/>
        <w:spacing w:after="0" w:line="256"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80" w:right="279" w:bottom="1440" w:gutter="0" w:footer="0" w:header="0"/>
        </w:sectPr>
      </w:pPr>
    </w:p>
    <w:bookmarkStart w:id="107" w:name="page108"/>
    <w:bookmarkEnd w:id="107"/>
    <w:p>
      <w:pPr>
        <w:ind w:right="20" w:firstLine="443"/>
        <w:spacing w:after="0" w:line="268" w:lineRule="auto"/>
        <w:tabs>
          <w:tab w:leader="none" w:pos="677"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Trustee may be removed at any time with respect to the Securities of any series by Act of the Holders of a majority in principal amount of the Outstanding Securities of such series, delivered to the Trustee and to the Company.</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90" w:lineRule="exact"/>
        <w:rPr>
          <w:rFonts w:ascii="Arial" w:cs="Arial" w:eastAsia="Arial" w:hAnsi="Arial"/>
          <w:sz w:val="18"/>
          <w:szCs w:val="18"/>
          <w:color w:val="auto"/>
        </w:rPr>
      </w:pPr>
    </w:p>
    <w:p>
      <w:pPr>
        <w:ind w:left="460" w:right="420" w:firstLine="421"/>
        <w:spacing w:after="0" w:line="268" w:lineRule="auto"/>
        <w:tabs>
          <w:tab w:leader="none" w:pos="1089" w:val="left"/>
        </w:tabs>
        <w:numPr>
          <w:ilvl w:val="2"/>
          <w:numId w:val="84"/>
        </w:numPr>
        <w:rPr>
          <w:rFonts w:ascii="Arial" w:cs="Arial" w:eastAsia="Arial" w:hAnsi="Arial"/>
          <w:sz w:val="18"/>
          <w:szCs w:val="18"/>
          <w:color w:val="auto"/>
        </w:rPr>
      </w:pPr>
      <w:r>
        <w:rPr>
          <w:rFonts w:ascii="Arial" w:cs="Arial" w:eastAsia="Arial" w:hAnsi="Arial"/>
          <w:sz w:val="18"/>
          <w:szCs w:val="18"/>
          <w:color w:val="auto"/>
        </w:rPr>
        <w:t>the Trustee shall fail to comply with Section 310(b) of the Trust Indenture Act after written request therefor by the Company or by any Holder who has been a bona fide Holder of a Security for at least six months, or</w:t>
      </w:r>
    </w:p>
    <w:p>
      <w:pPr>
        <w:spacing w:after="0" w:line="50" w:lineRule="exact"/>
        <w:rPr>
          <w:rFonts w:ascii="Arial" w:cs="Arial" w:eastAsia="Arial" w:hAnsi="Arial"/>
          <w:sz w:val="18"/>
          <w:szCs w:val="18"/>
          <w:color w:val="auto"/>
        </w:rPr>
      </w:pPr>
    </w:p>
    <w:p>
      <w:pPr>
        <w:ind w:left="460" w:right="60" w:firstLine="421"/>
        <w:spacing w:after="0" w:line="268" w:lineRule="auto"/>
        <w:tabs>
          <w:tab w:leader="none" w:pos="1138" w:val="left"/>
        </w:tabs>
        <w:numPr>
          <w:ilvl w:val="2"/>
          <w:numId w:val="84"/>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6.9 and shall fail to resign after written request therefor by the Company or by any such Holder, or</w:t>
      </w:r>
    </w:p>
    <w:p>
      <w:pPr>
        <w:spacing w:after="0" w:line="50" w:lineRule="exact"/>
        <w:rPr>
          <w:rFonts w:ascii="Arial" w:cs="Arial" w:eastAsia="Arial" w:hAnsi="Arial"/>
          <w:sz w:val="18"/>
          <w:szCs w:val="18"/>
          <w:color w:val="auto"/>
        </w:rPr>
      </w:pPr>
    </w:p>
    <w:p>
      <w:pPr>
        <w:ind w:left="460" w:right="40" w:firstLine="421"/>
        <w:spacing w:after="0" w:line="303" w:lineRule="auto"/>
        <w:tabs>
          <w:tab w:leader="none" w:pos="1187" w:val="left"/>
        </w:tabs>
        <w:numPr>
          <w:ilvl w:val="2"/>
          <w:numId w:val="84"/>
        </w:numPr>
        <w:rPr>
          <w:rFonts w:ascii="Arial" w:cs="Arial" w:eastAsia="Arial" w:hAnsi="Arial"/>
          <w:sz w:val="15"/>
          <w:szCs w:val="15"/>
          <w:color w:val="auto"/>
        </w:rPr>
      </w:pPr>
      <w:r>
        <w:rPr>
          <w:rFonts w:ascii="Arial" w:cs="Arial" w:eastAsia="Arial" w:hAnsi="Arial"/>
          <w:sz w:val="15"/>
          <w:szCs w:val="15"/>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(A) the Company by a Board Resolution may remove the Trustee with respect to all Securities, or</w:t>
      </w:r>
    </w:p>
    <w:p>
      <w:pPr>
        <w:spacing w:after="0" w:line="1" w:lineRule="exact"/>
        <w:rPr>
          <w:rFonts w:ascii="Arial" w:cs="Arial" w:eastAsia="Arial" w:hAnsi="Arial"/>
          <w:sz w:val="15"/>
          <w:szCs w:val="15"/>
          <w:color w:val="auto"/>
        </w:rPr>
      </w:pPr>
    </w:p>
    <w:p>
      <w:pPr>
        <w:ind w:left="460" w:right="20" w:firstLine="1"/>
        <w:spacing w:after="0" w:line="255" w:lineRule="auto"/>
        <w:tabs>
          <w:tab w:leader="none" w:pos="738" w:val="left"/>
        </w:tabs>
        <w:numPr>
          <w:ilvl w:val="1"/>
          <w:numId w:val="84"/>
        </w:numPr>
        <w:rPr>
          <w:rFonts w:ascii="Arial" w:cs="Arial" w:eastAsia="Arial" w:hAnsi="Arial"/>
          <w:sz w:val="18"/>
          <w:szCs w:val="18"/>
          <w:color w:val="auto"/>
        </w:rPr>
      </w:pPr>
      <w:r>
        <w:rPr>
          <w:rFonts w:ascii="Arial" w:cs="Arial" w:eastAsia="Arial" w:hAnsi="Arial"/>
          <w:sz w:val="18"/>
          <w:szCs w:val="18"/>
          <w:color w:val="auto"/>
        </w:rPr>
        <w:t>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63" w:lineRule="exact"/>
        <w:rPr>
          <w:rFonts w:ascii="Arial" w:cs="Arial" w:eastAsia="Arial" w:hAnsi="Arial"/>
          <w:sz w:val="18"/>
          <w:szCs w:val="18"/>
          <w:color w:val="auto"/>
        </w:rPr>
      </w:pPr>
    </w:p>
    <w:p>
      <w:pPr>
        <w:ind w:firstLine="443"/>
        <w:spacing w:after="0" w:line="286" w:lineRule="auto"/>
        <w:tabs>
          <w:tab w:leader="none" w:pos="677"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43" w:lineRule="exact"/>
        <w:rPr>
          <w:rFonts w:ascii="Arial" w:cs="Arial" w:eastAsia="Arial" w:hAnsi="Arial"/>
          <w:sz w:val="16"/>
          <w:szCs w:val="16"/>
          <w:color w:val="auto"/>
        </w:rPr>
      </w:pPr>
    </w:p>
    <w:p>
      <w:pPr>
        <w:ind w:right="160" w:firstLine="443"/>
        <w:spacing w:after="0" w:line="256" w:lineRule="auto"/>
        <w:tabs>
          <w:tab w:leader="none" w:pos="65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1.7. Each notice shall include the name of the successor Trustee with respect to the Securities of such series and the address of its Corporate Trust Office.</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60"/>
          </w:cols>
          <w:pgMar w:left="700" w:top="280"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6.11.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90" w:lineRule="auto"/>
        <w:tabs>
          <w:tab w:leader="none" w:pos="1137"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all Securities, every such successor Trustee so appointed shall execute, acknowledge and deliver to the Company, the Guarantors (if applicable)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if applicable, any Guarantor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37" w:lineRule="exact"/>
        <w:rPr>
          <w:rFonts w:ascii="Arial" w:cs="Arial" w:eastAsia="Arial" w:hAnsi="Arial"/>
          <w:sz w:val="16"/>
          <w:szCs w:val="16"/>
          <w:color w:val="auto"/>
        </w:rPr>
      </w:pPr>
    </w:p>
    <w:p>
      <w:pPr>
        <w:ind w:left="460" w:right="40" w:firstLine="443"/>
        <w:spacing w:after="0" w:line="285" w:lineRule="auto"/>
        <w:tabs>
          <w:tab w:leader="none" w:pos="1147"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Guarantors (if applicable),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any Guarantor (if applicable)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42" w:lineRule="exact"/>
        <w:rPr>
          <w:rFonts w:ascii="Arial" w:cs="Arial" w:eastAsia="Arial" w:hAnsi="Arial"/>
          <w:sz w:val="16"/>
          <w:szCs w:val="16"/>
          <w:color w:val="auto"/>
        </w:rPr>
      </w:pPr>
    </w:p>
    <w:p>
      <w:pPr>
        <w:jc w:val="both"/>
        <w:ind w:left="460" w:right="80" w:firstLine="443"/>
        <w:spacing w:after="0" w:line="259" w:lineRule="auto"/>
        <w:tabs>
          <w:tab w:leader="none" w:pos="1137" w:val="left"/>
        </w:tabs>
        <w:numPr>
          <w:ilvl w:val="0"/>
          <w:numId w:val="85"/>
        </w:numPr>
        <w:rPr>
          <w:rFonts w:ascii="Arial" w:cs="Arial" w:eastAsia="Arial" w:hAnsi="Arial"/>
          <w:sz w:val="18"/>
          <w:szCs w:val="18"/>
          <w:color w:val="auto"/>
        </w:rPr>
      </w:pPr>
      <w:r>
        <w:rPr>
          <w:rFonts w:ascii="Arial" w:cs="Arial" w:eastAsia="Arial" w:hAnsi="Arial"/>
          <w:sz w:val="18"/>
          <w:szCs w:val="18"/>
          <w:color w:val="auto"/>
        </w:rPr>
        <w:t>Upon request of any such successor Trustee, the Company and, if applicable, the Guarantors shall execute any and all instruments for more fully and certainly vesting in and confirming to such successor Trustee all such rights, powers and trusts referred to in paragraph (a) or (b) of this Section, as the case may be.</w:t>
      </w:r>
    </w:p>
    <w:p>
      <w:pPr>
        <w:spacing w:after="0" w:line="59"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 and the Trust Indenture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6.12. </w:t>
      </w:r>
      <w:r>
        <w:rPr>
          <w:rFonts w:ascii="Arial" w:cs="Arial" w:eastAsia="Arial" w:hAnsi="Arial"/>
          <w:sz w:val="18"/>
          <w:szCs w:val="18"/>
          <w:u w:val="single" w:color="auto"/>
          <w:color w:val="auto"/>
        </w:rPr>
        <w:t>Merger, Conversion, Consolidation or Succession to Business</w:t>
      </w:r>
      <w:r>
        <w:rPr>
          <w:rFonts w:ascii="Arial" w:cs="Arial" w:eastAsia="Arial" w:hAnsi="Arial"/>
          <w:sz w:val="18"/>
          <w:szCs w:val="18"/>
          <w:color w:val="auto"/>
        </w:rPr>
        <w:t>.</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Six,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Preferential Collection of Claims Against Company</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Reference is made to Section 311 of the Trust Indenture Act. For purposes of Section 311(b) of the Trust Indenture Act,</w:t>
      </w:r>
    </w:p>
    <w:p>
      <w:pPr>
        <w:spacing w:after="0" w:line="90" w:lineRule="exact"/>
        <w:rPr>
          <w:sz w:val="20"/>
          <w:szCs w:val="20"/>
          <w:color w:val="auto"/>
        </w:rPr>
      </w:pPr>
    </w:p>
    <w:p>
      <w:pPr>
        <w:ind w:left="460" w:right="160" w:firstLine="443"/>
        <w:spacing w:after="0" w:line="332" w:lineRule="auto"/>
        <w:tabs>
          <w:tab w:leader="none" w:pos="1137"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term “cash transaction” means any transaction in which full payment for goods or securities sold is made within seven days after delivery of the goods or securities in currency or in checks or other orders drawn upon banks or bankers and payable upon demand;</w:t>
      </w:r>
    </w:p>
    <w:p>
      <w:pPr>
        <w:spacing w:after="0" w:line="4" w:lineRule="exact"/>
        <w:rPr>
          <w:rFonts w:ascii="Arial" w:cs="Arial" w:eastAsia="Arial" w:hAnsi="Arial"/>
          <w:sz w:val="16"/>
          <w:szCs w:val="16"/>
          <w:color w:val="auto"/>
        </w:rPr>
      </w:pPr>
    </w:p>
    <w:p>
      <w:pPr>
        <w:ind w:left="460" w:right="60" w:firstLine="443"/>
        <w:spacing w:after="0" w:line="291" w:lineRule="auto"/>
        <w:tabs>
          <w:tab w:leader="none" w:pos="1147"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term “self-liquidating paper” means any draft, bill of exchange, acceptance or obligation which is made, drawn, negotiated or incurred by the Company or, if applicable, any Guarantor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provided the security is received by the Trustee simultaneously with the creation of the creditor relationship with the Company or, if applicable, such Guarantor arising from the making, drawing, negotiating or incurring of the draft, bill of exchange, acceptance or obligation.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Appointment of Authenticating Agent</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Trustee may appoint an Authenticating Agent or Agents with respect to one or more series of Securities which shall be authorized to act on behalf of the Trustee to authenticate Securities of such series issued upon exchange, registration of transfer or partial redemption thereof or pursuant to Section 3.6,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$100,000,000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110" w:name="page111"/>
    <w:bookmarkEnd w:id="110"/>
    <w:p>
      <w:pPr>
        <w:ind w:right="1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corporation into which an Authenticating Agent may be merged or converted or with which it may be consolidated, or any corporation resulting from any merger, conversion or consolidation to which such Authenticating Agent shall be a party, or any corporation succeeding to all or substantially all of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13"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An Authenticating Agent may resign at any time by giving written notice thereof to the Trustee and to the Company and, if applicable, the Guarantors. The Trustee may at any time terminate the agency of an Authenticating Agent by giving written notice thereof to such Authenticating Agent and to the Company and, if applicable, the Guarantors.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if applicable, the Guarantors and shall mail written notice of such appointment by first-class mail, postage prepaid, to all Holders of Securities of the series with respect to which such Authenticating Agent will serve, as their names and addresses appear in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08"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Except with respect to an Authenticating Agent appointed at the request of the Company or, if applicable, the Guarantors, the Trustee agrees to pay to each Authenticating Agent from time to time reasonable compensation for its services under this Section 6.14, and the Trustee shall be entitled to be reimbursed by the Company or, if applicable, the Guarantors for such payments, subject to the provisions of Section 6.7.</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If an appointment with respect to one or more series is made pursuant to this Section 6.14, the Securities of such series may have endorsed thereon, in addition to the Trustee’s certificate of authentication, an alternate certificate of authentication in the following form:</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10220" w:type="dxa"/>
            <w:vAlign w:val="bottom"/>
            <w:gridSpan w:val="3"/>
          </w:tcPr>
          <w:p>
            <w:pPr>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tc>
        <w:tc>
          <w:tcPr>
            <w:tcW w:w="740" w:type="dxa"/>
            <w:vAlign w:val="bottom"/>
          </w:tcPr>
          <w:p>
            <w:pPr>
              <w:spacing w:after="0"/>
              <w:rPr>
                <w:sz w:val="19"/>
                <w:szCs w:val="19"/>
                <w:color w:val="auto"/>
              </w:rPr>
            </w:pPr>
          </w:p>
        </w:tc>
      </w:tr>
      <w:tr>
        <w:trPr>
          <w:trHeight w:val="380"/>
        </w:trPr>
        <w:tc>
          <w:tcPr>
            <w:tcW w:w="6460" w:type="dxa"/>
            <w:vAlign w:val="bottom"/>
          </w:tcPr>
          <w:p>
            <w:pPr>
              <w:ind w:left="6400"/>
              <w:spacing w:after="0"/>
              <w:rPr>
                <w:sz w:val="20"/>
                <w:szCs w:val="20"/>
                <w:color w:val="auto"/>
              </w:rPr>
            </w:pPr>
            <w:r>
              <w:rPr>
                <w:rFonts w:ascii="Arial" w:cs="Arial" w:eastAsia="Arial" w:hAnsi="Arial"/>
                <w:sz w:val="16"/>
                <w:szCs w:val="16"/>
                <w:b w:val="1"/>
                <w:bCs w:val="1"/>
                <w:color w:val="auto"/>
                <w:w w:val="74"/>
              </w:rPr>
              <w:t>[</w:t>
            </w:r>
          </w:p>
        </w:tc>
        <w:tc>
          <w:tcPr>
            <w:tcW w:w="3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740" w:type="dxa"/>
            <w:vAlign w:val="bottom"/>
          </w:tcPr>
          <w:p>
            <w:pPr>
              <w:jc w:val="right"/>
              <w:ind w:right="532"/>
              <w:spacing w:after="0"/>
              <w:rPr>
                <w:sz w:val="20"/>
                <w:szCs w:val="20"/>
                <w:color w:val="auto"/>
              </w:rPr>
            </w:pPr>
            <w:r>
              <w:rPr>
                <w:rFonts w:ascii="Arial" w:cs="Arial" w:eastAsia="Arial" w:hAnsi="Arial"/>
                <w:sz w:val="18"/>
                <w:szCs w:val="18"/>
                <w:b w:val="1"/>
                <w:bCs w:val="1"/>
                <w:color w:val="auto"/>
                <w:w w:val="90"/>
              </w:rPr>
              <w:t>]</w:t>
            </w:r>
            <w:r>
              <w:rPr>
                <w:rFonts w:ascii="Arial" w:cs="Arial" w:eastAsia="Arial" w:hAnsi="Arial"/>
                <w:sz w:val="18"/>
                <w:szCs w:val="18"/>
                <w:color w:val="auto"/>
                <w:w w:val="90"/>
              </w:rPr>
              <w:t>,</w:t>
            </w:r>
          </w:p>
        </w:tc>
      </w:tr>
      <w:tr>
        <w:trPr>
          <w:trHeight w:val="235"/>
        </w:trPr>
        <w:tc>
          <w:tcPr>
            <w:tcW w:w="10220" w:type="dxa"/>
            <w:vAlign w:val="bottom"/>
            <w:gridSpan w:val="3"/>
          </w:tcPr>
          <w:p>
            <w:pPr>
              <w:ind w:left="6400"/>
              <w:spacing w:after="0"/>
              <w:rPr>
                <w:sz w:val="20"/>
                <w:szCs w:val="20"/>
                <w:color w:val="auto"/>
              </w:rPr>
            </w:pPr>
            <w:r>
              <w:rPr>
                <w:rFonts w:ascii="Arial" w:cs="Arial" w:eastAsia="Arial" w:hAnsi="Arial"/>
                <w:sz w:val="18"/>
                <w:szCs w:val="18"/>
                <w:color w:val="auto"/>
              </w:rPr>
              <w:t>As Trustee</w:t>
            </w:r>
          </w:p>
        </w:tc>
        <w:tc>
          <w:tcPr>
            <w:tcW w:w="740" w:type="dxa"/>
            <w:vAlign w:val="bottom"/>
          </w:tcPr>
          <w:p>
            <w:pPr>
              <w:spacing w:after="0"/>
              <w:rPr>
                <w:sz w:val="20"/>
                <w:szCs w:val="20"/>
                <w:color w:val="auto"/>
              </w:rPr>
            </w:pPr>
          </w:p>
        </w:tc>
      </w:tr>
      <w:tr>
        <w:trPr>
          <w:trHeight w:val="421"/>
        </w:trPr>
        <w:tc>
          <w:tcPr>
            <w:tcW w:w="10220" w:type="dxa"/>
            <w:vAlign w:val="bottom"/>
            <w:gridSpan w:val="3"/>
          </w:tcPr>
          <w:p>
            <w:pPr>
              <w:ind w:left="6400"/>
              <w:spacing w:after="0"/>
              <w:rPr>
                <w:sz w:val="20"/>
                <w:szCs w:val="20"/>
                <w:color w:val="auto"/>
              </w:rPr>
            </w:pPr>
            <w:r>
              <w:rPr>
                <w:rFonts w:ascii="Arial" w:cs="Arial" w:eastAsia="Arial" w:hAnsi="Arial"/>
                <w:sz w:val="18"/>
                <w:szCs w:val="18"/>
                <w:color w:val="auto"/>
              </w:rPr>
              <w:t>By:</w:t>
            </w:r>
          </w:p>
        </w:tc>
        <w:tc>
          <w:tcPr>
            <w:tcW w:w="740" w:type="dxa"/>
            <w:vAlign w:val="bottom"/>
          </w:tcPr>
          <w:p>
            <w:pPr>
              <w:spacing w:after="0"/>
              <w:rPr>
                <w:sz w:val="24"/>
                <w:szCs w:val="24"/>
                <w:color w:val="auto"/>
              </w:rPr>
            </w:pPr>
          </w:p>
        </w:tc>
      </w:tr>
      <w:tr>
        <w:trPr>
          <w:trHeight w:val="221"/>
        </w:trPr>
        <w:tc>
          <w:tcPr>
            <w:tcW w:w="6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 Authenticating Agent</w:t>
            </w:r>
          </w:p>
        </w:tc>
        <w:tc>
          <w:tcPr>
            <w:tcW w:w="740" w:type="dxa"/>
            <w:vAlign w:val="bottom"/>
            <w:tcBorders>
              <w:top w:val="single" w:sz="8" w:color="auto"/>
            </w:tcBorders>
          </w:tcPr>
          <w:p>
            <w:pPr>
              <w:spacing w:after="0"/>
              <w:rPr>
                <w:sz w:val="19"/>
                <w:szCs w:val="19"/>
                <w:color w:val="auto"/>
              </w:rPr>
            </w:pPr>
          </w:p>
        </w:tc>
      </w:tr>
      <w:tr>
        <w:trPr>
          <w:trHeight w:val="421"/>
        </w:trPr>
        <w:tc>
          <w:tcPr>
            <w:tcW w:w="10220" w:type="dxa"/>
            <w:vAlign w:val="bottom"/>
            <w:gridSpan w:val="3"/>
          </w:tcPr>
          <w:p>
            <w:pPr>
              <w:ind w:left="6400"/>
              <w:spacing w:after="0"/>
              <w:rPr>
                <w:sz w:val="20"/>
                <w:szCs w:val="20"/>
                <w:color w:val="auto"/>
              </w:rPr>
            </w:pPr>
            <w:r>
              <w:rPr>
                <w:rFonts w:ascii="Arial" w:cs="Arial" w:eastAsia="Arial" w:hAnsi="Arial"/>
                <w:sz w:val="18"/>
                <w:szCs w:val="18"/>
                <w:color w:val="auto"/>
              </w:rPr>
              <w:t>By:</w:t>
            </w:r>
          </w:p>
        </w:tc>
        <w:tc>
          <w:tcPr>
            <w:tcW w:w="740" w:type="dxa"/>
            <w:vAlign w:val="bottom"/>
          </w:tcPr>
          <w:p>
            <w:pPr>
              <w:spacing w:after="0"/>
              <w:rPr>
                <w:sz w:val="24"/>
                <w:szCs w:val="24"/>
                <w:color w:val="auto"/>
              </w:rPr>
            </w:pPr>
          </w:p>
        </w:tc>
      </w:tr>
      <w:tr>
        <w:trPr>
          <w:trHeight w:val="221"/>
        </w:trPr>
        <w:tc>
          <w:tcPr>
            <w:tcW w:w="6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Officer</w:t>
            </w:r>
          </w:p>
        </w:tc>
        <w:tc>
          <w:tcPr>
            <w:tcW w:w="740" w:type="dxa"/>
            <w:vAlign w:val="bottom"/>
            <w:tcBorders>
              <w:top w:val="single" w:sz="8" w:color="auto"/>
            </w:tcBorders>
          </w:tcPr>
          <w:p>
            <w:pPr>
              <w:spacing w:after="0"/>
              <w:rPr>
                <w:sz w:val="19"/>
                <w:szCs w:val="19"/>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SEVEN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HOLDERS’ LISTS AND REPORTS BY TRUSTEE AND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Company to Furnish Trustee Names and Addresses of Holders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will furnish or cause to be furnished to the Trustee:</w:t>
      </w:r>
    </w:p>
    <w:p>
      <w:pPr>
        <w:spacing w:after="0" w:line="90" w:lineRule="exact"/>
        <w:rPr>
          <w:sz w:val="20"/>
          <w:szCs w:val="20"/>
          <w:color w:val="auto"/>
        </w:rPr>
      </w:pPr>
    </w:p>
    <w:p>
      <w:pPr>
        <w:ind w:left="460" w:right="80" w:firstLine="443"/>
        <w:spacing w:after="0" w:line="332" w:lineRule="auto"/>
        <w:tabs>
          <w:tab w:leader="none" w:pos="1137" w:val="left"/>
        </w:tabs>
        <w:numPr>
          <w:ilvl w:val="0"/>
          <w:numId w:val="87"/>
        </w:numPr>
        <w:rPr>
          <w:rFonts w:ascii="Arial" w:cs="Arial" w:eastAsia="Arial" w:hAnsi="Arial"/>
          <w:sz w:val="16"/>
          <w:szCs w:val="16"/>
          <w:color w:val="auto"/>
        </w:rPr>
      </w:pPr>
      <w:r>
        <w:rPr>
          <w:rFonts w:ascii="Arial" w:cs="Arial" w:eastAsia="Arial" w:hAnsi="Arial"/>
          <w:sz w:val="16"/>
          <w:szCs w:val="16"/>
          <w:color w:val="auto"/>
        </w:rPr>
        <w:t>semi-annually, not more than 15 days after each Regular Record Date for a series of Securities, a list for such series of Securities, in such form as the Trustee may reasonably require, of the names and addresses of the Holders of Securities of such series as of such Regular Record Date, and</w:t>
      </w:r>
    </w:p>
    <w:p>
      <w:pPr>
        <w:spacing w:after="0" w:line="4" w:lineRule="exact"/>
        <w:rPr>
          <w:rFonts w:ascii="Arial" w:cs="Arial" w:eastAsia="Arial" w:hAnsi="Arial"/>
          <w:sz w:val="16"/>
          <w:szCs w:val="16"/>
          <w:color w:val="auto"/>
        </w:rPr>
      </w:pPr>
    </w:p>
    <w:p>
      <w:pPr>
        <w:ind w:left="460" w:right="40" w:firstLine="443"/>
        <w:spacing w:after="0" w:line="259" w:lineRule="auto"/>
        <w:tabs>
          <w:tab w:leader="none" w:pos="1147"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at such other times as the Trustee may request in writing, within 30 days after the receipt by the Company of any such request, a list of similar form and content as of a date not more than 15 days prior to the time such list is furnished;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and so long as the Trustee shall be the Security Registrar, no such list need be furnished with respect to such series of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Preservation of Information; Communications to Holders</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306" w:lineRule="auto"/>
        <w:tabs>
          <w:tab w:leader="none" w:pos="1137"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Trustee shall preserve, in as current a form as is reasonably practicable, the names and addresses of Holders contained in the most recent list furnished to the Trustee as provided in Section 7.1 and the names and addresses of Holders received by the Trustee in its capacity as Security Registrar. The Trustee may destroy any list furnished to it as provided in Section 7.1 upon receipt of a new list so furnished.</w:t>
      </w:r>
    </w:p>
    <w:p>
      <w:pPr>
        <w:spacing w:after="0" w:line="25" w:lineRule="exact"/>
        <w:rPr>
          <w:rFonts w:ascii="Arial" w:cs="Arial" w:eastAsia="Arial" w:hAnsi="Arial"/>
          <w:sz w:val="16"/>
          <w:szCs w:val="16"/>
          <w:color w:val="auto"/>
        </w:rPr>
      </w:pPr>
    </w:p>
    <w:p>
      <w:pPr>
        <w:ind w:left="460" w:firstLine="443"/>
        <w:spacing w:after="0" w:line="255" w:lineRule="auto"/>
        <w:tabs>
          <w:tab w:leader="none" w:pos="1147"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three or more Holders (herein referred to as “applicants”) apply in writing to the Trustee, and furnish to the Trustee reasonable proof that each such applicant has owned a Security for a period of at least six months preceding the date of such application, and such application states that the applicants desire to communicate with other Holders with respect to their rights under this Indenture or under the Securities and is accompanied by a copy of the form of proxy or other communication which such applicants propose to transmit, then the Trustee shall, within five business days after the receipt of such application, at its election, either</w:t>
      </w:r>
    </w:p>
    <w:p>
      <w:pPr>
        <w:spacing w:after="0" w:line="61" w:lineRule="exact"/>
        <w:rPr>
          <w:rFonts w:ascii="Arial" w:cs="Arial" w:eastAsia="Arial" w:hAnsi="Arial"/>
          <w:sz w:val="18"/>
          <w:szCs w:val="18"/>
          <w:color w:val="auto"/>
        </w:rPr>
      </w:pPr>
    </w:p>
    <w:p>
      <w:pPr>
        <w:ind w:left="1560" w:hanging="219"/>
        <w:spacing w:after="0"/>
        <w:tabs>
          <w:tab w:leader="none" w:pos="15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afford such applicants access to the information preserved at the time by the Trustee in accordance with Section 7.2(a), or</w:t>
      </w:r>
    </w:p>
    <w:p>
      <w:pPr>
        <w:spacing w:after="0" w:line="90" w:lineRule="exact"/>
        <w:rPr>
          <w:rFonts w:ascii="Arial" w:cs="Arial" w:eastAsia="Arial" w:hAnsi="Arial"/>
          <w:sz w:val="18"/>
          <w:szCs w:val="18"/>
          <w:color w:val="auto"/>
        </w:rPr>
      </w:pPr>
    </w:p>
    <w:p>
      <w:pPr>
        <w:ind w:left="920" w:right="320" w:firstLine="421"/>
        <w:spacing w:after="0" w:line="259" w:lineRule="auto"/>
        <w:tabs>
          <w:tab w:leader="none" w:pos="1598" w:val="left"/>
        </w:tabs>
        <w:numPr>
          <w:ilvl w:val="1"/>
          <w:numId w:val="88"/>
        </w:numPr>
        <w:rPr>
          <w:rFonts w:ascii="Arial" w:cs="Arial" w:eastAsia="Arial" w:hAnsi="Arial"/>
          <w:sz w:val="18"/>
          <w:szCs w:val="18"/>
          <w:color w:val="auto"/>
        </w:rPr>
      </w:pPr>
      <w:r>
        <w:rPr>
          <w:rFonts w:ascii="Arial" w:cs="Arial" w:eastAsia="Arial" w:hAnsi="Arial"/>
          <w:sz w:val="18"/>
          <w:szCs w:val="18"/>
          <w:color w:val="auto"/>
        </w:rPr>
        <w:t>inform such applicants as to the approximate number of Holders whose names and addresses appear in the information preserved at the time by the Trustee in accordance with Section 7.2(a), and as to the approximate cost of mailing to such Holders the form of proxy or other communication, if any, specified in such application.</w:t>
      </w:r>
    </w:p>
    <w:p>
      <w:pPr>
        <w:spacing w:after="0" w:line="59" w:lineRule="exact"/>
        <w:rPr>
          <w:sz w:val="20"/>
          <w:szCs w:val="20"/>
          <w:color w:val="auto"/>
        </w:rPr>
      </w:pPr>
    </w:p>
    <w:p>
      <w:pPr>
        <w:ind w:left="920" w:right="40" w:firstLine="420"/>
        <w:spacing w:after="0" w:line="291" w:lineRule="auto"/>
        <w:rPr>
          <w:sz w:val="20"/>
          <w:szCs w:val="20"/>
          <w:color w:val="auto"/>
        </w:rPr>
      </w:pPr>
      <w:r>
        <w:rPr>
          <w:rFonts w:ascii="Arial" w:cs="Arial" w:eastAsia="Arial" w:hAnsi="Arial"/>
          <w:sz w:val="16"/>
          <w:szCs w:val="16"/>
          <w:color w:val="auto"/>
        </w:rPr>
        <w:t>If the Trustee shall elect not to afford such applicants access to such information, the Trustee shall, upon the written request of such applicants, mail to each Holder whose name and address appear in the information preserved at the time by the Trustee in accordance with Section 7.2(a) a copy of the form of proxy or other communication which is specified in such request, with reasonable promptness after a tender to the Trustee of the material to be mailed and of payment, or provision for the payment, of the reasonable expenses of mailing, unless within five days after such tender the Trustee shall mail to such applicants and file with the SEC, together with a copy of the material to be mailed, a written statement to the effect that, in the opinion of the Trustee, such mailing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112" w:name="page113"/>
    <w:bookmarkEnd w:id="112"/>
    <w:p>
      <w:pPr>
        <w:ind w:left="920"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would be contrary to the best interest of the Holders or would be in violation of applicable law. Such written statement shall specify the basis of such opinion. If the SEC, after opportunity for a hearing upon the objections specified in the written statement so filed, shall enter an order refusing to sustain any of such objections or if, after the entry of an order sustaining one or more of such objections, the SEC shall find, after notice and opportunity for hearing, that all the objections so sustained have been met and shall enter an order so declaring, the Trustee shall mail copies of such material to all such Holders with reasonable promptness after the entry of such order and the renewal of such tender; otherwise the Trustee shall be relieved of any obligation or duty to such applicants respecting their application.</w:t>
      </w:r>
    </w:p>
    <w:p>
      <w:pPr>
        <w:spacing w:after="0" w:line="39" w:lineRule="exact"/>
        <w:rPr>
          <w:sz w:val="20"/>
          <w:szCs w:val="20"/>
          <w:color w:val="auto"/>
        </w:rPr>
      </w:pPr>
    </w:p>
    <w:p>
      <w:pPr>
        <w:ind w:left="460" w:firstLine="443"/>
        <w:spacing w:after="0" w:line="323" w:lineRule="auto"/>
        <w:tabs>
          <w:tab w:leader="none" w:pos="1137" w:val="left"/>
        </w:tabs>
        <w:numPr>
          <w:ilvl w:val="0"/>
          <w:numId w:val="89"/>
        </w:numPr>
        <w:rPr>
          <w:rFonts w:ascii="Arial" w:cs="Arial" w:eastAsia="Arial" w:hAnsi="Arial"/>
          <w:sz w:val="15"/>
          <w:szCs w:val="15"/>
          <w:color w:val="auto"/>
        </w:rPr>
      </w:pPr>
      <w:r>
        <w:rPr>
          <w:rFonts w:ascii="Arial" w:cs="Arial" w:eastAsia="Arial" w:hAnsi="Arial"/>
          <w:sz w:val="15"/>
          <w:szCs w:val="15"/>
          <w:color w:val="auto"/>
        </w:rPr>
        <w:t>Every Holder of Securities, by receiving and holding the same, agrees with the Company, the Guarantors (if applicable) and the Trustee that none of the Company, the Guarantors (if applicable) nor the Trustee nor any agent of any of them shall be held accountable by reason of the disclosure of any such information as to the names and addresses of the Holders in accordance with Section 7.2(b), regardless of the source from which such information was derived, and that the Trustee shall not be held accountable by reason of mailing any material pursuant to a request made under Section 7.2(b).</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Reports by Trustee</w:t>
      </w:r>
      <w:r>
        <w:rPr>
          <w:rFonts w:ascii="Arial" w:cs="Arial" w:eastAsia="Arial" w:hAnsi="Arial"/>
          <w:sz w:val="18"/>
          <w:szCs w:val="18"/>
          <w:color w:val="auto"/>
        </w:rPr>
        <w:t>.</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Any Trustee’s report required pursuant to Section 313(a) of the Trust Indenture Act shall be dated as of May 15, and shall be transmitted within 60 days after May 15 of each year (but in all events at intervals of not more than 12 months), commencing with the year 2003, by mail to all Holders, as their names and addresses appear in the Security Register. A copy of each such report shall, at the time of such transmission to Holders, be filed by the Trustee with each stock exchange upon which any Securities are listed, with the SEC and with the Company. The Company will notify the Trustee when any Securities are listed on any stock exchange.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Reports by Company</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shall:</w:t>
      </w:r>
    </w:p>
    <w:p>
      <w:pPr>
        <w:spacing w:after="0" w:line="90" w:lineRule="exact"/>
        <w:rPr>
          <w:sz w:val="20"/>
          <w:szCs w:val="20"/>
          <w:color w:val="auto"/>
        </w:rPr>
      </w:pPr>
    </w:p>
    <w:p>
      <w:pPr>
        <w:ind w:left="460" w:right="40" w:firstLine="443"/>
        <w:spacing w:after="0" w:line="290" w:lineRule="auto"/>
        <w:tabs>
          <w:tab w:leader="none" w:pos="1137" w:val="left"/>
        </w:tabs>
        <w:numPr>
          <w:ilvl w:val="0"/>
          <w:numId w:val="90"/>
        </w:numPr>
        <w:rPr>
          <w:rFonts w:ascii="Arial" w:cs="Arial" w:eastAsia="Arial" w:hAnsi="Arial"/>
          <w:sz w:val="16"/>
          <w:szCs w:val="16"/>
          <w:color w:val="auto"/>
        </w:rPr>
      </w:pPr>
      <w:r>
        <w:rPr>
          <w:rFonts w:ascii="Arial" w:cs="Arial" w:eastAsia="Arial" w:hAnsi="Arial"/>
          <w:sz w:val="16"/>
          <w:szCs w:val="16"/>
          <w:color w:val="auto"/>
        </w:rPr>
        <w:t>file with the Trustee, within 15 days after the Company is required to file the same with the SEC, copies of the annual reports and of the information, documents and other reports (or copies of such portions of any of the foregoing as the SEC may from time to time by rules and regulations prescribe) which the Company may be required to file with the SEC pursuant to Section 13 or Section 15(d) of the Exchange Act; or, if the Company is not required to file information, documents or reports pursuant to either of said Sections, then it shall file with the Trustee and the SEC, in accordance with rules and regulations prescribed from time to time by the SEC,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w:t>
      </w:r>
    </w:p>
    <w:p>
      <w:pPr>
        <w:spacing w:after="0" w:line="37" w:lineRule="exact"/>
        <w:rPr>
          <w:rFonts w:ascii="Arial" w:cs="Arial" w:eastAsia="Arial" w:hAnsi="Arial"/>
          <w:sz w:val="16"/>
          <w:szCs w:val="16"/>
          <w:color w:val="auto"/>
        </w:rPr>
      </w:pPr>
    </w:p>
    <w:p>
      <w:pPr>
        <w:ind w:left="460" w:right="40" w:firstLine="443"/>
        <w:spacing w:after="0" w:line="259" w:lineRule="auto"/>
        <w:tabs>
          <w:tab w:leader="none" w:pos="1147" w:val="left"/>
        </w:tabs>
        <w:numPr>
          <w:ilvl w:val="0"/>
          <w:numId w:val="90"/>
        </w:numPr>
        <w:rPr>
          <w:rFonts w:ascii="Arial" w:cs="Arial" w:eastAsia="Arial" w:hAnsi="Arial"/>
          <w:sz w:val="18"/>
          <w:szCs w:val="18"/>
          <w:color w:val="auto"/>
        </w:rPr>
      </w:pPr>
      <w:r>
        <w:rPr>
          <w:rFonts w:ascii="Arial" w:cs="Arial" w:eastAsia="Arial" w:hAnsi="Arial"/>
          <w:sz w:val="18"/>
          <w:szCs w:val="18"/>
          <w:color w:val="auto"/>
        </w:rPr>
        <w:t>file with the Trustee and the SEC, in accordance with rules and regulations prescribed from time to time by the SEC, such additional information, documents and reports with respect to compliance by the Company with the conditions and covenants of this Indenture as may be required from time to time by such rules and regulations;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113" w:name="page114"/>
    <w:bookmarkEnd w:id="113"/>
    <w:p>
      <w:pPr>
        <w:ind w:left="460" w:right="140" w:firstLine="443"/>
        <w:spacing w:after="0" w:line="259" w:lineRule="auto"/>
        <w:tabs>
          <w:tab w:leader="none" w:pos="1137" w:val="left"/>
        </w:tabs>
        <w:numPr>
          <w:ilvl w:val="0"/>
          <w:numId w:val="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transmit by mail to all Holders, as their names and addresses appear in the Security Register, within 30 days after the filing thereof with the Trustee, such summaries of any information, documents and reports required to be filed by the Company pursuant to clauses (a) and (b) of this Section as may be required by rules and regulations prescribed from time to time by the SEC.</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EIGHT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CONSOLIDATION, AMALGAMATION, MERGER AND SALE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Company May Consolidate, Etc., Only on Certain Terms</w:t>
      </w:r>
      <w:r>
        <w:rPr>
          <w:rFonts w:ascii="Arial" w:cs="Arial" w:eastAsia="Arial" w:hAnsi="Arial"/>
          <w:sz w:val="18"/>
          <w:szCs w:val="18"/>
          <w:color w:val="auto"/>
        </w:rPr>
        <w:t>.</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Company shall not consolidate or merge with or into any other Person or sell, convey, transfer, lease or otherwise dispose of all or substantially all of the properties and assets of the Company and, if applicable, the Guarantors on a consolidated basis to any other Person unless:</w:t>
      </w:r>
    </w:p>
    <w:p>
      <w:pPr>
        <w:spacing w:after="0" w:line="4" w:lineRule="exact"/>
        <w:rPr>
          <w:sz w:val="20"/>
          <w:szCs w:val="20"/>
          <w:color w:val="auto"/>
        </w:rPr>
      </w:pPr>
    </w:p>
    <w:p>
      <w:pPr>
        <w:jc w:val="both"/>
        <w:ind w:left="460" w:right="20" w:firstLine="443"/>
        <w:spacing w:after="0" w:line="256" w:lineRule="auto"/>
        <w:tabs>
          <w:tab w:leader="none" w:pos="1137" w:val="left"/>
        </w:tabs>
        <w:numPr>
          <w:ilvl w:val="0"/>
          <w:numId w:val="92"/>
        </w:numPr>
        <w:rPr>
          <w:rFonts w:ascii="Arial" w:cs="Arial" w:eastAsia="Arial" w:hAnsi="Arial"/>
          <w:sz w:val="18"/>
          <w:szCs w:val="18"/>
          <w:color w:val="auto"/>
        </w:rPr>
      </w:pPr>
      <w:r>
        <w:rPr>
          <w:rFonts w:ascii="Arial" w:cs="Arial" w:eastAsia="Arial" w:hAnsi="Arial"/>
          <w:sz w:val="18"/>
          <w:szCs w:val="18"/>
          <w:color w:val="auto"/>
        </w:rPr>
        <w:t>either: (i) the Company is the surviving corporation; or (ii) the Person formed by or surviving any such consolidation, amalgamation or merger or resulting from such conversion (if other than the Company) or to which such sale, assignment, transfer, conveyance or other disposition has been made is a corporation, limited liability company or limited partnership organized or existing under the laws of the United States, any state of the United States or the District of Columbia;</w:t>
      </w:r>
    </w:p>
    <w:p>
      <w:pPr>
        <w:spacing w:after="0" w:line="62" w:lineRule="exact"/>
        <w:rPr>
          <w:rFonts w:ascii="Arial" w:cs="Arial" w:eastAsia="Arial" w:hAnsi="Arial"/>
          <w:sz w:val="18"/>
          <w:szCs w:val="18"/>
          <w:color w:val="auto"/>
        </w:rPr>
      </w:pPr>
    </w:p>
    <w:p>
      <w:pPr>
        <w:ind w:left="460" w:right="40" w:firstLine="443"/>
        <w:spacing w:after="0" w:line="298" w:lineRule="auto"/>
        <w:tabs>
          <w:tab w:leader="none" w:pos="1147"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the Person formed by or surviving any such conversion, consolidation, amalgamation or merger (if other than the Company) or the Person to which such sale, assignment, transfer, conveyance or other disposition has been made assumes all the obligations of the Company under the Securities and this Indenture pursuant to agreements reasonably satisfactory to the Trustee;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such Person is a corporation, a corporate co-issuer of the Securities will be added to this Indenture by agreements reasonably satisfactory to the Trustee;</w:t>
      </w:r>
    </w:p>
    <w:p>
      <w:pPr>
        <w:spacing w:after="0" w:line="31" w:lineRule="exact"/>
        <w:rPr>
          <w:rFonts w:ascii="Arial" w:cs="Arial" w:eastAsia="Arial" w:hAnsi="Arial"/>
          <w:sz w:val="16"/>
          <w:szCs w:val="16"/>
          <w:color w:val="auto"/>
        </w:rPr>
      </w:pPr>
    </w:p>
    <w:p>
      <w:pPr>
        <w:ind w:left="460" w:right="80" w:firstLine="443"/>
        <w:spacing w:after="0" w:line="268" w:lineRule="auto"/>
        <w:tabs>
          <w:tab w:leader="none" w:pos="1137" w:val="left"/>
        </w:tabs>
        <w:numPr>
          <w:ilvl w:val="0"/>
          <w:numId w:val="92"/>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which, after notice or lapse of time or both, would become an Event of Default, shall have occurred and be continuing; and</w:t>
      </w:r>
    </w:p>
    <w:p>
      <w:pPr>
        <w:spacing w:after="0" w:line="5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such consolidation, amalgamation, merger, conveyance, sale, transfer or lease and such supplemental indenture, if any, comply with this Article Eight and that all conditions precedent herein provided for relating to such transaction have been complied with.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Successor Substituted</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Upon any consolidation or merger of the Company with or into any other Person or any sale, conveyance, transfer, lease or other disposition of all or substantially all of the properties and assets of the Company and, if applicable, the Guarantors on a consolidated basis in accordance with Section 8.1, the successor or resulting Person formed by or resulting upon such consolidation or merger (if other than the Company) or to which such sale, conveyance, transfer, lease or other disposition is made shall succeed to, and be substituted for, and may exercise every right and power of, the Company under this Indenture with the same effect as if such successor Person had been named as the Company herein, and thereafter, except in the case of a lease, the predecessor Company and each of the Guarantors shall be relieved of all obligations and covenants under this Indenture and the Securities.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280" w:right="279"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NINE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AMENDMENT, SUPPLEMENT AND WAIVER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Without Consent of Holders</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the Guarantors and the Trustee may amend or supplement this indenture, the Guarantees or the Securities without the consent of any holder of a Security:</w:t>
      </w:r>
    </w:p>
    <w:p>
      <w:pPr>
        <w:spacing w:after="0" w:line="51" w:lineRule="exact"/>
        <w:rPr>
          <w:sz w:val="20"/>
          <w:szCs w:val="20"/>
          <w:color w:val="auto"/>
        </w:rPr>
      </w:pPr>
    </w:p>
    <w:p>
      <w:pPr>
        <w:ind w:left="1140" w:hanging="237"/>
        <w:spacing w:after="0"/>
        <w:tabs>
          <w:tab w:leader="none" w:pos="11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to cure any ambiguity or to correct or supplement any provision herein that may be inconsistent with any other provision herein; or</w:t>
      </w:r>
    </w:p>
    <w:p>
      <w:pPr>
        <w:spacing w:after="0" w:line="113" w:lineRule="exact"/>
        <w:rPr>
          <w:rFonts w:ascii="Arial" w:cs="Arial" w:eastAsia="Arial" w:hAnsi="Arial"/>
          <w:sz w:val="16"/>
          <w:szCs w:val="16"/>
          <w:color w:val="auto"/>
        </w:rPr>
      </w:pPr>
    </w:p>
    <w:p>
      <w:pPr>
        <w:ind w:left="460" w:right="100" w:firstLine="443"/>
        <w:spacing w:after="0" w:line="268" w:lineRule="auto"/>
        <w:tabs>
          <w:tab w:leader="none" w:pos="114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of the Company herein and, to the extent applicable, to the Securities; or</w:t>
      </w:r>
    </w:p>
    <w:p>
      <w:pPr>
        <w:spacing w:after="0" w:line="50" w:lineRule="exact"/>
        <w:rPr>
          <w:rFonts w:ascii="Arial" w:cs="Arial" w:eastAsia="Arial" w:hAnsi="Arial"/>
          <w:sz w:val="18"/>
          <w:szCs w:val="18"/>
          <w:color w:val="auto"/>
        </w:rPr>
      </w:pPr>
    </w:p>
    <w:p>
      <w:pPr>
        <w:jc w:val="both"/>
        <w:ind w:left="460" w:right="80" w:firstLine="443"/>
        <w:spacing w:after="0" w:line="259" w:lineRule="auto"/>
        <w:tabs>
          <w:tab w:leader="none" w:pos="1137"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to provide for uncertificated Securities in addition to or in place of certificated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uncertificated Securities are issued in registered form for purposes of Section 163(f) of the Code, or in the manner such that the uncertificated Securities are described in Section 163(f)(2)(B) of the Code; or</w:t>
      </w:r>
    </w:p>
    <w:p>
      <w:pPr>
        <w:spacing w:after="0" w:line="59" w:lineRule="exact"/>
        <w:rPr>
          <w:rFonts w:ascii="Arial" w:cs="Arial" w:eastAsia="Arial" w:hAnsi="Arial"/>
          <w:sz w:val="18"/>
          <w:szCs w:val="18"/>
          <w:color w:val="auto"/>
        </w:rPr>
      </w:pPr>
    </w:p>
    <w:p>
      <w:pPr>
        <w:ind w:left="460" w:right="180" w:firstLine="443"/>
        <w:spacing w:after="0" w:line="357" w:lineRule="auto"/>
        <w:tabs>
          <w:tab w:leader="none" w:pos="1147" w:val="left"/>
        </w:tabs>
        <w:numPr>
          <w:ilvl w:val="0"/>
          <w:numId w:val="93"/>
        </w:numPr>
        <w:rPr>
          <w:rFonts w:ascii="Arial" w:cs="Arial" w:eastAsia="Arial" w:hAnsi="Arial"/>
          <w:sz w:val="15"/>
          <w:szCs w:val="15"/>
          <w:color w:val="auto"/>
        </w:rPr>
      </w:pPr>
      <w:r>
        <w:rPr>
          <w:rFonts w:ascii="Arial" w:cs="Arial" w:eastAsia="Arial" w:hAnsi="Arial"/>
          <w:sz w:val="15"/>
          <w:szCs w:val="15"/>
          <w:color w:val="auto"/>
        </w:rPr>
        <w:t>to add a Guarantee and cause any Person to become a Guarantor, and/or to evidence the succession of another Person to a Guarantor and the assumption by any such successor of the Guarantee of such Guarantor herein and, to the extent applicable, endorsed upon any Securities of any series; or</w:t>
      </w:r>
    </w:p>
    <w:p>
      <w:pPr>
        <w:ind w:left="1140" w:hanging="237"/>
        <w:spacing w:after="0"/>
        <w:tabs>
          <w:tab w:leader="none" w:pos="11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secure the Securities of any series; or</w:t>
      </w:r>
    </w:p>
    <w:p>
      <w:pPr>
        <w:spacing w:after="0" w:line="90" w:lineRule="exact"/>
        <w:rPr>
          <w:rFonts w:ascii="Arial" w:cs="Arial" w:eastAsia="Arial" w:hAnsi="Arial"/>
          <w:sz w:val="18"/>
          <w:szCs w:val="18"/>
          <w:color w:val="auto"/>
        </w:rPr>
      </w:pPr>
    </w:p>
    <w:p>
      <w:pPr>
        <w:ind w:left="460" w:firstLine="443"/>
        <w:spacing w:after="0" w:line="288" w:lineRule="auto"/>
        <w:tabs>
          <w:tab w:leader="none" w:pos="1117"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to add to the covenants of the Company such further covenants, restrictions, conditions or provisions as the Company shall consider to be appropriate for the benefit of the Holders of all or any series of Securities (and if such covenants, restrictions, conditions or provisions are to be for the benefit of less than all series of Securities, stating that such covenants are expressly being included solely for the benefit of such series) or to surrender any right or power herein conferred upon the Company and to make the occurrence, or the occurrence and continuance, of a Default in any such additional covenants, restrictions, conditions or provisions an Event of Default permitting the enforcement of all or any of the several remedies provided in this Indenture as herein set forth; </w:t>
      </w:r>
      <w:r>
        <w:rPr>
          <w:rFonts w:ascii="Arial" w:cs="Arial" w:eastAsia="Arial" w:hAnsi="Arial"/>
          <w:sz w:val="16"/>
          <w:szCs w:val="16"/>
          <w:i w:val="1"/>
          <w:iCs w:val="1"/>
          <w:color w:val="auto"/>
        </w:rPr>
        <w:t>provided</w:t>
      </w:r>
      <w:r>
        <w:rPr>
          <w:rFonts w:ascii="Arial" w:cs="Arial" w:eastAsia="Arial" w:hAnsi="Arial"/>
          <w:sz w:val="16"/>
          <w:szCs w:val="16"/>
          <w:color w:val="auto"/>
        </w:rPr>
        <w:t>,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 or</w:t>
      </w:r>
    </w:p>
    <w:p>
      <w:pPr>
        <w:spacing w:after="0" w:line="38" w:lineRule="exact"/>
        <w:rPr>
          <w:rFonts w:ascii="Arial" w:cs="Arial" w:eastAsia="Arial" w:hAnsi="Arial"/>
          <w:sz w:val="16"/>
          <w:szCs w:val="16"/>
          <w:color w:val="auto"/>
        </w:rPr>
      </w:pPr>
    </w:p>
    <w:p>
      <w:pPr>
        <w:ind w:left="1160" w:hanging="257"/>
        <w:spacing w:after="0"/>
        <w:tabs>
          <w:tab w:leader="none" w:pos="11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to make any change to any provision of this Indenture that does not adversely affect the rights or interests of any Holder of Securities; or</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provide for the issuance of additional Securities in accordance with the provisions set forth in this Indenture on the date of this Indenture; or</w:t>
      </w:r>
    </w:p>
    <w:p>
      <w:pPr>
        <w:spacing w:after="0" w:line="113" w:lineRule="exact"/>
        <w:rPr>
          <w:rFonts w:ascii="Arial" w:cs="Arial" w:eastAsia="Arial" w:hAnsi="Arial"/>
          <w:sz w:val="16"/>
          <w:szCs w:val="16"/>
          <w:color w:val="auto"/>
        </w:rPr>
      </w:pPr>
    </w:p>
    <w:p>
      <w:pPr>
        <w:ind w:left="1120" w:hanging="217"/>
        <w:spacing w:after="0"/>
        <w:tabs>
          <w:tab w:leader="none" w:pos="11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add any additional Defaults or Events of Default in respect of all or any series of Securities; 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4" w:right="259" w:bottom="1440" w:gutter="0" w:footer="0" w:header="0"/>
        </w:sectPr>
      </w:pPr>
    </w:p>
    <w:bookmarkStart w:id="115" w:name="page116"/>
    <w:bookmarkEnd w:id="115"/>
    <w:p>
      <w:pPr>
        <w:ind w:left="460" w:right="340" w:firstLine="443"/>
        <w:spacing w:after="0" w:line="332" w:lineRule="auto"/>
        <w:tabs>
          <w:tab w:leader="none" w:pos="1108" w:val="left"/>
        </w:tabs>
        <w:numPr>
          <w:ilvl w:val="0"/>
          <w:numId w:val="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add to, change or eliminate any of the provisions of this Indenture to such extent as shall be necessary to permit or facilitate the issuance of Securities in bearer form, registrable or not registrable as to principal, and with or without interest coupons; or</w:t>
      </w:r>
    </w:p>
    <w:p>
      <w:pPr>
        <w:spacing w:after="0" w:line="4"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to change or eliminate any of the provisions of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change or elimination shall become effective only when there is no Security Outstanding of any series created prior to the execution of such supplemental indenture that is entitled to the benefit of such provision; or</w:t>
      </w:r>
    </w:p>
    <w:p>
      <w:pPr>
        <w:spacing w:after="0" w:line="59" w:lineRule="exact"/>
        <w:rPr>
          <w:rFonts w:ascii="Arial" w:cs="Arial" w:eastAsia="Arial" w:hAnsi="Arial"/>
          <w:sz w:val="18"/>
          <w:szCs w:val="18"/>
          <w:color w:val="auto"/>
        </w:rPr>
      </w:pPr>
    </w:p>
    <w:p>
      <w:pPr>
        <w:ind w:left="460" w:right="600" w:firstLine="443"/>
        <w:spacing w:after="0" w:line="268" w:lineRule="auto"/>
        <w:tabs>
          <w:tab w:leader="none" w:pos="110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 2.1 and Section 3.1, including to reopen any series of any Securities as permitted under Section 3.1; or</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196"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6.11(b); or</w:t>
      </w:r>
    </w:p>
    <w:p>
      <w:pPr>
        <w:spacing w:after="0" w:line="59" w:lineRule="exact"/>
        <w:rPr>
          <w:rFonts w:ascii="Arial" w:cs="Arial" w:eastAsia="Arial" w:hAnsi="Arial"/>
          <w:sz w:val="18"/>
          <w:szCs w:val="18"/>
          <w:color w:val="auto"/>
        </w:rPr>
      </w:pPr>
    </w:p>
    <w:p>
      <w:pPr>
        <w:jc w:val="both"/>
        <w:ind w:left="460" w:firstLine="443"/>
        <w:spacing w:after="0" w:line="335" w:lineRule="auto"/>
        <w:tabs>
          <w:tab w:leader="none" w:pos="1147" w:val="left"/>
        </w:tabs>
        <w:numPr>
          <w:ilvl w:val="0"/>
          <w:numId w:val="94"/>
        </w:numPr>
        <w:rPr>
          <w:rFonts w:ascii="Arial" w:cs="Arial" w:eastAsia="Arial" w:hAnsi="Arial"/>
          <w:sz w:val="15"/>
          <w:szCs w:val="15"/>
          <w:color w:val="auto"/>
        </w:rPr>
      </w:pPr>
      <w:r>
        <w:rPr>
          <w:rFonts w:ascii="Arial" w:cs="Arial" w:eastAsia="Arial" w:hAnsi="Arial"/>
          <w:sz w:val="15"/>
          <w:szCs w:val="15"/>
          <w:color w:val="auto"/>
        </w:rPr>
        <w:t>to conform the text of the indenture (and/or any supplemental indenture) or any debt securities issued thereunder to any provision of a description of such debt securities appearing in a prospectus or prospectus supplement or an offering memorandum or offering circular to the extent that such provision was intended to be a verbatim recreation of a provision of the indenture (and/or any supplemental indenture) or any debt securities issued thereunder; or</w:t>
      </w:r>
    </w:p>
    <w:p>
      <w:pPr>
        <w:spacing w:after="0" w:line="7" w:lineRule="exact"/>
        <w:rPr>
          <w:rFonts w:ascii="Arial" w:cs="Arial" w:eastAsia="Arial" w:hAnsi="Arial"/>
          <w:sz w:val="15"/>
          <w:szCs w:val="15"/>
          <w:color w:val="auto"/>
        </w:rPr>
      </w:pPr>
    </w:p>
    <w:p>
      <w:pPr>
        <w:ind w:left="460" w:right="380" w:firstLine="443"/>
        <w:spacing w:after="0" w:line="259" w:lineRule="auto"/>
        <w:tabs>
          <w:tab w:leader="none" w:pos="1147"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modify, eliminate or add to the provisions of this Indenture to such extent as shall be necessary to effect the qualification of this Indenture under the Trust Indenture Act or under any similar federal statute subsequently enacted, and to add to this Indenture such other provisions as may be expressly required under the Trust Indenture Act.</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Upon the request of the Company accompanied by a resolution of its Board of Directors authorizing the execution of any such amended or supplemental indenture, the Trustee is hereby authorized to join with the Company and any Guarantor in the execution of any such supplemental indenture, to make any further appropriate agreements and stipulations that may be therein contained and to accept the conveyance, transfer, assignment, mortgage, charge or pledge of any property thereunder, but the Trustee shall not be obligated to enter into any such supplemental indenture that affects the Trustee’s own rights, duties or immunities under this Indenture or otherwise.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With Consent of Holders</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The Company and the Trustee may amend or supplement this Indenture, the Guarantees and the Securities with the consent of the Holders of a majority in aggregate principal amount of the Outstanding Securities of each series of Securities affected by such amendment or supplemental indenture, with each such series voting as a separate series (including, without limitation, consents obtained in connection with a purchase of, or tender offer or exchange offer for Securities) and, subject to Section 5.8 and Section 5.13 hereof, any existing Default or Event of Default or compliance with any provision of this Indenture, the Guarantees or the Securities may be waived with respect to each series of Securities with the consent of the Holders of a majority in principal amount of the Outstanding Securities of such series voting as a separate class (including consents obtained in connection with a purchase of, or tender offer or exchange offer for, Securities).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116" w:name="page117"/>
    <w:bookmarkEnd w:id="116"/>
    <w:p>
      <w:pPr>
        <w:ind w:right="8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the request of the Company accompanied by a resolution of its Board of Directors authorizing the execution of any such amended or supplemental indenture, and upon the filing with the Trustee of evidence satisfactory to the Trustee of the consent of the Holders of Securities as aforesaid, and upon receipt by the Trustee of the documents described in Section 6.3 hereof, the Trustee will join with the Company and the Guarantors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spacing w:after="0" w:line="1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It is not be necessary for the consent of the Holders of Securities under this Section 9.2 to approve the particular form of any proposed amendment or waiver, but it is sufficient if such consent approves the substance of the proposed amendment or waiver.</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an amendment, supplement or waiver under this Section 9.2 becomes effective, the Company will mail to the Holders of Securities affected thereby a notice briefly describing the amendment, supplement or waiver. Any failure of the Company to mail such notice, or any defect therein, will not, however, in any way impair or affect the validity of any such amended or supplemental indenture or waiver. Subject to Section 5.8 and Section 5.13 hereof, the application of or compliance with, either generally or in any particular instance, of any provision of this Indenture, the Securities or the Guarantees may be waived as to each series of Securities by the Holders of a majority in aggregate principal amount of the Outstanding Securities of such series. However, without the consent of each Holder affected, an amendment or waiver under this Section 9.2 may not (with respect to any Securities held by a non-consenting Holder):</w:t>
      </w:r>
    </w:p>
    <w:p>
      <w:pPr>
        <w:spacing w:after="0" w:line="39" w:lineRule="exact"/>
        <w:rPr>
          <w:sz w:val="20"/>
          <w:szCs w:val="20"/>
          <w:color w:val="auto"/>
        </w:rPr>
      </w:pPr>
    </w:p>
    <w:p>
      <w:pPr>
        <w:jc w:val="both"/>
        <w:ind w:left="460" w:right="80" w:firstLine="443"/>
        <w:spacing w:after="0" w:line="294" w:lineRule="auto"/>
        <w:tabs>
          <w:tab w:leader="none" w:pos="1137" w:val="left"/>
        </w:tabs>
        <w:numPr>
          <w:ilvl w:val="0"/>
          <w:numId w:val="95"/>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that would be due and payable upon a declaration of acceleration of the Maturity thereof pursuant to Section 5.2, or change any Place of Payment where, or the coin or currency in which, any Security or any premium or the interest thereon is payable, or impair the right to institute suit for the enforcement of any such payment on or after the Stated Maturity thereof (or, in the case of redemption, on or after the Redemption Date), or</w:t>
      </w:r>
    </w:p>
    <w:p>
      <w:pPr>
        <w:spacing w:after="0" w:line="34" w:lineRule="exact"/>
        <w:rPr>
          <w:rFonts w:ascii="Arial" w:cs="Arial" w:eastAsia="Arial" w:hAnsi="Arial"/>
          <w:sz w:val="16"/>
          <w:szCs w:val="16"/>
          <w:color w:val="auto"/>
        </w:rPr>
      </w:pPr>
    </w:p>
    <w:p>
      <w:pPr>
        <w:jc w:val="both"/>
        <w:ind w:left="460" w:right="420" w:firstLine="443"/>
        <w:spacing w:after="0" w:line="259"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59" w:lineRule="exact"/>
        <w:rPr>
          <w:rFonts w:ascii="Arial" w:cs="Arial" w:eastAsia="Arial" w:hAnsi="Arial"/>
          <w:sz w:val="18"/>
          <w:szCs w:val="18"/>
          <w:color w:val="auto"/>
        </w:rPr>
      </w:pPr>
    </w:p>
    <w:p>
      <w:pPr>
        <w:ind w:left="460" w:right="40" w:firstLine="443"/>
        <w:spacing w:after="0" w:line="255" w:lineRule="auto"/>
        <w:tabs>
          <w:tab w:leader="none" w:pos="1137"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modify any of the provisions of this Section 9.2, Section 5.8, Section 5.13 or Section 10.6, except to increase any such percentage or to provide that certain other provisions of this Indenture cannot be modified or waived without the consent of the Holder of each Outstanding Security affected thereby,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clause (c) shall not be deemed to require the consent of any Holder with respect to changes in the references to “the Trustee” and concomitant changes in this Section, or the deletion of this proviso, in accordance with the requirements of Section 6.11(b) and Section 9.1(i); or</w:t>
      </w:r>
    </w:p>
    <w:p>
      <w:pPr>
        <w:spacing w:after="0" w:line="61"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waive a redemption payment with respect to any Security;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purchase or repurchase of Securities shall not be deemed a redemption of the Securities;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117" w:name="page118"/>
    <w:bookmarkEnd w:id="117"/>
    <w:p>
      <w:pPr>
        <w:ind w:left="460" w:right="140" w:firstLine="443"/>
        <w:spacing w:after="0" w:line="268" w:lineRule="auto"/>
        <w:tabs>
          <w:tab w:leader="none" w:pos="1137"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release any Guarantor from any of its obligations under its Guarantee or this Indenture, except in accordance with the terms of this Indenture (as supplemented by any supplemental indenture); or</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make any change in the foregoing amendment and waiver provisions.</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 supplemental indenture that changes or eliminates any covenant or other provision of this Indenture that has expressly been included solely for the benefit of one or more particular series of Securities, or that modifies the rights of the Holders of Securities of such series with respect to such covenant or other provision, shall be deemed not to affect the rights under this Indenture of the Holders of Securities of any other series.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It shall not be necessary for any Act of Holders under this Section 9.2 to approve the particular form of any proposed supplemental indenture, but it shall be sufficient if such Act shall approve the substance thereof.</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 executing, or accepting the additional trusts created by, any supplemental indenture permitted by this Article or the modifications thereby of the trusts created by this Indenture, the Trustee shall be entitled to receive, and (subject to Section 6.1)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Upon the execution of any supplemental indenture under this Article Nine,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Conformity with Trust Indenture Act</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Every supplemental indenture executed pursuant to this Article Nine shall conform to the requirements of the Trust Indenture Act as then in effect.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Reference in Securities to Supplemental Indentures</w:t>
      </w:r>
      <w:r>
        <w:rPr>
          <w:rFonts w:ascii="Arial" w:cs="Arial" w:eastAsia="Arial" w:hAnsi="Arial"/>
          <w:sz w:val="18"/>
          <w:szCs w:val="18"/>
          <w:color w:val="auto"/>
        </w:rPr>
        <w:t>.</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Securities of any series authenticated and delivered after the execution of any supplemental indenture pursuant to this Article Nine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118" w:name="page119"/>
    <w:bookmarkEnd w:id="118"/>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TEN</w:t>
      </w:r>
    </w:p>
    <w:p>
      <w:pPr>
        <w:spacing w:after="0" w:line="21" w:lineRule="exact"/>
        <w:rPr>
          <w:sz w:val="20"/>
          <w:szCs w:val="20"/>
          <w:color w:val="auto"/>
        </w:rPr>
      </w:pPr>
    </w:p>
    <w:p>
      <w:pPr>
        <w:ind w:left="5160"/>
        <w:spacing w:after="0"/>
        <w:rPr>
          <w:sz w:val="20"/>
          <w:szCs w:val="20"/>
          <w:color w:val="auto"/>
        </w:rPr>
      </w:pPr>
      <w:r>
        <w:rPr>
          <w:rFonts w:ascii="Arial" w:cs="Arial" w:eastAsia="Arial" w:hAnsi="Arial"/>
          <w:sz w:val="18"/>
          <w:szCs w:val="18"/>
          <w:b w:val="1"/>
          <w:bCs w:val="1"/>
          <w:u w:val="single" w:color="auto"/>
          <w:color w:val="auto"/>
        </w:rPr>
        <w:t>COVENANTS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Payment of Principal, Premium and Interest</w:t>
      </w:r>
      <w:r>
        <w:rPr>
          <w:rFonts w:ascii="Arial" w:cs="Arial" w:eastAsia="Arial" w:hAnsi="Arial"/>
          <w:sz w:val="18"/>
          <w:szCs w:val="18"/>
          <w:color w:val="auto"/>
        </w:rPr>
        <w:t>.</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covenants and agrees for the benefit of each series of Securities that it will duly and punctually pay the principal of and any premium and interest on the Securities of that series in accordance with the terms of the Securities and this Indenture.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Maintenance of Office or Agency</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will maintain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may also from time to time designate one or more other offices or agencies where the Securities of one or more series may be presented or surrendered for any or all such purposes and may from time to time rescind such designations. The Company will give prompt written notice to the Trustee of any such designation or rescission and of any change in the location of any such other office or agency.</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Except as otherwise specified with respect to a series of Securities as contemplated by Section 3.1, the Company hereby initially designates as the Place of Payment for each series of Securities The City and State of New York, and initially appoints the Trustee at its Corporate Trust Office as the Company’s office or agency for each such purpose in such city.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Money for Securities Payments to Be Held in Trust</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the Company shall at any time act as its own Paying Agent, with respect to any series of Securities, it will, on or before each due date of the principal of and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Whenever the Company shall have one or more Paying Agents for any series of Securities, it will, prior to each due date of the principal of and any premium or interest on any Securities of that series, deposit with a Paying Agent a sum sufficient to pay the principal and any premium or interest so becoming due, such sum to be held in trust for the benefit of the Persons entitled to such principal, premium or interest, and (unless such Paying Agent is the Trustee) the Company will promptly notify the Trustee of its action or failure so to act. For purposes of this Section 10.3, should a due date for principal of and any premium or interest on, or sinking fund payment with respect to any series of Securities not be on a Business Day, such payment shall be due on the next Business Day without any interest for the period from the due date until such Business Day.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4" w:right="259" w:bottom="1440" w:gutter="0" w:footer="0" w:header="0"/>
        </w:sectPr>
      </w:pPr>
    </w:p>
    <w:bookmarkStart w:id="119" w:name="page120"/>
    <w:bookmarkEnd w:id="119"/>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51" w:lineRule="exact"/>
        <w:rPr>
          <w:sz w:val="20"/>
          <w:szCs w:val="20"/>
          <w:color w:val="auto"/>
        </w:rPr>
      </w:pPr>
    </w:p>
    <w:p>
      <w:pPr>
        <w:ind w:left="460" w:right="180" w:firstLine="443"/>
        <w:spacing w:after="0" w:line="268" w:lineRule="auto"/>
        <w:tabs>
          <w:tab w:leader="none" w:pos="1137" w:val="left"/>
        </w:tabs>
        <w:numPr>
          <w:ilvl w:val="0"/>
          <w:numId w:val="97"/>
        </w:numPr>
        <w:rPr>
          <w:rFonts w:ascii="Arial" w:cs="Arial" w:eastAsia="Arial" w:hAnsi="Arial"/>
          <w:sz w:val="18"/>
          <w:szCs w:val="18"/>
          <w:color w:val="auto"/>
        </w:rPr>
      </w:pPr>
      <w:r>
        <w:rPr>
          <w:rFonts w:ascii="Arial" w:cs="Arial" w:eastAsia="Arial" w:hAnsi="Arial"/>
          <w:sz w:val="18"/>
          <w:szCs w:val="18"/>
          <w:color w:val="auto"/>
        </w:rPr>
        <w:t>hold all sums held by it for the payment of the principal of and any premium or interest on Securities of that series in trust for the benefit of the Persons entitled thereto until such sums shall be paid to such Persons or otherwise disposed of as herein provided;</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97"/>
        </w:numPr>
        <w:rPr>
          <w:rFonts w:ascii="Arial" w:cs="Arial" w:eastAsia="Arial" w:hAnsi="Arial"/>
          <w:sz w:val="18"/>
          <w:szCs w:val="18"/>
          <w:color w:val="auto"/>
        </w:rPr>
      </w:pPr>
      <w:r>
        <w:rPr>
          <w:rFonts w:ascii="Arial" w:cs="Arial" w:eastAsia="Arial" w:hAnsi="Arial"/>
          <w:sz w:val="18"/>
          <w:szCs w:val="18"/>
          <w:color w:val="auto"/>
        </w:rPr>
        <w:t>give the Trustee notice of any Default by the Company (or any other obligor upon the Securities of that series) in the making of any payment of principal and any premium or interest on the Securities of that series;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0"/>
          <w:numId w:val="97"/>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in trust by such Paying Agent.</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and, if applicable, the Guarantors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Subject to any applicable escheat or abandoned property laws, any money deposited with the Trustee or any Paying Agent, or then held by the Company, in trust for the payment of the principal of and any premium or interest on any Security of any series and remaining unclaimed for one year after such principal and any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Trustee or such Paying Agent, before being required to make any such repayment, may at the expense of the Company cause to be published</w:t>
      </w:r>
      <w:r>
        <w:rPr>
          <w:rFonts w:ascii="Arial" w:cs="Arial" w:eastAsia="Arial" w:hAnsi="Arial"/>
          <w:sz w:val="16"/>
          <w:szCs w:val="16"/>
          <w:i w:val="1"/>
          <w:iCs w:val="1"/>
          <w:color w:val="auto"/>
        </w:rPr>
        <w:t xml:space="preserve"> </w:t>
      </w:r>
      <w:r>
        <w:rPr>
          <w:rFonts w:ascii="Arial" w:cs="Arial" w:eastAsia="Arial" w:hAnsi="Arial"/>
          <w:sz w:val="16"/>
          <w:szCs w:val="16"/>
          <w:color w:val="auto"/>
        </w:rPr>
        <w:t>once, in a newspaper published in the English language, customarily published on each Business Day and of general circulation in the Borough of Manhattan, The City of New York, notice that such money remains unclaimed and that, after a date specified therein, which shall not be less than 30 days from the date of such publication, any unclaimed balance of such money then remaining will be repaid to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Existence</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 xml:space="preserve">Subject to Article Eight, the Company and, if any Securities of a series to which Article Fourteen has been made applicable are Outstanding, each Guarantor will do or cause to be done all things necessary to preserve and keep in full force and effect its existence, rights (charter and statutory) and franchises; </w:t>
      </w: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however</w:t>
      </w:r>
      <w:r>
        <w:rPr>
          <w:rFonts w:ascii="Arial" w:cs="Arial" w:eastAsia="Arial" w:hAnsi="Arial"/>
          <w:sz w:val="15"/>
          <w:szCs w:val="15"/>
          <w:color w:val="auto"/>
        </w:rPr>
        <w:t>, that the Company and, if applicable, each Guarantor shall not be required to preserve any such right or franchise if the Board of Directors</w:t>
      </w:r>
      <w:r>
        <w:rPr>
          <w:rFonts w:ascii="Arial" w:cs="Arial" w:eastAsia="Arial" w:hAnsi="Arial"/>
          <w:sz w:val="15"/>
          <w:szCs w:val="15"/>
          <w:i w:val="1"/>
          <w:iCs w:val="1"/>
          <w:color w:val="auto"/>
        </w:rPr>
        <w:t xml:space="preserve"> </w:t>
      </w:r>
      <w:r>
        <w:rPr>
          <w:rFonts w:ascii="Arial" w:cs="Arial" w:eastAsia="Arial" w:hAnsi="Arial"/>
          <w:sz w:val="15"/>
          <w:szCs w:val="15"/>
          <w:color w:val="auto"/>
        </w:rPr>
        <w:t>shall determine that the preservation thereof is no longer desirable in the conduct of the business of the Company or such Guarantor, as the case may be.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Statement by Officers as to Default</w:t>
      </w:r>
      <w:r>
        <w:rPr>
          <w:rFonts w:ascii="Arial" w:cs="Arial" w:eastAsia="Arial" w:hAnsi="Arial"/>
          <w:sz w:val="18"/>
          <w:szCs w:val="18"/>
          <w:color w:val="auto"/>
        </w:rPr>
        <w:t>.</w:t>
      </w:r>
    </w:p>
    <w:p>
      <w:pPr>
        <w:spacing w:after="0" w:line="90"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Annually, within 150 days after the close of each fiscal year beginning with the first fiscal year during which one or more series of Securities are Outstanding, the Company and, if any Securities of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280" w:right="279" w:bottom="1440" w:gutter="0" w:footer="0" w:header="0"/>
        </w:sectPr>
      </w:pPr>
    </w:p>
    <w:bookmarkStart w:id="120" w:name="page121"/>
    <w:bookmarkEnd w:id="120"/>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series to which Article Fourteen has been made applicable are Outstanding, each Guarantor will deliver to the Trustee a brief certificate (which need not include the statements set forth in Section 1.3) from the principal executive officer, principal financial officer or principal accounting officer of the Company and, if applicable, such Guarantor as to his or her knowledge of the Company’s or such Guarantor’s, as the case may be, compliance (without regard to any period of grace or requirement of notice provided herein) with all conditions and covenants under the Indenture and, if the Company or such Guarantor, as the case may be, shall be in Default, specifying all such Defaults and the nature and status thereof of which such officer has knowledge.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Additional Amounts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Securities of a series provide for the payment of additional amounts (as provided in Section 3.1(o)), at least 10 days prior to the first Interest Payment Date with respect to that series of Securities and at least 10 days prior to each date of payment of principal of, premium, if any, or interest on the Securities of that series if there has been a change with respect to the matters set forth in the below-mentioned Officer’s Certificate, the Company shall furnish to the Trustee and the principal Paying Agent, if other than the Trustee, an Officer’s Certificate instructing the Trustee and such Paying Agent whether such payment of principal of, premium, if any, or interest on the Securities of that series shall be made to holders of the Securities of that series without withholding or deduction for or on account of any tax, assessment or other governmental charge described in the Securities of that series. If any such withholding or deduction shall be required, then such Officer’s Certificate shall specify by country the amount, if any, required to be withheld or deducted on such payments to such holders and shall certify the fact that additional amounts will be payable and the amounts so payable to each holder, and the Company shall pay to the Trustee or such Paying Agent the additional amounts required to be paid by this Section.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 10.6.</w:t>
      </w:r>
    </w:p>
    <w:p>
      <w:pPr>
        <w:spacing w:after="0" w:line="12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Whenever in this Indenture there is mentioned, in any context, the payment of the principal of or any premium, interest or any other amounts on, or in respect of, any Securities of any series, such mention shall be deemed to include mention of the payment of additional amounts provided by the terms of such series established hereby or pursuant hereto to the extent that, in such context, additional amounts are, were or would be payable in respect thereof pursuant to such terms, and express mention of the payment of additional amounts (if applicable) in any provision hereof shall not be construed as excluding the payment of additional amounts in those provisions hereof where such express mention is not made.</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ELEVEN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REDEMPTION OF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Securities of any series which are redeemable before their Stated Maturity shall be redeemable in accordance with their terms and (except as otherwise specified as contemplated by Section 3.1 for Securities of any series) in accordance with this Article Eleven.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Election to Redeem; Notice to Trustee</w:t>
      </w:r>
      <w:r>
        <w:rPr>
          <w:rFonts w:ascii="Arial" w:cs="Arial" w:eastAsia="Arial" w:hAnsi="Arial"/>
          <w:sz w:val="18"/>
          <w:szCs w:val="18"/>
          <w:color w:val="auto"/>
        </w:rPr>
        <w:t>.</w:t>
      </w:r>
    </w:p>
    <w:p>
      <w:pPr>
        <w:spacing w:after="0" w:line="90"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The election of the Company to redeem any Securities shall be evidenced by a Board Resolution. In case of any redemption at the election of the Company of less than all the Securities of any series, the Company shall, at least 15 days prior to the last date for the giving of notice of such redemption (unless a</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80" w:right="259" w:bottom="1440" w:gutter="0" w:footer="0" w:header="0"/>
        </w:sectPr>
      </w:pPr>
    </w:p>
    <w:bookmarkStart w:id="121" w:name="page122"/>
    <w:bookmarkEnd w:id="121"/>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shorter notice shall be satisfactory to the Trustee), notify the Trustee of such Redemption Date and of the principal amount of Securities of such series to be redeemed and, if applicable, of the tenor of the Securities to be redeemed. In the case of any redemption of Securities (a) prior to the expiration of any restriction on such redemption provided in the terms of such Securities or elsewhere in this Indenture or (b) pursuant to an election of the Company that is subject to a condition specified in the terms of the Securities of the series to be redeemed, the Company shall furnish the Trustee with an Officer’s Certificate evidencing compliance with such restriction or condition.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Selection by Trustee of Securities to Be Redeemed</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less than all the Securities of any series are to be redeemed (unless all of the Securities of such series and of a specified tenor are to be redeemed), the particular Securities to be redeemed shall be selected not more than 45 days prior to the Redemption Date by the Trustee, from the Outstanding Securities of such series not previously called for redemption, by such method as the Trustee shall deem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Trustee shall promptly notify the Company in writing of the Securities selected for redemption and, in the case of any Securities selected for partial redemption, the principal amount thereof to be redeemed. If the Securities of any series to be redeemed consist of Securities having different dates on which the principal is payable or different rates of interest, or different methods by which interest may be determined or have any other different tenor or terms, then the Company may, by written notice to the Trustee, direct that the Securities of such series to be redeemed shall be selected from among the groups of such Securities having specified tenor or terms and the Trustee shall thereafter select the particular Securities to be redeemed in the manner set forth in the preceding paragraph from among the group of such Securities so specified.</w:t>
      </w:r>
    </w:p>
    <w:p>
      <w:pPr>
        <w:spacing w:after="0" w:line="12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Notice of redemption shall be given by first-class mail, postage prepaid, mailed not less than 30 nor more than 60 days prior to the Redemption Date, to each Holder of Securities to be redeemed, at his address appearing in the Security Register.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notices of redemption shall state:</w:t>
      </w:r>
    </w:p>
    <w:p>
      <w:pPr>
        <w:spacing w:after="0" w:line="90" w:lineRule="exact"/>
        <w:rPr>
          <w:sz w:val="20"/>
          <w:szCs w:val="20"/>
          <w:color w:val="auto"/>
        </w:rPr>
      </w:pPr>
    </w:p>
    <w:p>
      <w:pPr>
        <w:ind w:left="1140" w:hanging="237"/>
        <w:spacing w:after="0"/>
        <w:tabs>
          <w:tab w:leader="none" w:pos="11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Redemption Price, or if not then ascertainable, the manner of calculation thereof,</w:t>
      </w:r>
    </w:p>
    <w:p>
      <w:pPr>
        <w:spacing w:after="0" w:line="90" w:lineRule="exact"/>
        <w:rPr>
          <w:rFonts w:ascii="Arial" w:cs="Arial" w:eastAsia="Arial" w:hAnsi="Arial"/>
          <w:sz w:val="18"/>
          <w:szCs w:val="18"/>
          <w:color w:val="auto"/>
        </w:rPr>
      </w:pPr>
    </w:p>
    <w:p>
      <w:pPr>
        <w:ind w:left="460" w:right="140" w:firstLine="443"/>
        <w:spacing w:after="0" w:line="268" w:lineRule="auto"/>
        <w:tabs>
          <w:tab w:leader="none" w:pos="1137"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less than all the Outstanding Securities of any series are to be redeemed, the identification (and, in the case of partial redemption, the principal amounts) of the particular Securities to be redeemed,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122" w:name="page123"/>
    <w:bookmarkEnd w:id="122"/>
    <w:p>
      <w:pPr>
        <w:ind w:left="460" w:right="80" w:firstLine="443"/>
        <w:spacing w:after="0" w:line="268" w:lineRule="auto"/>
        <w:tabs>
          <w:tab w:leader="none" w:pos="1147"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on the Redemption Date the Redemption Price will become due and payable upon each such Security to be redeemed and, if applicable, that interest thereon will cease to accrue on and after said date,</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place or places where such Securities are to be surrendered for payment of the Redemption Price, and</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w:t>
      </w:r>
    </w:p>
    <w:p>
      <w:pPr>
        <w:spacing w:after="0" w:line="9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Prior to any Redemption Date, the Company shall deposit with the Trustee or with a Paying Agent (or, if the Company is acting as its own Paying Agent, segregate and hold in trust as provided in Section 10.3) an amount of money sufficient to pay the Redemption Price of, and (except if the Redemption Date shall be an Interest Payment Date) accrued interest on, all the Securities which are to be redeemed on that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Securities Payable on Redemption Date</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unless otherwise specified with respect to Securities of any series as contemplated in Section 3.1, installments of interest whose Stated Maturity is on or prior to the Redemption Date shall be payable to the Holders of such Securities, or one or more Predecessor Securities, registered as such at the close of business on the relevant Record Dates according to their terms and the provisions of Section 3.7.</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premium, if any) shall, until paid, bear interest from the Redemption Date at the rate prescribed therefor in the Security.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11.7. </w:t>
      </w:r>
      <w:r>
        <w:rPr>
          <w:rFonts w:ascii="Arial" w:cs="Arial" w:eastAsia="Arial" w:hAnsi="Arial"/>
          <w:sz w:val="18"/>
          <w:szCs w:val="18"/>
          <w:u w:val="single" w:color="auto"/>
          <w:color w:val="auto"/>
        </w:rPr>
        <w:t>Securities Redeemed in Part</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and tenor, of any authorized denomination as requested by such Holder, in aggregate principal amount equal to and in exchange for the unredeemed portion of the principal of the Security so surrendered.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280" w:right="279" w:bottom="1440" w:gutter="0" w:footer="0" w:header="0"/>
        </w:sectPr>
      </w:pPr>
    </w:p>
    <w:bookmarkStart w:id="123" w:name="page124"/>
    <w:bookmarkEnd w:id="12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TWELVE</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SINKING FUNDS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provisions of this Article Twelve shall be applicable to any sinking fund for the retirement of Securities of a series except as otherwise specified as contemplated by Section 3.1 for Securities of such series.</w:t>
      </w:r>
    </w:p>
    <w:p>
      <w:pPr>
        <w:spacing w:after="0" w:line="132"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12.2. Each sinking fund payment shall be applied to the redemption of Securities of any series as provided for by the terms of Securities of such series.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Company (a) may deliver Outstanding Securities of a series (other than any previously called for redemption) and (b)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u w:val="single" w:color="auto"/>
          <w:color w:val="auto"/>
        </w:rPr>
        <w:t>Redemption of Securities for Sinking Fund</w:t>
      </w:r>
      <w:r>
        <w:rPr>
          <w:rFonts w:ascii="Arial" w:cs="Arial" w:eastAsia="Arial" w:hAnsi="Arial"/>
          <w:sz w:val="18"/>
          <w:szCs w:val="18"/>
          <w:color w:val="auto"/>
        </w:rPr>
        <w:t>.</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that series, the portion thereof, if any, which is to be satisfied by payment of cash and the portion thereof, if any, which is to be satisfied by delivering and crediting Securities of that series pursuant to Section 12.2 and stating the basis for such credit and that such Securities have not been previously so credited, and will also deliver to the Trustee any Securities to be so delivered. Not less than 30 days before each such sinking fund payment date the Trustee shall select the Securities to be redeemed upon such sinking fund payment date in the manner specified in Section 11.3 and cause notice of the redemption thereof to be given in the name of and at the expense of the Company in the manner provided in Section 11.4. Such notice having been duly given, the redemption of such Securities shall be made upon the terms and in the manner stated in Section 11.6 and Section 11.7.</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274" w:right="29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THIRTEEN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DEFEASANCE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Option to Effect Legal Defeasance or Covenant Defeasance</w:t>
      </w:r>
      <w:r>
        <w:rPr>
          <w:rFonts w:ascii="Arial" w:cs="Arial" w:eastAsia="Arial" w:hAnsi="Arial"/>
          <w:sz w:val="18"/>
          <w:szCs w:val="18"/>
          <w:color w:val="auto"/>
        </w:rPr>
        <w:t>.</w:t>
      </w:r>
    </w:p>
    <w:p>
      <w:pPr>
        <w:spacing w:after="0" w:line="9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Company may, at the option of its Board of Directors evidenced by a resolution set forth in an Officers’ Certificate, and at any time, elect to have either Section 13.2 or Section 13.3 hereof be applied to all outstanding Securities upon compliance with the conditions set forth below in this Article Thirteen.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13.2. </w:t>
      </w:r>
      <w:r>
        <w:rPr>
          <w:rFonts w:ascii="Arial" w:cs="Arial" w:eastAsia="Arial" w:hAnsi="Arial"/>
          <w:sz w:val="18"/>
          <w:szCs w:val="18"/>
          <w:u w:val="single" w:color="auto"/>
          <w:color w:val="auto"/>
        </w:rPr>
        <w:t>Legal Defeasance and Discharge</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Upon the Company’s exercise under Section 13.1 hereof of the option applicable to this Section 13.2, the Company and each of the Guarantors will, subject to the satisfaction of the conditions set forth in Section 13.4 hereof, be deemed to have been discharged from their obligations with respect to all outstanding Securities (including the Guarantees) on the date the conditions set forth below are satisfied (hereinafter, “Legal Defeasance”). For this purpose, Legal Defeasance means that the Company and the Guarantors will be deemed to have paid and discharged the entire Debt represented by the outstanding Securities (including the Guarantees), which will thereafter be deemed to be “outstanding” only for the purposes of Section 13.5 hereof and the other sections of this Indenture referred to in clauses (a) and (b) below, and to have satisfied all their other obligations under such Securities, the Guarantees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37" w:lineRule="exact"/>
        <w:rPr>
          <w:sz w:val="20"/>
          <w:szCs w:val="20"/>
          <w:color w:val="auto"/>
        </w:rPr>
      </w:pPr>
    </w:p>
    <w:p>
      <w:pPr>
        <w:ind w:left="460" w:firstLine="443"/>
        <w:spacing w:after="0" w:line="268" w:lineRule="auto"/>
        <w:tabs>
          <w:tab w:leader="none" w:pos="113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rights of Holders of Outstanding Securities to receive payments in respect of the principal of, or interest or premium, if any, on such Securities when such payments are due from the trust referred to in Section 13.4 hereof;</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Company’s obligations with respect to such Securities under Section 3.4, Section 3.5, Section 3.6, Section 10.2 and Section 10.3 hereof;</w:t>
      </w:r>
    </w:p>
    <w:p>
      <w:pPr>
        <w:spacing w:after="0" w:line="113" w:lineRule="exact"/>
        <w:rPr>
          <w:rFonts w:ascii="Arial" w:cs="Arial" w:eastAsia="Arial" w:hAnsi="Arial"/>
          <w:sz w:val="16"/>
          <w:szCs w:val="16"/>
          <w:color w:val="auto"/>
        </w:rPr>
      </w:pPr>
    </w:p>
    <w:p>
      <w:pPr>
        <w:ind w:left="460" w:right="480" w:firstLine="443"/>
        <w:spacing w:after="0" w:line="268" w:lineRule="auto"/>
        <w:tabs>
          <w:tab w:leader="none" w:pos="113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hereunder and the Company’s and the Guarantors’ obligations in connection therewith;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this Article Thirteen.</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Subject to compliance with this Article Thirteen, the Company may exercise its option under this Section 13.2 notwithstanding the prior exercise of its option under Section 13.3 hereof.</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13.3. </w:t>
      </w:r>
      <w:r>
        <w:rPr>
          <w:rFonts w:ascii="Arial" w:cs="Arial" w:eastAsia="Arial" w:hAnsi="Arial"/>
          <w:sz w:val="18"/>
          <w:szCs w:val="18"/>
          <w:u w:val="single" w:color="auto"/>
          <w:color w:val="auto"/>
        </w:rPr>
        <w:t>Covenant Defeasance</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the Company’s exercise under Section 13.1 hereof of the option applicable to this Section 13.3, the Company and each of the Guarantors will, subject to the satisfaction of the conditions set forth in Section 13.4 hereof, be released from each of their obligations under the covenants contained in Section 7.4, Section 8.1 and Section 10.4 hereof as well as any Additional Defeasible Provisions (such release and termination hereinafter referred to as “</w:t>
      </w:r>
      <w:r>
        <w:rPr>
          <w:rFonts w:ascii="Arial" w:cs="Arial" w:eastAsia="Arial" w:hAnsi="Arial"/>
          <w:sz w:val="16"/>
          <w:szCs w:val="16"/>
          <w:i w:val="1"/>
          <w:iCs w:val="1"/>
          <w:color w:val="auto"/>
        </w:rPr>
        <w:t>Covenant</w:t>
      </w:r>
      <w:r>
        <w:rPr>
          <w:rFonts w:ascii="Arial" w:cs="Arial" w:eastAsia="Arial" w:hAnsi="Arial"/>
          <w:sz w:val="16"/>
          <w:szCs w:val="16"/>
          <w:color w:val="auto"/>
        </w:rPr>
        <w:t xml:space="preserve"> </w:t>
      </w:r>
      <w:r>
        <w:rPr>
          <w:rFonts w:ascii="Arial" w:cs="Arial" w:eastAsia="Arial" w:hAnsi="Arial"/>
          <w:sz w:val="16"/>
          <w:szCs w:val="16"/>
          <w:i w:val="1"/>
          <w:iCs w:val="1"/>
          <w:color w:val="auto"/>
        </w:rPr>
        <w:t>Defeasance</w:t>
      </w:r>
      <w:r>
        <w:rPr>
          <w:rFonts w:ascii="Arial" w:cs="Arial" w:eastAsia="Arial" w:hAnsi="Arial"/>
          <w:sz w:val="16"/>
          <w:szCs w:val="16"/>
          <w:color w:val="auto"/>
        </w:rPr>
        <w:t>”), and the Securities will thereafter be deemed not “outstanding” for the purposes of any direction, waiver, consent or declaration or act of Holders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consequences of any thereof) in connection with such covenants, but will continue to be deemed “outstanding” for all other purposes hereunder (it being understood that such Securities will not be deemed outstanding for accounting purposes). For this purpose, Covenant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74" w:right="259" w:bottom="1440" w:gutter="0" w:footer="0" w:header="0"/>
        </w:sectPr>
      </w:pPr>
    </w:p>
    <w:bookmarkStart w:id="125" w:name="page126"/>
    <w:bookmarkEnd w:id="12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Defeasance means that, with respect to the outstanding Securities and Guarantees, the Company and the Guarantors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5.1 hereof, but, except as specified above, the remainder of this Indenture and such Securities and Guarantees will be unaffected thereby. In addition, upon the Company’s exercise under Section 13.1 hereof of the option applicable to this Section 13.3 hereof, subject to the satisfaction of the conditions set forth in Section 13.4 hereof, Section 5.1(c) and Section 5.1(d) hereof and will not constitute Events of Default.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13.4. </w:t>
      </w:r>
      <w:r>
        <w:rPr>
          <w:rFonts w:ascii="Arial" w:cs="Arial" w:eastAsia="Arial" w:hAnsi="Arial"/>
          <w:sz w:val="18"/>
          <w:szCs w:val="18"/>
          <w:u w:val="single" w:color="auto"/>
          <w:color w:val="auto"/>
        </w:rPr>
        <w:t>Conditions to Legal or Covenant Defeasance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 under either Section 13.2 or Section 13.3 hereof:</w:t>
      </w:r>
    </w:p>
    <w:p>
      <w:pPr>
        <w:spacing w:after="0" w:line="90" w:lineRule="exact"/>
        <w:rPr>
          <w:sz w:val="20"/>
          <w:szCs w:val="20"/>
          <w:color w:val="auto"/>
        </w:rPr>
      </w:pPr>
    </w:p>
    <w:p>
      <w:pPr>
        <w:ind w:left="460" w:right="60" w:firstLine="443"/>
        <w:spacing w:after="0" w:line="318" w:lineRule="auto"/>
        <w:tabs>
          <w:tab w:leader="none" w:pos="1137"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the Company must irrevocably deposit with the Trustee, in trust, for the benefit of the Holders of the Securities, cash in U.S. dollars, non-callable U.S. Government Obligations, or a combination of cash in U.S. dollars and non-callable U.S. Government Obligations, in such amounts as will be sufficient, in the opinion of a nationally recognized investment bank, appraisal firm, or firm of independent public accountants to pay the principal of, or interest and premium, if any, and interest on the Outstanding Securities on the stated date for payment thereof or on the applicable redemption date, as the case may be, and the Company must specify whether the Securities are being defeased to such stated date for payment or to a particular redemption date;</w:t>
      </w:r>
    </w:p>
    <w:p>
      <w:pPr>
        <w:spacing w:after="0" w:line="18" w:lineRule="exact"/>
        <w:rPr>
          <w:rFonts w:ascii="Arial" w:cs="Arial" w:eastAsia="Arial" w:hAnsi="Arial"/>
          <w:sz w:val="15"/>
          <w:szCs w:val="15"/>
          <w:color w:val="auto"/>
        </w:rPr>
      </w:pPr>
    </w:p>
    <w:p>
      <w:pPr>
        <w:ind w:left="1160" w:hanging="257"/>
        <w:spacing w:after="0"/>
        <w:tabs>
          <w:tab w:leader="none" w:pos="11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in the case of an election under Section 13.2 hereof, the Company must deliver to the Trustee an Opinion of Counsel confirming that:</w:t>
      </w:r>
    </w:p>
    <w:p>
      <w:pPr>
        <w:spacing w:after="0" w:line="113" w:lineRule="exact"/>
        <w:rPr>
          <w:rFonts w:ascii="Arial" w:cs="Arial" w:eastAsia="Arial" w:hAnsi="Arial"/>
          <w:sz w:val="16"/>
          <w:szCs w:val="16"/>
          <w:color w:val="auto"/>
        </w:rPr>
      </w:pPr>
    </w:p>
    <w:p>
      <w:pPr>
        <w:ind w:left="1560" w:hanging="219"/>
        <w:spacing w:after="0"/>
        <w:tabs>
          <w:tab w:leader="none" w:pos="15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Company has received from, or there has been published by, the Internal Revenue Service a ruling; or</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since the Issue Date, there has been a change in the applicable federal income tax law,</w:t>
      </w:r>
    </w:p>
    <w:p>
      <w:pPr>
        <w:spacing w:after="0" w:line="90" w:lineRule="exact"/>
        <w:rPr>
          <w:sz w:val="20"/>
          <w:szCs w:val="20"/>
          <w:color w:val="auto"/>
        </w:rPr>
      </w:pPr>
    </w:p>
    <w:p>
      <w:pPr>
        <w:ind w:left="920" w:right="100"/>
        <w:spacing w:after="0" w:line="306" w:lineRule="auto"/>
        <w:rPr>
          <w:sz w:val="20"/>
          <w:szCs w:val="20"/>
          <w:color w:val="auto"/>
        </w:rPr>
      </w:pPr>
      <w:r>
        <w:rPr>
          <w:rFonts w:ascii="Arial" w:cs="Arial" w:eastAsia="Arial" w:hAnsi="Arial"/>
          <w:sz w:val="16"/>
          <w:szCs w:val="16"/>
          <w:color w:val="auto"/>
        </w:rPr>
        <w:t>in either case to the effect that, and based thereon such Opinion of Counsel will confirm that, the Holders of the Outstanding Securities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26" w:lineRule="exact"/>
        <w:rPr>
          <w:sz w:val="20"/>
          <w:szCs w:val="20"/>
          <w:color w:val="auto"/>
        </w:rPr>
      </w:pPr>
    </w:p>
    <w:p>
      <w:pPr>
        <w:ind w:left="460" w:right="80" w:firstLine="443"/>
        <w:spacing w:after="0" w:line="256" w:lineRule="auto"/>
        <w:tabs>
          <w:tab w:leader="none" w:pos="113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the case of an election under Section 13.4 hereof, the Company must deliver to the Trustee an Opinion of Counsel confirming that the Holders of the Outstanding Securities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80" w:right="259" w:bottom="1440" w:gutter="0" w:footer="0" w:header="0"/>
        </w:sectPr>
      </w:pPr>
    </w:p>
    <w:bookmarkStart w:id="126" w:name="page127"/>
    <w:bookmarkEnd w:id="126"/>
    <w:p>
      <w:pPr>
        <w:ind w:left="460" w:right="140" w:firstLine="443"/>
        <w:spacing w:after="0" w:line="268" w:lineRule="auto"/>
        <w:tabs>
          <w:tab w:leader="none" w:pos="1137" w:val="left"/>
        </w:tabs>
        <w:numPr>
          <w:ilvl w:val="0"/>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deposit will not result in a breach or violation of, or constitute a default under, any other instrument to which the Company or any Guarantor is a party or by which the Company or any Guarantor is bound;</w:t>
      </w:r>
    </w:p>
    <w:p>
      <w:pPr>
        <w:spacing w:after="0" w:line="50" w:lineRule="exact"/>
        <w:rPr>
          <w:rFonts w:ascii="Arial" w:cs="Arial" w:eastAsia="Arial" w:hAnsi="Arial"/>
          <w:sz w:val="18"/>
          <w:szCs w:val="18"/>
          <w:color w:val="auto"/>
        </w:rPr>
      </w:pPr>
    </w:p>
    <w:p>
      <w:pPr>
        <w:ind w:left="460" w:right="40" w:firstLine="443"/>
        <w:spacing w:after="0" w:line="259" w:lineRule="auto"/>
        <w:tabs>
          <w:tab w:leader="none" w:pos="111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this Indenture) to which the Company or any of its Subsidiaries is a party or by which the Company or any of its Subsidiaries is bound;</w:t>
      </w:r>
    </w:p>
    <w:p>
      <w:pPr>
        <w:spacing w:after="0" w:line="59" w:lineRule="exact"/>
        <w:rPr>
          <w:rFonts w:ascii="Arial" w:cs="Arial" w:eastAsia="Arial" w:hAnsi="Arial"/>
          <w:sz w:val="18"/>
          <w:szCs w:val="18"/>
          <w:color w:val="auto"/>
        </w:rPr>
      </w:pPr>
    </w:p>
    <w:p>
      <w:pPr>
        <w:ind w:left="460" w:right="500" w:firstLine="443"/>
        <w:spacing w:after="0" w:line="259" w:lineRule="auto"/>
        <w:tabs>
          <w:tab w:leader="none" w:pos="114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stating that the deposit was not made by the Company with the intent of preferring the Holders of Securities over the other creditors of the Company with the intent of defeating, hindering, delaying or defrauding any other creditors of the Company or others;</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stating that all conditions precedent set forth in clauses (a) through (g) of this Section 13.4 have been complied with; and</w:t>
      </w:r>
    </w:p>
    <w:p>
      <w:pPr>
        <w:spacing w:after="0" w:line="50" w:lineRule="exact"/>
        <w:rPr>
          <w:rFonts w:ascii="Arial" w:cs="Arial" w:eastAsia="Arial" w:hAnsi="Arial"/>
          <w:sz w:val="18"/>
          <w:szCs w:val="18"/>
          <w:color w:val="auto"/>
        </w:rPr>
      </w:pPr>
    </w:p>
    <w:p>
      <w:pPr>
        <w:ind w:left="460" w:right="560" w:firstLine="443"/>
        <w:spacing w:after="0" w:line="306" w:lineRule="auto"/>
        <w:tabs>
          <w:tab w:leader="none" w:pos="110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the Company must deliver to the Trustee an Opinion of Counsel (which Opinion of Counsel may be subject to customary assumptions, qualifications and exclusions), stating that all conditions precedent set forth in clauses (b), (c) and (e) of this Section 13.4 have been complied with;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Opinion of Counsel with respect to clause (e) of this Section 13.4 may be to the knowledge of such counsel.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13.5. </w:t>
      </w:r>
      <w:r>
        <w:rPr>
          <w:rFonts w:ascii="Arial" w:cs="Arial" w:eastAsia="Arial" w:hAnsi="Arial"/>
          <w:sz w:val="18"/>
          <w:szCs w:val="18"/>
          <w:u w:val="single" w:color="auto"/>
          <w:color w:val="auto"/>
        </w:rPr>
        <w:t>Deposited Money and U.S. Government Obligations to be Held in Trust, Other Miscellaneous Provisions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Subject to Section 13.6 hereof, all money and non-callable U.S. Government Obligation (including the proceeds thereof) deposited with the Trustee (or other qualifying trustee, collectively for purposes of this Section 13.5, the “</w:t>
      </w:r>
      <w:r>
        <w:rPr>
          <w:rFonts w:ascii="Arial" w:cs="Arial" w:eastAsia="Arial" w:hAnsi="Arial"/>
          <w:sz w:val="16"/>
          <w:szCs w:val="16"/>
          <w:i w:val="1"/>
          <w:iCs w:val="1"/>
          <w:color w:val="auto"/>
        </w:rPr>
        <w:t>Trustee</w:t>
      </w:r>
      <w:r>
        <w:rPr>
          <w:rFonts w:ascii="Arial" w:cs="Arial" w:eastAsia="Arial" w:hAnsi="Arial"/>
          <w:sz w:val="16"/>
          <w:szCs w:val="16"/>
          <w:color w:val="auto"/>
        </w:rPr>
        <w:t>”) pursuant to Section 13.4 hereof in respect of the Outstanding Securities will be held in trust and applied by the Trustee, in accordance with the provisions of such Securities and this Indenture, to the payment, either directly or through any Paying Agent (including the Company acting as Paying Agent) as the Trustee may determine, to the Holders of such Securities of all sums due and to become due thereon in respect of principal, premium, if any, and interest, but such money need not be segregated from other funds except to the extent required by law.</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Company will pay and indemnify the Trustee against any tax, fee or other charge imposed on or assessed against the cash or non-callable U.S. Government Obligations deposited pursuant to Section 13.4 hereof or the principal and interest received in respect thereof other than any such tax, fee or other charge which by law is for the account of the Holders of the Outstanding Securities.</w:t>
      </w:r>
    </w:p>
    <w:p>
      <w:pPr>
        <w:spacing w:after="0" w:line="140" w:lineRule="exact"/>
        <w:rPr>
          <w:sz w:val="20"/>
          <w:szCs w:val="20"/>
          <w:color w:val="auto"/>
        </w:rPr>
      </w:pPr>
    </w:p>
    <w:p>
      <w:pPr>
        <w:jc w:val="both"/>
        <w:ind w:right="80" w:firstLine="456"/>
        <w:spacing w:after="0" w:line="284" w:lineRule="auto"/>
        <w:rPr>
          <w:sz w:val="20"/>
          <w:szCs w:val="20"/>
          <w:color w:val="auto"/>
        </w:rPr>
      </w:pPr>
      <w:r>
        <w:rPr>
          <w:rFonts w:ascii="Arial" w:cs="Arial" w:eastAsia="Arial" w:hAnsi="Arial"/>
          <w:sz w:val="16"/>
          <w:szCs w:val="16"/>
          <w:color w:val="auto"/>
        </w:rPr>
        <w:t>Notwithstanding anything in this Article Thirteen to the contrary, the Trustee will deliver or pay to the Company from time to time upon the request of the Company any money or non-callable U.S. Government Obligations held by it as provided in Section 13.4 hereof which, in the opinion of a nationally recognized firm of independent public accountants expressed in a written certification thereof delivered to the Trustee (which may be the opinion delivered under</w:t>
      </w:r>
    </w:p>
    <w:p>
      <w:pPr>
        <w:spacing w:after="0" w:line="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Section 13.4(a) hereof), are in excess of the amount thereof that would then be required to be deposited to effect an equivalent Legal Defeasance or Covenant Defeasance.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80" w:right="2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13.6. </w:t>
      </w:r>
      <w:r>
        <w:rPr>
          <w:rFonts w:ascii="Arial" w:cs="Arial" w:eastAsia="Arial" w:hAnsi="Arial"/>
          <w:sz w:val="18"/>
          <w:szCs w:val="18"/>
          <w:u w:val="single" w:color="auto"/>
          <w:color w:val="auto"/>
        </w:rPr>
        <w:t>Repayment</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Any money deposited with the Trustee or any Paying Agent, or then held by the Company, in trust for the payment of the principal of, premium, if any, or interest on any Security and remaining unclaimed for two years after such principal, premium, if any, or interest has become due and payable shall be paid to the Company on its request or (if then held by the Company) will be discharged from such trust; and the Holder of such Security will thereafter be permitted to look only to the Company for payment thereof, and all liability of the Trustee or such Paying Agent with respect to such trust money, and all liability of the Company as trustee thereof, will thereupon cease;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will be repaid to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13.7.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If the Trustee or Paying Agent is unable to apply any United States dollars or non-callable U.S. Government Obligations in accordance with Section 13.2 or Section 13.3 hereof, as the case may be, by reason of any order or judgment of any court or governmental authority enjoining, restraining or otherwise prohibiting such application, then the Company’s and the Guarantors’ obligations under this Indenture and the Securities and the Guarantees will be revived and reinstated as though no deposit had occurred pursuant to Section 13.2 or Section 13.3 hereof until such time as the Trustee or Paying Agent is permitted to apply all such money in accordance with Section 13.2 or Section 13.3 hereof,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Company makes any payment of principal of, premium, if any, or interest on any Note following the reinstatement of its obligations, the Company will be subrogated to the rights of the Holders of such Securities to receive such payment from the money held by the Trustee or Paying Agent.</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FOURTEEN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GUARANTEE OF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14.1. </w:t>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90" w:lineRule="exact"/>
        <w:rPr>
          <w:sz w:val="20"/>
          <w:szCs w:val="20"/>
          <w:color w:val="auto"/>
        </w:rPr>
      </w:pPr>
    </w:p>
    <w:p>
      <w:pPr>
        <w:ind w:left="460" w:right="40" w:firstLine="443"/>
        <w:spacing w:after="0" w:line="255" w:lineRule="auto"/>
        <w:tabs>
          <w:tab w:leader="none" w:pos="113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Subject to the other provisions of this Article Fourteen, each of the Guarantors hereby jointly and severally, guarantees to each Holder of a Security of each series to which this Article Fourteen has been made applicable as provided in Section 3.1(t) (the Securities of such series being referred to herein as the “Guaranteed Securities”) (which Security has been authenticated and delivered by the Trustee), and to the Trustee and its successors and assigns, irrespective of the validity and enforceability of this Indenture, the Guaranteed Securities, the obligations of the Company hereunder or thereunder, that:</w:t>
      </w:r>
    </w:p>
    <w:p>
      <w:pPr>
        <w:spacing w:after="0" w:line="61" w:lineRule="exact"/>
        <w:rPr>
          <w:rFonts w:ascii="Arial" w:cs="Arial" w:eastAsia="Arial" w:hAnsi="Arial"/>
          <w:sz w:val="18"/>
          <w:szCs w:val="18"/>
          <w:color w:val="auto"/>
        </w:rPr>
      </w:pPr>
    </w:p>
    <w:p>
      <w:pPr>
        <w:ind w:left="920" w:right="160" w:firstLine="421"/>
        <w:spacing w:after="0" w:line="256" w:lineRule="auto"/>
        <w:tabs>
          <w:tab w:leader="none" w:pos="1549"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principal of, premium, if any, and interest on the Guaranteed Securities will be promptly paid in full when due, whether at maturity, by acceleration, redemption or otherwise, and interest on the overdue principal of and interest on the Guaranteed Securities, if any, if lawful, and all other obligations of the Company to the Holders of Guaranteed Securities, or the Trustee hereunder or thereunder will be promptly paid in full or performed, all in accordance with the terms hereof and thereof;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128" w:name="page129"/>
    <w:bookmarkEnd w:id="128"/>
    <w:p>
      <w:pPr>
        <w:ind w:left="920" w:right="80" w:firstLine="421"/>
        <w:spacing w:after="0" w:line="259" w:lineRule="auto"/>
        <w:tabs>
          <w:tab w:leader="none" w:pos="1598" w:val="left"/>
        </w:tabs>
        <w:numPr>
          <w:ilvl w:val="0"/>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case of any extension of time of payment or renewal of any Guaranteed Securities or any of such other obligations, that same will be promptly paid in full when due or performed in accordance with the terms of the extension or renewal, whether at stated maturity, by acceleration or otherwise.</w:t>
      </w:r>
    </w:p>
    <w:p>
      <w:pPr>
        <w:spacing w:after="0" w:line="14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4" w:lineRule="exact"/>
        <w:rPr>
          <w:sz w:val="20"/>
          <w:szCs w:val="20"/>
          <w:color w:val="auto"/>
        </w:rPr>
      </w:pPr>
    </w:p>
    <w:p>
      <w:pPr>
        <w:ind w:left="460" w:right="80" w:firstLine="443"/>
        <w:spacing w:after="0" w:line="289" w:lineRule="auto"/>
        <w:tabs>
          <w:tab w:leader="none" w:pos="114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 the extent permissible under applicable law, the obligations of the Guarantors under this Guarantee are unconditional, irrespective of the validity, regularity or enforceability of the Guaranteed Securities or this Indenture, the absence of any action to enforce the same, any waiver or consent by any Holder of the Guaranteed Securities with respect to any provisions hereof or thereof, the recovery of any judgment against the Company, any action to enforce the same or any other circumstance which might otherwise constitute a legal or equitable discharge or defense of a guarantor. To the extent permitted by applicable law, each Guarantor hereby waives diligence, presentment, demand of payment, filing of claims with a court in the event of insolvency or bankruptcy of the Company, any right to require a proceeding first against the Company, protest, notice and all demands whatsoever and covenant that this Guarantee will not be discharged except by complete performance of the obligations contained in the Guaranteed Securities and this Indenture.</w:t>
      </w:r>
    </w:p>
    <w:p>
      <w:pPr>
        <w:spacing w:after="0" w:line="37" w:lineRule="exact"/>
        <w:rPr>
          <w:rFonts w:ascii="Arial" w:cs="Arial" w:eastAsia="Arial" w:hAnsi="Arial"/>
          <w:sz w:val="16"/>
          <w:szCs w:val="16"/>
          <w:color w:val="auto"/>
        </w:rPr>
      </w:pPr>
    </w:p>
    <w:p>
      <w:pPr>
        <w:jc w:val="both"/>
        <w:ind w:left="460" w:right="40" w:firstLine="443"/>
        <w:spacing w:after="0" w:line="259" w:lineRule="auto"/>
        <w:tabs>
          <w:tab w:leader="none" w:pos="113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Guarantee, to the extent theretofore discharged, will be reinstated in full force and effect.</w:t>
      </w:r>
    </w:p>
    <w:p>
      <w:pPr>
        <w:spacing w:after="0" w:line="59" w:lineRule="exact"/>
        <w:rPr>
          <w:rFonts w:ascii="Arial" w:cs="Arial" w:eastAsia="Arial" w:hAnsi="Arial"/>
          <w:sz w:val="18"/>
          <w:szCs w:val="18"/>
          <w:color w:val="auto"/>
        </w:rPr>
      </w:pPr>
    </w:p>
    <w:p>
      <w:pPr>
        <w:ind w:left="460" w:right="20" w:firstLine="443"/>
        <w:spacing w:after="0" w:line="289" w:lineRule="auto"/>
        <w:tabs>
          <w:tab w:leader="none" w:pos="114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Each Guarantor agrees that it will not be entitled to any right of subrogation in relation to the Holders in respect of any obligations guaranteed hereby until payment in full of all obligations guaranteed hereby. Each Guarantor further agrees that, to the extent permitted by applicable law, as between the Guarantors, on the one hand, and the Holders of Guaranteed Securities and the Trustee, on the other hand, (1) the maturity of the obligations guaranteed hereby may be accelerated as provided in Article Five hereof for the purposes of this Guarantee, notwithstanding any stay, injunction or other prohibition preventing such acceleration in respect of the obligations guaranteed hereby, and (2) in the event of any declaration of acceleration of such obligations as provided in Article Five hereof, such obligations (regardless of whether due and payable) will forthwith become due and payable by the Guarantors for the purpose of this Guarantee. The Guarantors will have the right to seek contribution from any non-paying Guarantor so long as the exercise of such right does not impair the rights of the Holders under the Guarantee.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14.2. </w:t>
      </w:r>
      <w:r>
        <w:rPr>
          <w:rFonts w:ascii="Arial" w:cs="Arial" w:eastAsia="Arial" w:hAnsi="Arial"/>
          <w:sz w:val="18"/>
          <w:szCs w:val="18"/>
          <w:u w:val="single" w:color="auto"/>
          <w:color w:val="auto"/>
        </w:rPr>
        <w:t>Limitation on Guarantor Liability</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Each Guarantor, and by its acceptance of Guaranteed Securities, each Holder thereof,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to the extent permitted under applicable law, the Holders and each Guarantor hereby irrevocably agree that the obligations of such Guarantor will be limited to the maximum amount that will, after giving effect to such maximum amount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0" w:right="239" w:bottom="1440" w:gutter="0" w:footer="0" w:header="0"/>
        </w:sectPr>
      </w:pPr>
    </w:p>
    <w:bookmarkStart w:id="129" w:name="page130"/>
    <w:bookmarkEnd w:id="129"/>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Fourteen, result in the obligations of such Guarantor under its Guarantee not constituting a fraudulent transfer or conveyance.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14.3. </w:t>
      </w:r>
      <w:r>
        <w:rPr>
          <w:rFonts w:ascii="Arial" w:cs="Arial" w:eastAsia="Arial" w:hAnsi="Arial"/>
          <w:sz w:val="18"/>
          <w:szCs w:val="18"/>
          <w:u w:val="single" w:color="auto"/>
          <w:color w:val="auto"/>
        </w:rPr>
        <w:t>Execution and Delivery of Guarantee Notation</w:t>
      </w:r>
      <w:r>
        <w:rPr>
          <w:rFonts w:ascii="Arial" w:cs="Arial" w:eastAsia="Arial" w:hAnsi="Arial"/>
          <w:sz w:val="18"/>
          <w:szCs w:val="18"/>
          <w:color w:val="auto"/>
        </w:rPr>
        <w:t>.</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To evidence its Guarantee set forth in Section 14.1 hereof, each Guarantor hereby agrees that a notation of such Guarantee substantially in the form set forth in Section 2.3 or established pursuant to a Board Resolution or in a supplemental indenture, in accordance with the provisions of Section 2.1, will be endorsed by an officer of such Guarantor on each Guaranteed Security authenticated and delivered by the Trustee and that this Indenture will be executed on behalf of such Guarantor by one of its officers.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Each Guarantor hereby agrees that its Guarantee set forth in Section 14.1 hereof will remain in full force and effect notwithstanding any failure to endorse on each Guaranteed Security a notation of such Guarantee.</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If an officer whose signature is on this Indenture or on the Guarantee no longer holds that office at the time the Trustee authenticates the Guaranteed Security on which a Guarantee is endorsed, the Guarantee will be valid nevertheless.</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delivery of any Guaranteed Security by the Trustee, after the authentication thereof hereunder, will constitute due delivery of the Guarantee of such Guaranteed Security set forth in this Indenture on behalf of the Guarantors.</w:t>
      </w:r>
    </w:p>
    <w:p>
      <w:pPr>
        <w:spacing w:after="0" w:line="1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80"/>
          </w:cols>
          <w:pgMar w:left="240" w:top="280" w:right="379" w:bottom="1440" w:gutter="0" w:footer="0" w:header="0"/>
        </w:sectPr>
      </w:pPr>
    </w:p>
    <w:bookmarkStart w:id="130" w:name="page131"/>
    <w:bookmarkEnd w:id="130"/>
    <w:p>
      <w:pPr>
        <w:ind w:right="3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instrument may be executed in any number of counterparts, each of which so executed shall be deemed to be an original, but all such counterparts shall together constitute but one and the same instrument.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WITNESS WHEREOF, the parties hereto have caused this Indenture to be duly executed, and their respective corporate seals to be hereunto affixed and attested, all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2540</wp:posOffset>
            </wp:positionV>
            <wp:extent cx="25730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2540</wp:posOffset>
            </wp:positionV>
            <wp:extent cx="25730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2540</wp:posOffset>
            </wp:positionV>
            <wp:extent cx="25730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210185</wp:posOffset>
            </wp:positionV>
            <wp:extent cx="725043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ACTIVE POWER, INC.</w:t>
      </w:r>
    </w:p>
    <w:p>
      <w:pPr>
        <w:spacing w:after="0" w:line="171" w:lineRule="exact"/>
        <w:rPr>
          <w:sz w:val="20"/>
          <w:szCs w:val="20"/>
          <w:color w:val="auto"/>
        </w:rPr>
      </w:pPr>
    </w:p>
    <w:tbl>
      <w:tblPr>
        <w:tblLayout w:type="fixed"/>
        <w:tblInd w:w="322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gridSpan w:val="4"/>
          </w:tcPr>
          <w:p>
            <w:pPr>
              <w:jc w:val="center"/>
              <w:ind w:left="12"/>
              <w:spacing w:after="0"/>
              <w:rPr>
                <w:sz w:val="20"/>
                <w:szCs w:val="20"/>
                <w:color w:val="auto"/>
              </w:rPr>
            </w:pPr>
            <w:r>
              <w:rPr>
                <w:rFonts w:ascii="Arial" w:cs="Arial" w:eastAsia="Arial" w:hAnsi="Arial"/>
                <w:sz w:val="18"/>
                <w:szCs w:val="18"/>
                <w:b w:val="1"/>
                <w:bCs w:val="1"/>
                <w:color w:val="auto"/>
                <w:w w:val="97"/>
              </w:rPr>
              <w:t>AND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40"/>
        </w:trPr>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w:t>
            </w:r>
          </w:p>
        </w:tc>
      </w:tr>
      <w:tr>
        <w:trPr>
          <w:trHeight w:val="397"/>
        </w:trPr>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gridSpan w:val="4"/>
          </w:tcPr>
          <w:p>
            <w:pPr>
              <w:jc w:val="center"/>
              <w:ind w:left="32"/>
              <w:spacing w:after="0"/>
              <w:rPr>
                <w:sz w:val="20"/>
                <w:szCs w:val="20"/>
                <w:color w:val="auto"/>
              </w:rPr>
            </w:pPr>
            <w:r>
              <w:rPr>
                <w:rFonts w:ascii="Arial" w:cs="Arial" w:eastAsia="Arial" w:hAnsi="Arial"/>
                <w:sz w:val="18"/>
                <w:szCs w:val="18"/>
                <w:b w:val="1"/>
                <w:bCs w:val="1"/>
                <w:color w:val="auto"/>
                <w:w w:val="86"/>
              </w:rPr>
              <w:t>Trustee</w:t>
            </w: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313"/>
        </w:trPr>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70"/>
        </w:trPr>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4"/>
          </w:tcPr>
          <w:p>
            <w:pPr>
              <w:jc w:val="center"/>
              <w:ind w:left="12"/>
              <w:spacing w:after="0"/>
              <w:rPr>
                <w:sz w:val="20"/>
                <w:szCs w:val="20"/>
                <w:color w:val="auto"/>
              </w:rPr>
            </w:pPr>
            <w:r>
              <w:rPr>
                <w:rFonts w:ascii="Arial" w:cs="Arial" w:eastAsia="Arial" w:hAnsi="Arial"/>
                <w:sz w:val="18"/>
                <w:szCs w:val="18"/>
                <w:b w:val="1"/>
                <w:bCs w:val="1"/>
                <w:color w:val="auto"/>
              </w:rPr>
              <w:t>INDENTURE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40"/>
        </w:trPr>
        <w:tc>
          <w:tcPr>
            <w:tcW w:w="2160" w:type="dxa"/>
            <w:vAlign w:val="bottom"/>
            <w:gridSpan w:val="6"/>
          </w:tcPr>
          <w:p>
            <w:pPr>
              <w:spacing w:after="0"/>
              <w:rPr>
                <w:sz w:val="20"/>
                <w:szCs w:val="20"/>
                <w:color w:val="auto"/>
              </w:rPr>
            </w:pPr>
            <w:r>
              <w:rPr>
                <w:rFonts w:ascii="Arial" w:cs="Arial" w:eastAsia="Arial" w:hAnsi="Arial"/>
                <w:sz w:val="18"/>
                <w:szCs w:val="18"/>
                <w:b w:val="1"/>
                <w:bCs w:val="1"/>
                <w:color w:val="auto"/>
              </w:rPr>
              <w:t>DATED AS OF</w:t>
            </w: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auto"/>
                <w:w w:val="83"/>
              </w:rPr>
              <w:t>, 2006</w:t>
            </w: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214630</wp:posOffset>
            </wp:positionV>
            <wp:extent cx="12433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210185</wp:posOffset>
            </wp:positionV>
            <wp:extent cx="725043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AND TIE BETWEEN TRUST INDENTURE ACT OF 1939, AS AMENDED,</w:t>
      </w:r>
    </w:p>
    <w:tbl>
      <w:tblPr>
        <w:tblLayout w:type="fixed"/>
        <w:tblInd w:w="0" w:type="dxa"/>
        <w:tblCellMar>
          <w:top w:w="0" w:type="dxa"/>
          <w:left w:w="0" w:type="dxa"/>
          <w:bottom w:w="0" w:type="dxa"/>
          <w:right w:w="0" w:type="dxa"/>
        </w:tblCellMar>
      </w:tblPr>
      <w:tr>
        <w:trPr>
          <w:trHeight w:val="187"/>
        </w:trPr>
        <w:tc>
          <w:tcPr>
            <w:tcW w:w="6480" w:type="dxa"/>
            <w:vAlign w:val="bottom"/>
          </w:tcPr>
          <w:p>
            <w:pPr>
              <w:ind w:left="3720"/>
              <w:spacing w:after="0" w:line="187" w:lineRule="exact"/>
              <w:rPr>
                <w:sz w:val="20"/>
                <w:szCs w:val="20"/>
                <w:color w:val="auto"/>
              </w:rPr>
            </w:pPr>
            <w:r>
              <w:rPr>
                <w:rFonts w:ascii="Arial" w:cs="Arial" w:eastAsia="Arial" w:hAnsi="Arial"/>
                <w:sz w:val="18"/>
                <w:szCs w:val="18"/>
                <w:b w:val="1"/>
                <w:bCs w:val="1"/>
                <w:color w:val="auto"/>
                <w:w w:val="97"/>
              </w:rPr>
              <w:t>AND INDENTURE, DATED AS OF</w:t>
            </w:r>
          </w:p>
        </w:tc>
        <w:tc>
          <w:tcPr>
            <w:tcW w:w="3000" w:type="dxa"/>
            <w:vAlign w:val="bottom"/>
            <w:gridSpan w:val="4"/>
          </w:tcPr>
          <w:p>
            <w:pPr>
              <w:jc w:val="right"/>
              <w:ind w:right="1760"/>
              <w:spacing w:after="0" w:line="187" w:lineRule="exact"/>
              <w:rPr>
                <w:sz w:val="20"/>
                <w:szCs w:val="20"/>
                <w:color w:val="auto"/>
              </w:rPr>
            </w:pPr>
            <w:r>
              <w:rPr>
                <w:rFonts w:ascii="Arial" w:cs="Arial" w:eastAsia="Arial" w:hAnsi="Arial"/>
                <w:sz w:val="18"/>
                <w:szCs w:val="18"/>
                <w:b w:val="1"/>
                <w:bCs w:val="1"/>
                <w:color w:val="auto"/>
              </w:rPr>
              <w:t>, 2006</w:t>
            </w: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92"/>
        </w:trPr>
        <w:tc>
          <w:tcPr>
            <w:tcW w:w="6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TRUST INDENTURE ACT SECTION</w:t>
            </w:r>
          </w:p>
        </w:tc>
        <w:tc>
          <w:tcPr>
            <w:tcW w:w="5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INDENTURE SECTION</w:t>
            </w:r>
          </w:p>
        </w:tc>
      </w:tr>
      <w:tr>
        <w:trPr>
          <w:trHeight w:val="195"/>
        </w:trPr>
        <w:tc>
          <w:tcPr>
            <w:tcW w:w="6480" w:type="dxa"/>
            <w:vAlign w:val="bottom"/>
          </w:tcPr>
          <w:p>
            <w:pPr>
              <w:spacing w:after="0" w:line="195" w:lineRule="exact"/>
              <w:rPr>
                <w:sz w:val="20"/>
                <w:szCs w:val="20"/>
                <w:color w:val="auto"/>
              </w:rPr>
            </w:pPr>
            <w:r>
              <w:rPr>
                <w:rFonts w:ascii="Arial" w:cs="Arial" w:eastAsia="Arial" w:hAnsi="Arial"/>
                <w:sz w:val="18"/>
                <w:szCs w:val="18"/>
                <w:color w:val="auto"/>
              </w:rPr>
              <w:t>Section 310(a)(1)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2"/>
          </w:tcPr>
          <w:p>
            <w:pPr>
              <w:spacing w:after="0"/>
              <w:rPr>
                <w:sz w:val="16"/>
                <w:szCs w:val="16"/>
                <w:color w:val="auto"/>
              </w:rPr>
            </w:pPr>
          </w:p>
        </w:tc>
        <w:tc>
          <w:tcPr>
            <w:tcW w:w="1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6"/>
                <w:szCs w:val="16"/>
                <w:color w:val="auto"/>
              </w:rPr>
            </w:pPr>
          </w:p>
        </w:tc>
      </w:tr>
      <w:tr>
        <w:trPr>
          <w:trHeight w:val="216"/>
        </w:trPr>
        <w:tc>
          <w:tcPr>
            <w:tcW w:w="6480" w:type="dxa"/>
            <w:vAlign w:val="bottom"/>
          </w:tcPr>
          <w:p>
            <w:pPr>
              <w:ind w:left="440"/>
              <w:spacing w:after="0"/>
              <w:rPr>
                <w:sz w:val="20"/>
                <w:szCs w:val="20"/>
                <w:color w:val="auto"/>
              </w:rPr>
            </w:pPr>
            <w:r>
              <w:rPr>
                <w:rFonts w:ascii="Arial" w:cs="Arial" w:eastAsia="Arial" w:hAnsi="Arial"/>
                <w:sz w:val="18"/>
                <w:szCs w:val="18"/>
                <w:color w:val="auto"/>
              </w:rPr>
              <w:t>(a)(2)</w:t>
            </w:r>
          </w:p>
        </w:tc>
        <w:tc>
          <w:tcPr>
            <w:tcW w:w="4960" w:type="dxa"/>
            <w:vAlign w:val="bottom"/>
            <w:gridSpan w:val="7"/>
          </w:tcPr>
          <w:p>
            <w:pPr>
              <w:jc w:val="right"/>
              <w:ind w:right="20"/>
              <w:spacing w:after="0"/>
              <w:rPr>
                <w:sz w:val="20"/>
                <w:szCs w:val="20"/>
                <w:color w:val="auto"/>
              </w:rPr>
            </w:pPr>
            <w:r>
              <w:rPr>
                <w:rFonts w:ascii="Arial" w:cs="Arial" w:eastAsia="Arial" w:hAnsi="Arial"/>
                <w:sz w:val="18"/>
                <w:szCs w:val="18"/>
                <w:color w:val="auto"/>
              </w:rPr>
              <w:t>6.9</w:t>
            </w:r>
          </w:p>
        </w:tc>
      </w:tr>
      <w:tr>
        <w:trPr>
          <w:trHeight w:val="216"/>
        </w:trPr>
        <w:tc>
          <w:tcPr>
            <w:tcW w:w="6480" w:type="dxa"/>
            <w:vAlign w:val="bottom"/>
          </w:tcPr>
          <w:p>
            <w:pPr>
              <w:ind w:left="440"/>
              <w:spacing w:after="0"/>
              <w:rPr>
                <w:sz w:val="20"/>
                <w:szCs w:val="20"/>
                <w:color w:val="auto"/>
              </w:rPr>
            </w:pPr>
            <w:r>
              <w:rPr>
                <w:rFonts w:ascii="Arial" w:cs="Arial" w:eastAsia="Arial" w:hAnsi="Arial"/>
                <w:sz w:val="18"/>
                <w:szCs w:val="18"/>
                <w:color w:val="auto"/>
              </w:rPr>
              <w:t>(a)(3)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Not Applicable</w:t>
            </w:r>
          </w:p>
        </w:tc>
      </w:tr>
      <w:tr>
        <w:trPr>
          <w:trHeight w:val="216"/>
        </w:trPr>
        <w:tc>
          <w:tcPr>
            <w:tcW w:w="6480" w:type="dxa"/>
            <w:vAlign w:val="bottom"/>
          </w:tcPr>
          <w:p>
            <w:pPr>
              <w:ind w:left="440"/>
              <w:spacing w:after="0"/>
              <w:rPr>
                <w:sz w:val="20"/>
                <w:szCs w:val="20"/>
                <w:color w:val="auto"/>
              </w:rPr>
            </w:pPr>
            <w:r>
              <w:rPr>
                <w:rFonts w:ascii="Arial" w:cs="Arial" w:eastAsia="Arial" w:hAnsi="Arial"/>
                <w:sz w:val="18"/>
                <w:szCs w:val="18"/>
                <w:color w:val="auto"/>
              </w:rPr>
              <w:t>(a)(4)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Not Applicable</w:t>
            </w:r>
          </w:p>
        </w:tc>
      </w:tr>
      <w:tr>
        <w:trPr>
          <w:trHeight w:val="216"/>
        </w:trPr>
        <w:tc>
          <w:tcPr>
            <w:tcW w:w="6480" w:type="dxa"/>
            <w:vAlign w:val="bottom"/>
          </w:tcPr>
          <w:p>
            <w:pPr>
              <w:ind w:left="440"/>
              <w:spacing w:after="0"/>
              <w:rPr>
                <w:sz w:val="20"/>
                <w:szCs w:val="20"/>
                <w:color w:val="auto"/>
              </w:rPr>
            </w:pPr>
            <w:r>
              <w:rPr>
                <w:rFonts w:ascii="Arial" w:cs="Arial" w:eastAsia="Arial" w:hAnsi="Arial"/>
                <w:sz w:val="18"/>
                <w:szCs w:val="18"/>
                <w:color w:val="auto"/>
              </w:rPr>
              <w:t>(a)(5)</w:t>
            </w:r>
          </w:p>
        </w:tc>
        <w:tc>
          <w:tcPr>
            <w:tcW w:w="4960" w:type="dxa"/>
            <w:vAlign w:val="bottom"/>
            <w:gridSpan w:val="7"/>
          </w:tcPr>
          <w:p>
            <w:pPr>
              <w:jc w:val="right"/>
              <w:ind w:right="20"/>
              <w:spacing w:after="0"/>
              <w:rPr>
                <w:sz w:val="20"/>
                <w:szCs w:val="20"/>
                <w:color w:val="auto"/>
              </w:rPr>
            </w:pPr>
            <w:r>
              <w:rPr>
                <w:rFonts w:ascii="Arial" w:cs="Arial" w:eastAsia="Arial" w:hAnsi="Arial"/>
                <w:sz w:val="18"/>
                <w:szCs w:val="18"/>
                <w:color w:val="auto"/>
              </w:rPr>
              <w:t>6.9</w:t>
            </w:r>
          </w:p>
        </w:tc>
      </w:tr>
      <w:tr>
        <w:trPr>
          <w:trHeight w:val="222"/>
        </w:trPr>
        <w:tc>
          <w:tcPr>
            <w:tcW w:w="6480" w:type="dxa"/>
            <w:vAlign w:val="bottom"/>
          </w:tcPr>
          <w:p>
            <w:pPr>
              <w:jc w:val="center"/>
              <w:ind w:right="5313"/>
              <w:spacing w:after="0"/>
              <w:rPr>
                <w:sz w:val="20"/>
                <w:szCs w:val="20"/>
                <w:color w:val="auto"/>
              </w:rPr>
            </w:pPr>
            <w:r>
              <w:rPr>
                <w:rFonts w:ascii="Arial" w:cs="Arial" w:eastAsia="Arial" w:hAnsi="Arial"/>
                <w:sz w:val="18"/>
                <w:szCs w:val="18"/>
                <w:color w:val="auto"/>
                <w:w w:val="90"/>
              </w:rPr>
              <w:t>(b)</w:t>
            </w:r>
          </w:p>
        </w:tc>
        <w:tc>
          <w:tcPr>
            <w:tcW w:w="4960" w:type="dxa"/>
            <w:vAlign w:val="bottom"/>
            <w:gridSpan w:val="7"/>
          </w:tcPr>
          <w:p>
            <w:pPr>
              <w:jc w:val="right"/>
              <w:ind w:right="20"/>
              <w:spacing w:after="0"/>
              <w:rPr>
                <w:sz w:val="20"/>
                <w:szCs w:val="20"/>
                <w:color w:val="auto"/>
              </w:rPr>
            </w:pPr>
            <w:r>
              <w:rPr>
                <w:rFonts w:ascii="Arial" w:cs="Arial" w:eastAsia="Arial" w:hAnsi="Arial"/>
                <w:sz w:val="18"/>
                <w:szCs w:val="18"/>
                <w:color w:val="auto"/>
              </w:rPr>
              <w:t>6.8</w:t>
            </w:r>
          </w:p>
        </w:tc>
      </w:tr>
      <w:tr>
        <w:trPr>
          <w:trHeight w:val="324"/>
        </w:trPr>
        <w:tc>
          <w:tcPr>
            <w:tcW w:w="6480" w:type="dxa"/>
            <w:vAlign w:val="bottom"/>
          </w:tcPr>
          <w:p>
            <w:pPr>
              <w:spacing w:after="0"/>
              <w:rPr>
                <w:sz w:val="20"/>
                <w:szCs w:val="20"/>
                <w:color w:val="auto"/>
              </w:rPr>
            </w:pPr>
            <w:r>
              <w:rPr>
                <w:rFonts w:ascii="Arial" w:cs="Arial" w:eastAsia="Arial" w:hAnsi="Arial"/>
                <w:sz w:val="18"/>
                <w:szCs w:val="18"/>
                <w:color w:val="auto"/>
              </w:rPr>
              <w:t>Section 311</w:t>
            </w:r>
          </w:p>
        </w:tc>
        <w:tc>
          <w:tcPr>
            <w:tcW w:w="4960" w:type="dxa"/>
            <w:vAlign w:val="bottom"/>
            <w:gridSpan w:val="7"/>
          </w:tcPr>
          <w:p>
            <w:pPr>
              <w:jc w:val="right"/>
              <w:ind w:right="20"/>
              <w:spacing w:after="0"/>
              <w:rPr>
                <w:sz w:val="20"/>
                <w:szCs w:val="20"/>
                <w:color w:val="auto"/>
              </w:rPr>
            </w:pPr>
            <w:r>
              <w:rPr>
                <w:rFonts w:ascii="Arial" w:cs="Arial" w:eastAsia="Arial" w:hAnsi="Arial"/>
                <w:sz w:val="18"/>
                <w:szCs w:val="18"/>
                <w:color w:val="auto"/>
              </w:rPr>
              <w:t>6.13</w:t>
            </w:r>
          </w:p>
        </w:tc>
      </w:tr>
      <w:tr>
        <w:trPr>
          <w:trHeight w:val="318"/>
        </w:trPr>
        <w:tc>
          <w:tcPr>
            <w:tcW w:w="6480" w:type="dxa"/>
            <w:vAlign w:val="bottom"/>
          </w:tcPr>
          <w:p>
            <w:pPr>
              <w:jc w:val="center"/>
              <w:ind w:right="5353"/>
              <w:spacing w:after="0"/>
              <w:rPr>
                <w:sz w:val="20"/>
                <w:szCs w:val="20"/>
                <w:color w:val="auto"/>
              </w:rPr>
            </w:pPr>
            <w:r>
              <w:rPr>
                <w:rFonts w:ascii="Arial" w:cs="Arial" w:eastAsia="Arial" w:hAnsi="Arial"/>
                <w:sz w:val="18"/>
                <w:szCs w:val="18"/>
                <w:color w:val="auto"/>
                <w:w w:val="88"/>
              </w:rPr>
              <w:t>Section 312(a)</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7.1, 7.2(a)</w:t>
            </w:r>
          </w:p>
        </w:tc>
      </w:tr>
      <w:tr>
        <w:trPr>
          <w:trHeight w:val="216"/>
        </w:trPr>
        <w:tc>
          <w:tcPr>
            <w:tcW w:w="6480" w:type="dxa"/>
            <w:vAlign w:val="bottom"/>
          </w:tcPr>
          <w:p>
            <w:pPr>
              <w:jc w:val="center"/>
              <w:ind w:right="5313"/>
              <w:spacing w:after="0"/>
              <w:rPr>
                <w:sz w:val="20"/>
                <w:szCs w:val="20"/>
                <w:color w:val="auto"/>
              </w:rPr>
            </w:pPr>
            <w:r>
              <w:rPr>
                <w:rFonts w:ascii="Arial" w:cs="Arial" w:eastAsia="Arial" w:hAnsi="Arial"/>
                <w:sz w:val="18"/>
                <w:szCs w:val="18"/>
                <w:color w:val="auto"/>
                <w:w w:val="90"/>
              </w:rPr>
              <w:t>(b)</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7.2(b)</w:t>
            </w:r>
          </w:p>
        </w:tc>
      </w:tr>
      <w:tr>
        <w:trPr>
          <w:trHeight w:val="222"/>
        </w:trPr>
        <w:tc>
          <w:tcPr>
            <w:tcW w:w="6480" w:type="dxa"/>
            <w:vAlign w:val="bottom"/>
          </w:tcPr>
          <w:p>
            <w:pPr>
              <w:jc w:val="center"/>
              <w:ind w:right="5313"/>
              <w:spacing w:after="0"/>
              <w:rPr>
                <w:sz w:val="20"/>
                <w:szCs w:val="20"/>
                <w:color w:val="auto"/>
              </w:rPr>
            </w:pPr>
            <w:r>
              <w:rPr>
                <w:rFonts w:ascii="Arial" w:cs="Arial" w:eastAsia="Arial" w:hAnsi="Arial"/>
                <w:sz w:val="18"/>
                <w:szCs w:val="18"/>
                <w:color w:val="auto"/>
                <w:w w:val="95"/>
              </w:rPr>
              <w:t>(c)</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7.2(c)</w:t>
            </w:r>
          </w:p>
        </w:tc>
      </w:tr>
      <w:tr>
        <w:trPr>
          <w:trHeight w:val="318"/>
        </w:trPr>
        <w:tc>
          <w:tcPr>
            <w:tcW w:w="6480" w:type="dxa"/>
            <w:vAlign w:val="bottom"/>
          </w:tcPr>
          <w:p>
            <w:pPr>
              <w:jc w:val="center"/>
              <w:ind w:right="5353"/>
              <w:spacing w:after="0"/>
              <w:rPr>
                <w:sz w:val="20"/>
                <w:szCs w:val="20"/>
                <w:color w:val="auto"/>
              </w:rPr>
            </w:pPr>
            <w:r>
              <w:rPr>
                <w:rFonts w:ascii="Arial" w:cs="Arial" w:eastAsia="Arial" w:hAnsi="Arial"/>
                <w:sz w:val="18"/>
                <w:szCs w:val="18"/>
                <w:color w:val="auto"/>
                <w:w w:val="88"/>
              </w:rPr>
              <w:t>Section 313(a)</w:t>
            </w:r>
          </w:p>
        </w:tc>
        <w:tc>
          <w:tcPr>
            <w:tcW w:w="4960" w:type="dxa"/>
            <w:vAlign w:val="bottom"/>
            <w:gridSpan w:val="7"/>
          </w:tcPr>
          <w:p>
            <w:pPr>
              <w:jc w:val="right"/>
              <w:ind w:right="20"/>
              <w:spacing w:after="0"/>
              <w:rPr>
                <w:sz w:val="20"/>
                <w:szCs w:val="20"/>
                <w:color w:val="auto"/>
              </w:rPr>
            </w:pPr>
            <w:r>
              <w:rPr>
                <w:rFonts w:ascii="Arial" w:cs="Arial" w:eastAsia="Arial" w:hAnsi="Arial"/>
                <w:sz w:val="18"/>
                <w:szCs w:val="18"/>
                <w:color w:val="auto"/>
              </w:rPr>
              <w:t>7.3</w:t>
            </w:r>
          </w:p>
        </w:tc>
      </w:tr>
      <w:tr>
        <w:trPr>
          <w:trHeight w:val="216"/>
        </w:trPr>
        <w:tc>
          <w:tcPr>
            <w:tcW w:w="6480" w:type="dxa"/>
            <w:vAlign w:val="bottom"/>
          </w:tcPr>
          <w:p>
            <w:pPr>
              <w:jc w:val="center"/>
              <w:ind w:right="5313"/>
              <w:spacing w:after="0"/>
              <w:rPr>
                <w:sz w:val="20"/>
                <w:szCs w:val="20"/>
                <w:color w:val="auto"/>
              </w:rPr>
            </w:pPr>
            <w:r>
              <w:rPr>
                <w:rFonts w:ascii="Arial" w:cs="Arial" w:eastAsia="Arial" w:hAnsi="Arial"/>
                <w:sz w:val="18"/>
                <w:szCs w:val="18"/>
                <w:color w:val="auto"/>
                <w:w w:val="90"/>
              </w:rPr>
              <w:t>(b)</w:t>
            </w:r>
          </w:p>
        </w:tc>
        <w:tc>
          <w:tcPr>
            <w:tcW w:w="4960" w:type="dxa"/>
            <w:vAlign w:val="bottom"/>
            <w:gridSpan w:val="7"/>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tcPr>
          <w:p>
            <w:pPr>
              <w:jc w:val="center"/>
              <w:ind w:right="5313"/>
              <w:spacing w:after="0"/>
              <w:rPr>
                <w:sz w:val="20"/>
                <w:szCs w:val="20"/>
                <w:color w:val="auto"/>
              </w:rPr>
            </w:pPr>
            <w:r>
              <w:rPr>
                <w:rFonts w:ascii="Arial" w:cs="Arial" w:eastAsia="Arial" w:hAnsi="Arial"/>
                <w:sz w:val="18"/>
                <w:szCs w:val="18"/>
                <w:color w:val="auto"/>
                <w:w w:val="95"/>
              </w:rPr>
              <w:t>(c)</w:t>
            </w:r>
          </w:p>
        </w:tc>
        <w:tc>
          <w:tcPr>
            <w:tcW w:w="4960" w:type="dxa"/>
            <w:vAlign w:val="bottom"/>
            <w:gridSpan w:val="7"/>
          </w:tcPr>
          <w:p>
            <w:pPr>
              <w:jc w:val="right"/>
              <w:ind w:right="20"/>
              <w:spacing w:after="0"/>
              <w:rPr>
                <w:sz w:val="20"/>
                <w:szCs w:val="20"/>
                <w:color w:val="auto"/>
              </w:rPr>
            </w:pPr>
            <w:r>
              <w:rPr>
                <w:rFonts w:ascii="Arial" w:cs="Arial" w:eastAsia="Arial" w:hAnsi="Arial"/>
                <w:sz w:val="18"/>
                <w:szCs w:val="18"/>
                <w:color w:val="auto"/>
              </w:rPr>
              <w:t>*</w:t>
            </w:r>
          </w:p>
        </w:tc>
      </w:tr>
      <w:tr>
        <w:trPr>
          <w:trHeight w:val="222"/>
        </w:trPr>
        <w:tc>
          <w:tcPr>
            <w:tcW w:w="6480" w:type="dxa"/>
            <w:vAlign w:val="bottom"/>
          </w:tcPr>
          <w:p>
            <w:pPr>
              <w:jc w:val="center"/>
              <w:ind w:right="5313"/>
              <w:spacing w:after="0"/>
              <w:rPr>
                <w:sz w:val="20"/>
                <w:szCs w:val="20"/>
                <w:color w:val="auto"/>
              </w:rPr>
            </w:pPr>
            <w:r>
              <w:rPr>
                <w:rFonts w:ascii="Arial" w:cs="Arial" w:eastAsia="Arial" w:hAnsi="Arial"/>
                <w:sz w:val="18"/>
                <w:szCs w:val="18"/>
                <w:color w:val="auto"/>
                <w:w w:val="90"/>
              </w:rPr>
              <w:t>(d)</w:t>
            </w:r>
          </w:p>
        </w:tc>
        <w:tc>
          <w:tcPr>
            <w:tcW w:w="4960" w:type="dxa"/>
            <w:vAlign w:val="bottom"/>
            <w:gridSpan w:val="7"/>
          </w:tcPr>
          <w:p>
            <w:pPr>
              <w:jc w:val="right"/>
              <w:ind w:right="20"/>
              <w:spacing w:after="0"/>
              <w:rPr>
                <w:sz w:val="20"/>
                <w:szCs w:val="20"/>
                <w:color w:val="auto"/>
              </w:rPr>
            </w:pPr>
            <w:r>
              <w:rPr>
                <w:rFonts w:ascii="Arial" w:cs="Arial" w:eastAsia="Arial" w:hAnsi="Arial"/>
                <w:sz w:val="18"/>
                <w:szCs w:val="18"/>
                <w:color w:val="auto"/>
              </w:rPr>
              <w:t>7.3</w:t>
            </w:r>
          </w:p>
        </w:tc>
      </w:tr>
      <w:tr>
        <w:trPr>
          <w:trHeight w:val="318"/>
        </w:trPr>
        <w:tc>
          <w:tcPr>
            <w:tcW w:w="6480" w:type="dxa"/>
            <w:vAlign w:val="bottom"/>
          </w:tcPr>
          <w:p>
            <w:pPr>
              <w:jc w:val="center"/>
              <w:ind w:right="5353"/>
              <w:spacing w:after="0"/>
              <w:rPr>
                <w:sz w:val="20"/>
                <w:szCs w:val="20"/>
                <w:color w:val="auto"/>
              </w:rPr>
            </w:pPr>
            <w:r>
              <w:rPr>
                <w:rFonts w:ascii="Arial" w:cs="Arial" w:eastAsia="Arial" w:hAnsi="Arial"/>
                <w:sz w:val="18"/>
                <w:szCs w:val="18"/>
                <w:color w:val="auto"/>
                <w:w w:val="88"/>
              </w:rPr>
              <w:t>Section 314(a)</w:t>
            </w:r>
          </w:p>
        </w:tc>
        <w:tc>
          <w:tcPr>
            <w:tcW w:w="4960" w:type="dxa"/>
            <w:vAlign w:val="bottom"/>
            <w:gridSpan w:val="7"/>
          </w:tcPr>
          <w:p>
            <w:pPr>
              <w:jc w:val="right"/>
              <w:ind w:right="20"/>
              <w:spacing w:after="0"/>
              <w:rPr>
                <w:sz w:val="20"/>
                <w:szCs w:val="20"/>
                <w:color w:val="auto"/>
              </w:rPr>
            </w:pPr>
            <w:r>
              <w:rPr>
                <w:rFonts w:ascii="Arial" w:cs="Arial" w:eastAsia="Arial" w:hAnsi="Arial"/>
                <w:sz w:val="18"/>
                <w:szCs w:val="18"/>
                <w:color w:val="auto"/>
              </w:rPr>
              <w:t>7.4</w:t>
            </w:r>
          </w:p>
        </w:tc>
      </w:tr>
      <w:tr>
        <w:trPr>
          <w:trHeight w:val="216"/>
        </w:trPr>
        <w:tc>
          <w:tcPr>
            <w:tcW w:w="6480" w:type="dxa"/>
            <w:vAlign w:val="bottom"/>
          </w:tcPr>
          <w:p>
            <w:pPr>
              <w:ind w:left="440"/>
              <w:spacing w:after="0"/>
              <w:rPr>
                <w:sz w:val="20"/>
                <w:szCs w:val="20"/>
                <w:color w:val="auto"/>
              </w:rPr>
            </w:pPr>
            <w:r>
              <w:rPr>
                <w:rFonts w:ascii="Arial" w:cs="Arial" w:eastAsia="Arial" w:hAnsi="Arial"/>
                <w:sz w:val="18"/>
                <w:szCs w:val="18"/>
                <w:color w:val="auto"/>
              </w:rPr>
              <w:t>(a)(4)</w:t>
            </w:r>
          </w:p>
        </w:tc>
        <w:tc>
          <w:tcPr>
            <w:tcW w:w="4960" w:type="dxa"/>
            <w:vAlign w:val="bottom"/>
            <w:gridSpan w:val="7"/>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6480" w:type="dxa"/>
            <w:vAlign w:val="bottom"/>
          </w:tcPr>
          <w:p>
            <w:pPr>
              <w:jc w:val="center"/>
              <w:ind w:right="5313"/>
              <w:spacing w:after="0"/>
              <w:rPr>
                <w:sz w:val="20"/>
                <w:szCs w:val="20"/>
                <w:color w:val="auto"/>
              </w:rPr>
            </w:pPr>
            <w:r>
              <w:rPr>
                <w:rFonts w:ascii="Arial" w:cs="Arial" w:eastAsia="Arial" w:hAnsi="Arial"/>
                <w:sz w:val="18"/>
                <w:szCs w:val="18"/>
                <w:color w:val="auto"/>
                <w:w w:val="90"/>
              </w:rPr>
              <w:t>(b)</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Not Applicable</w:t>
            </w:r>
          </w:p>
        </w:tc>
      </w:tr>
      <w:tr>
        <w:trPr>
          <w:trHeight w:val="216"/>
        </w:trPr>
        <w:tc>
          <w:tcPr>
            <w:tcW w:w="6480" w:type="dxa"/>
            <w:vAlign w:val="bottom"/>
          </w:tcPr>
          <w:p>
            <w:pPr>
              <w:ind w:left="440"/>
              <w:spacing w:after="0"/>
              <w:rPr>
                <w:sz w:val="20"/>
                <w:szCs w:val="20"/>
                <w:color w:val="auto"/>
              </w:rPr>
            </w:pPr>
            <w:r>
              <w:rPr>
                <w:rFonts w:ascii="Arial" w:cs="Arial" w:eastAsia="Arial" w:hAnsi="Arial"/>
                <w:sz w:val="18"/>
                <w:szCs w:val="18"/>
                <w:color w:val="auto"/>
              </w:rPr>
              <w:t>(c)(1)</w:t>
            </w:r>
          </w:p>
        </w:tc>
        <w:tc>
          <w:tcPr>
            <w:tcW w:w="4960" w:type="dxa"/>
            <w:vAlign w:val="bottom"/>
            <w:gridSpan w:val="7"/>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6480" w:type="dxa"/>
            <w:vAlign w:val="bottom"/>
          </w:tcPr>
          <w:p>
            <w:pPr>
              <w:ind w:left="440"/>
              <w:spacing w:after="0"/>
              <w:rPr>
                <w:sz w:val="20"/>
                <w:szCs w:val="20"/>
                <w:color w:val="auto"/>
              </w:rPr>
            </w:pPr>
            <w:r>
              <w:rPr>
                <w:rFonts w:ascii="Arial" w:cs="Arial" w:eastAsia="Arial" w:hAnsi="Arial"/>
                <w:sz w:val="18"/>
                <w:szCs w:val="18"/>
                <w:color w:val="auto"/>
              </w:rPr>
              <w:t>(c)(2)</w:t>
            </w:r>
          </w:p>
        </w:tc>
        <w:tc>
          <w:tcPr>
            <w:tcW w:w="4960" w:type="dxa"/>
            <w:vAlign w:val="bottom"/>
            <w:gridSpan w:val="7"/>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6480" w:type="dxa"/>
            <w:vAlign w:val="bottom"/>
          </w:tcPr>
          <w:p>
            <w:pPr>
              <w:ind w:left="440"/>
              <w:spacing w:after="0"/>
              <w:rPr>
                <w:sz w:val="20"/>
                <w:szCs w:val="20"/>
                <w:color w:val="auto"/>
              </w:rPr>
            </w:pPr>
            <w:r>
              <w:rPr>
                <w:rFonts w:ascii="Arial" w:cs="Arial" w:eastAsia="Arial" w:hAnsi="Arial"/>
                <w:sz w:val="18"/>
                <w:szCs w:val="18"/>
                <w:color w:val="auto"/>
              </w:rPr>
              <w:t>(c)(3)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Not Applicable</w:t>
            </w:r>
          </w:p>
        </w:tc>
      </w:tr>
      <w:tr>
        <w:trPr>
          <w:trHeight w:val="216"/>
        </w:trPr>
        <w:tc>
          <w:tcPr>
            <w:tcW w:w="6480" w:type="dxa"/>
            <w:vAlign w:val="bottom"/>
          </w:tcPr>
          <w:p>
            <w:pPr>
              <w:jc w:val="center"/>
              <w:ind w:right="5313"/>
              <w:spacing w:after="0"/>
              <w:rPr>
                <w:sz w:val="20"/>
                <w:szCs w:val="20"/>
                <w:color w:val="auto"/>
              </w:rPr>
            </w:pPr>
            <w:r>
              <w:rPr>
                <w:rFonts w:ascii="Arial" w:cs="Arial" w:eastAsia="Arial" w:hAnsi="Arial"/>
                <w:sz w:val="18"/>
                <w:szCs w:val="18"/>
                <w:color w:val="auto"/>
                <w:w w:val="90"/>
              </w:rPr>
              <w:t>(d)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Not Applicable</w:t>
            </w:r>
          </w:p>
        </w:tc>
      </w:tr>
      <w:tr>
        <w:trPr>
          <w:trHeight w:val="222"/>
        </w:trPr>
        <w:tc>
          <w:tcPr>
            <w:tcW w:w="6480" w:type="dxa"/>
            <w:vAlign w:val="bottom"/>
          </w:tcPr>
          <w:p>
            <w:pPr>
              <w:jc w:val="center"/>
              <w:ind w:right="5313"/>
              <w:spacing w:after="0"/>
              <w:rPr>
                <w:sz w:val="20"/>
                <w:szCs w:val="20"/>
                <w:color w:val="auto"/>
              </w:rPr>
            </w:pPr>
            <w:r>
              <w:rPr>
                <w:rFonts w:ascii="Arial" w:cs="Arial" w:eastAsia="Arial" w:hAnsi="Arial"/>
                <w:sz w:val="18"/>
                <w:szCs w:val="18"/>
                <w:color w:val="auto"/>
                <w:w w:val="90"/>
              </w:rPr>
              <w:t>(e)</w:t>
            </w:r>
          </w:p>
        </w:tc>
        <w:tc>
          <w:tcPr>
            <w:tcW w:w="4960" w:type="dxa"/>
            <w:vAlign w:val="bottom"/>
            <w:gridSpan w:val="7"/>
          </w:tcPr>
          <w:p>
            <w:pPr>
              <w:jc w:val="right"/>
              <w:ind w:right="20"/>
              <w:spacing w:after="0"/>
              <w:rPr>
                <w:sz w:val="20"/>
                <w:szCs w:val="20"/>
                <w:color w:val="auto"/>
              </w:rPr>
            </w:pPr>
            <w:r>
              <w:rPr>
                <w:rFonts w:ascii="Arial" w:cs="Arial" w:eastAsia="Arial" w:hAnsi="Arial"/>
                <w:sz w:val="18"/>
                <w:szCs w:val="18"/>
                <w:color w:val="auto"/>
              </w:rPr>
              <w:t>1.3</w:t>
            </w:r>
          </w:p>
        </w:tc>
      </w:tr>
      <w:tr>
        <w:trPr>
          <w:trHeight w:val="318"/>
        </w:trPr>
        <w:tc>
          <w:tcPr>
            <w:tcW w:w="6480" w:type="dxa"/>
            <w:vAlign w:val="bottom"/>
          </w:tcPr>
          <w:p>
            <w:pPr>
              <w:jc w:val="center"/>
              <w:ind w:right="5353"/>
              <w:spacing w:after="0"/>
              <w:rPr>
                <w:sz w:val="20"/>
                <w:szCs w:val="20"/>
                <w:color w:val="auto"/>
              </w:rPr>
            </w:pPr>
            <w:r>
              <w:rPr>
                <w:rFonts w:ascii="Arial" w:cs="Arial" w:eastAsia="Arial" w:hAnsi="Arial"/>
                <w:sz w:val="18"/>
                <w:szCs w:val="18"/>
                <w:color w:val="auto"/>
                <w:w w:val="88"/>
              </w:rPr>
              <w:t>Section 315(a)</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6.1(a)</w:t>
            </w:r>
          </w:p>
        </w:tc>
      </w:tr>
      <w:tr>
        <w:trPr>
          <w:trHeight w:val="216"/>
        </w:trPr>
        <w:tc>
          <w:tcPr>
            <w:tcW w:w="6480" w:type="dxa"/>
            <w:vAlign w:val="bottom"/>
          </w:tcPr>
          <w:p>
            <w:pPr>
              <w:jc w:val="center"/>
              <w:ind w:right="5313"/>
              <w:spacing w:after="0"/>
              <w:rPr>
                <w:sz w:val="20"/>
                <w:szCs w:val="20"/>
                <w:color w:val="auto"/>
              </w:rPr>
            </w:pPr>
            <w:r>
              <w:rPr>
                <w:rFonts w:ascii="Arial" w:cs="Arial" w:eastAsia="Arial" w:hAnsi="Arial"/>
                <w:sz w:val="18"/>
                <w:szCs w:val="18"/>
                <w:color w:val="auto"/>
                <w:w w:val="90"/>
              </w:rPr>
              <w:t>(b)</w:t>
            </w:r>
          </w:p>
        </w:tc>
        <w:tc>
          <w:tcPr>
            <w:tcW w:w="4960" w:type="dxa"/>
            <w:vAlign w:val="bottom"/>
            <w:gridSpan w:val="7"/>
          </w:tcPr>
          <w:p>
            <w:pPr>
              <w:jc w:val="right"/>
              <w:ind w:right="20"/>
              <w:spacing w:after="0"/>
              <w:rPr>
                <w:sz w:val="20"/>
                <w:szCs w:val="20"/>
                <w:color w:val="auto"/>
              </w:rPr>
            </w:pPr>
            <w:r>
              <w:rPr>
                <w:rFonts w:ascii="Arial" w:cs="Arial" w:eastAsia="Arial" w:hAnsi="Arial"/>
                <w:sz w:val="18"/>
                <w:szCs w:val="18"/>
                <w:color w:val="auto"/>
              </w:rPr>
              <w:t>6.2</w:t>
            </w:r>
          </w:p>
        </w:tc>
      </w:tr>
      <w:tr>
        <w:trPr>
          <w:trHeight w:val="216"/>
        </w:trPr>
        <w:tc>
          <w:tcPr>
            <w:tcW w:w="6480" w:type="dxa"/>
            <w:vAlign w:val="bottom"/>
          </w:tcPr>
          <w:p>
            <w:pPr>
              <w:jc w:val="center"/>
              <w:ind w:right="5313"/>
              <w:spacing w:after="0"/>
              <w:rPr>
                <w:sz w:val="20"/>
                <w:szCs w:val="20"/>
                <w:color w:val="auto"/>
              </w:rPr>
            </w:pPr>
            <w:r>
              <w:rPr>
                <w:rFonts w:ascii="Arial" w:cs="Arial" w:eastAsia="Arial" w:hAnsi="Arial"/>
                <w:sz w:val="18"/>
                <w:szCs w:val="18"/>
                <w:color w:val="auto"/>
                <w:w w:val="95"/>
              </w:rPr>
              <w:t>(c)</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6.1(b)</w:t>
            </w:r>
          </w:p>
        </w:tc>
      </w:tr>
      <w:tr>
        <w:trPr>
          <w:trHeight w:val="216"/>
        </w:trPr>
        <w:tc>
          <w:tcPr>
            <w:tcW w:w="6480" w:type="dxa"/>
            <w:vAlign w:val="bottom"/>
          </w:tcPr>
          <w:p>
            <w:pPr>
              <w:jc w:val="center"/>
              <w:ind w:right="5313"/>
              <w:spacing w:after="0"/>
              <w:rPr>
                <w:sz w:val="20"/>
                <w:szCs w:val="20"/>
                <w:color w:val="auto"/>
              </w:rPr>
            </w:pPr>
            <w:r>
              <w:rPr>
                <w:rFonts w:ascii="Arial" w:cs="Arial" w:eastAsia="Arial" w:hAnsi="Arial"/>
                <w:sz w:val="18"/>
                <w:szCs w:val="18"/>
                <w:color w:val="auto"/>
                <w:w w:val="90"/>
              </w:rPr>
              <w:t>(d)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6.1(c)</w:t>
            </w:r>
          </w:p>
        </w:tc>
      </w:tr>
      <w:tr>
        <w:trPr>
          <w:trHeight w:val="216"/>
        </w:trPr>
        <w:tc>
          <w:tcPr>
            <w:tcW w:w="6480" w:type="dxa"/>
            <w:vAlign w:val="bottom"/>
          </w:tcPr>
          <w:p>
            <w:pPr>
              <w:ind w:left="440"/>
              <w:spacing w:after="0"/>
              <w:rPr>
                <w:sz w:val="20"/>
                <w:szCs w:val="20"/>
                <w:color w:val="auto"/>
              </w:rPr>
            </w:pPr>
            <w:r>
              <w:rPr>
                <w:rFonts w:ascii="Arial" w:cs="Arial" w:eastAsia="Arial" w:hAnsi="Arial"/>
                <w:sz w:val="18"/>
                <w:szCs w:val="18"/>
                <w:color w:val="auto"/>
              </w:rPr>
              <w:t>(d)(1)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6.1(a)(1)</w:t>
            </w:r>
          </w:p>
        </w:tc>
      </w:tr>
      <w:tr>
        <w:trPr>
          <w:trHeight w:val="216"/>
        </w:trPr>
        <w:tc>
          <w:tcPr>
            <w:tcW w:w="6480" w:type="dxa"/>
            <w:vAlign w:val="bottom"/>
          </w:tcPr>
          <w:p>
            <w:pPr>
              <w:ind w:left="440"/>
              <w:spacing w:after="0"/>
              <w:rPr>
                <w:sz w:val="20"/>
                <w:szCs w:val="20"/>
                <w:color w:val="auto"/>
              </w:rPr>
            </w:pPr>
            <w:r>
              <w:rPr>
                <w:rFonts w:ascii="Arial" w:cs="Arial" w:eastAsia="Arial" w:hAnsi="Arial"/>
                <w:sz w:val="18"/>
                <w:szCs w:val="18"/>
                <w:color w:val="auto"/>
              </w:rPr>
              <w:t>(d)(2)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6.1(c)(2)</w:t>
            </w:r>
          </w:p>
        </w:tc>
      </w:tr>
      <w:tr>
        <w:trPr>
          <w:trHeight w:val="216"/>
        </w:trPr>
        <w:tc>
          <w:tcPr>
            <w:tcW w:w="6480" w:type="dxa"/>
            <w:vAlign w:val="bottom"/>
          </w:tcPr>
          <w:p>
            <w:pPr>
              <w:ind w:left="440"/>
              <w:spacing w:after="0"/>
              <w:rPr>
                <w:sz w:val="20"/>
                <w:szCs w:val="20"/>
                <w:color w:val="auto"/>
              </w:rPr>
            </w:pPr>
            <w:r>
              <w:rPr>
                <w:rFonts w:ascii="Arial" w:cs="Arial" w:eastAsia="Arial" w:hAnsi="Arial"/>
                <w:sz w:val="18"/>
                <w:szCs w:val="18"/>
                <w:color w:val="auto"/>
              </w:rPr>
              <w:t>(d)(3)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6.1(c)(3)</w:t>
            </w:r>
          </w:p>
        </w:tc>
      </w:tr>
      <w:tr>
        <w:trPr>
          <w:trHeight w:val="222"/>
        </w:trPr>
        <w:tc>
          <w:tcPr>
            <w:tcW w:w="6480" w:type="dxa"/>
            <w:vAlign w:val="bottom"/>
          </w:tcPr>
          <w:p>
            <w:pPr>
              <w:jc w:val="center"/>
              <w:ind w:right="5313"/>
              <w:spacing w:after="0"/>
              <w:rPr>
                <w:sz w:val="20"/>
                <w:szCs w:val="20"/>
                <w:color w:val="auto"/>
              </w:rPr>
            </w:pPr>
            <w:r>
              <w:rPr>
                <w:rFonts w:ascii="Arial" w:cs="Arial" w:eastAsia="Arial" w:hAnsi="Arial"/>
                <w:sz w:val="18"/>
                <w:szCs w:val="18"/>
                <w:color w:val="auto"/>
                <w:w w:val="90"/>
              </w:rPr>
              <w:t>(e)</w:t>
            </w:r>
          </w:p>
        </w:tc>
        <w:tc>
          <w:tcPr>
            <w:tcW w:w="4960" w:type="dxa"/>
            <w:vAlign w:val="bottom"/>
            <w:gridSpan w:val="7"/>
          </w:tcPr>
          <w:p>
            <w:pPr>
              <w:jc w:val="right"/>
              <w:ind w:right="20"/>
              <w:spacing w:after="0"/>
              <w:rPr>
                <w:sz w:val="20"/>
                <w:szCs w:val="20"/>
                <w:color w:val="auto"/>
              </w:rPr>
            </w:pPr>
            <w:r>
              <w:rPr>
                <w:rFonts w:ascii="Arial" w:cs="Arial" w:eastAsia="Arial" w:hAnsi="Arial"/>
                <w:sz w:val="18"/>
                <w:szCs w:val="18"/>
                <w:color w:val="auto"/>
              </w:rPr>
              <w:t>5.14</w:t>
            </w:r>
          </w:p>
        </w:tc>
      </w:tr>
      <w:tr>
        <w:trPr>
          <w:trHeight w:val="318"/>
        </w:trPr>
        <w:tc>
          <w:tcPr>
            <w:tcW w:w="6480" w:type="dxa"/>
            <w:vAlign w:val="bottom"/>
          </w:tcPr>
          <w:p>
            <w:pPr>
              <w:jc w:val="center"/>
              <w:ind w:right="5353"/>
              <w:spacing w:after="0"/>
              <w:rPr>
                <w:sz w:val="20"/>
                <w:szCs w:val="20"/>
                <w:color w:val="auto"/>
              </w:rPr>
            </w:pPr>
            <w:r>
              <w:rPr>
                <w:rFonts w:ascii="Arial" w:cs="Arial" w:eastAsia="Arial" w:hAnsi="Arial"/>
                <w:sz w:val="18"/>
                <w:szCs w:val="18"/>
                <w:color w:val="auto"/>
                <w:w w:val="88"/>
              </w:rPr>
              <w:t>Section 316(a)</w:t>
            </w:r>
          </w:p>
        </w:tc>
        <w:tc>
          <w:tcPr>
            <w:tcW w:w="4960" w:type="dxa"/>
            <w:vAlign w:val="bottom"/>
            <w:gridSpan w:val="7"/>
          </w:tcPr>
          <w:p>
            <w:pPr>
              <w:jc w:val="right"/>
              <w:ind w:right="20"/>
              <w:spacing w:after="0"/>
              <w:rPr>
                <w:sz w:val="20"/>
                <w:szCs w:val="20"/>
                <w:color w:val="auto"/>
              </w:rPr>
            </w:pPr>
            <w:r>
              <w:rPr>
                <w:rFonts w:ascii="Arial" w:cs="Arial" w:eastAsia="Arial" w:hAnsi="Arial"/>
                <w:sz w:val="18"/>
                <w:szCs w:val="18"/>
                <w:color w:val="auto"/>
              </w:rPr>
              <w:t>1.1, 1.2</w:t>
            </w:r>
          </w:p>
        </w:tc>
      </w:tr>
      <w:tr>
        <w:trPr>
          <w:trHeight w:val="216"/>
        </w:trPr>
        <w:tc>
          <w:tcPr>
            <w:tcW w:w="6480" w:type="dxa"/>
            <w:vAlign w:val="bottom"/>
          </w:tcPr>
          <w:p>
            <w:pPr>
              <w:ind w:left="440"/>
              <w:spacing w:after="0"/>
              <w:rPr>
                <w:sz w:val="20"/>
                <w:szCs w:val="20"/>
                <w:color w:val="auto"/>
              </w:rPr>
            </w:pPr>
            <w:r>
              <w:rPr>
                <w:rFonts w:ascii="Arial" w:cs="Arial" w:eastAsia="Arial" w:hAnsi="Arial"/>
                <w:sz w:val="18"/>
                <w:szCs w:val="18"/>
                <w:color w:val="auto"/>
              </w:rPr>
              <w:t>(a)(1)(A)</w:t>
            </w:r>
          </w:p>
        </w:tc>
        <w:tc>
          <w:tcPr>
            <w:tcW w:w="4960" w:type="dxa"/>
            <w:vAlign w:val="bottom"/>
            <w:gridSpan w:val="7"/>
          </w:tcPr>
          <w:p>
            <w:pPr>
              <w:jc w:val="right"/>
              <w:ind w:right="20"/>
              <w:spacing w:after="0"/>
              <w:rPr>
                <w:sz w:val="20"/>
                <w:szCs w:val="20"/>
                <w:color w:val="auto"/>
              </w:rPr>
            </w:pPr>
            <w:r>
              <w:rPr>
                <w:rFonts w:ascii="Arial" w:cs="Arial" w:eastAsia="Arial" w:hAnsi="Arial"/>
                <w:sz w:val="18"/>
                <w:szCs w:val="18"/>
                <w:color w:val="auto"/>
              </w:rPr>
              <w:t>5.2, 5.12</w:t>
            </w:r>
          </w:p>
        </w:tc>
      </w:tr>
      <w:tr>
        <w:trPr>
          <w:trHeight w:val="216"/>
        </w:trPr>
        <w:tc>
          <w:tcPr>
            <w:tcW w:w="6480" w:type="dxa"/>
            <w:vAlign w:val="bottom"/>
          </w:tcPr>
          <w:p>
            <w:pPr>
              <w:ind w:left="440"/>
              <w:spacing w:after="0"/>
              <w:rPr>
                <w:sz w:val="20"/>
                <w:szCs w:val="20"/>
                <w:color w:val="auto"/>
              </w:rPr>
            </w:pPr>
            <w:r>
              <w:rPr>
                <w:rFonts w:ascii="Arial" w:cs="Arial" w:eastAsia="Arial" w:hAnsi="Arial"/>
                <w:sz w:val="18"/>
                <w:szCs w:val="18"/>
                <w:color w:val="auto"/>
              </w:rPr>
              <w:t>(a)(1)(B)</w:t>
            </w:r>
          </w:p>
        </w:tc>
        <w:tc>
          <w:tcPr>
            <w:tcW w:w="4960" w:type="dxa"/>
            <w:vAlign w:val="bottom"/>
            <w:gridSpan w:val="7"/>
          </w:tcPr>
          <w:p>
            <w:pPr>
              <w:jc w:val="right"/>
              <w:ind w:right="20"/>
              <w:spacing w:after="0"/>
              <w:rPr>
                <w:sz w:val="20"/>
                <w:szCs w:val="20"/>
                <w:color w:val="auto"/>
              </w:rPr>
            </w:pPr>
            <w:r>
              <w:rPr>
                <w:rFonts w:ascii="Arial" w:cs="Arial" w:eastAsia="Arial" w:hAnsi="Arial"/>
                <w:sz w:val="18"/>
                <w:szCs w:val="18"/>
                <w:color w:val="auto"/>
              </w:rPr>
              <w:t>5.13</w:t>
            </w:r>
          </w:p>
        </w:tc>
      </w:tr>
      <w:tr>
        <w:trPr>
          <w:trHeight w:val="216"/>
        </w:trPr>
        <w:tc>
          <w:tcPr>
            <w:tcW w:w="6480" w:type="dxa"/>
            <w:vAlign w:val="bottom"/>
          </w:tcPr>
          <w:p>
            <w:pPr>
              <w:ind w:left="440"/>
              <w:spacing w:after="0"/>
              <w:rPr>
                <w:sz w:val="20"/>
                <w:szCs w:val="20"/>
                <w:color w:val="auto"/>
              </w:rPr>
            </w:pPr>
            <w:r>
              <w:rPr>
                <w:rFonts w:ascii="Arial" w:cs="Arial" w:eastAsia="Arial" w:hAnsi="Arial"/>
                <w:sz w:val="18"/>
                <w:szCs w:val="18"/>
                <w:color w:val="auto"/>
              </w:rPr>
              <w:t>(a)(2)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Not Applicable</w:t>
            </w:r>
          </w:p>
        </w:tc>
      </w:tr>
      <w:tr>
        <w:trPr>
          <w:trHeight w:val="216"/>
        </w:trPr>
        <w:tc>
          <w:tcPr>
            <w:tcW w:w="6480" w:type="dxa"/>
            <w:vAlign w:val="bottom"/>
          </w:tcPr>
          <w:p>
            <w:pPr>
              <w:jc w:val="center"/>
              <w:ind w:right="5313"/>
              <w:spacing w:after="0"/>
              <w:rPr>
                <w:sz w:val="20"/>
                <w:szCs w:val="20"/>
                <w:color w:val="auto"/>
              </w:rPr>
            </w:pPr>
            <w:r>
              <w:rPr>
                <w:rFonts w:ascii="Arial" w:cs="Arial" w:eastAsia="Arial" w:hAnsi="Arial"/>
                <w:sz w:val="18"/>
                <w:szCs w:val="18"/>
                <w:color w:val="auto"/>
                <w:w w:val="90"/>
              </w:rPr>
              <w:t>(b)</w:t>
            </w:r>
          </w:p>
        </w:tc>
        <w:tc>
          <w:tcPr>
            <w:tcW w:w="4960" w:type="dxa"/>
            <w:vAlign w:val="bottom"/>
            <w:gridSpan w:val="7"/>
          </w:tcPr>
          <w:p>
            <w:pPr>
              <w:jc w:val="right"/>
              <w:ind w:right="20"/>
              <w:spacing w:after="0"/>
              <w:rPr>
                <w:sz w:val="20"/>
                <w:szCs w:val="20"/>
                <w:color w:val="auto"/>
              </w:rPr>
            </w:pPr>
            <w:r>
              <w:rPr>
                <w:rFonts w:ascii="Arial" w:cs="Arial" w:eastAsia="Arial" w:hAnsi="Arial"/>
                <w:sz w:val="18"/>
                <w:szCs w:val="18"/>
                <w:color w:val="auto"/>
              </w:rPr>
              <w:t>5.8</w:t>
            </w:r>
          </w:p>
        </w:tc>
      </w:tr>
      <w:tr>
        <w:trPr>
          <w:trHeight w:val="222"/>
        </w:trPr>
        <w:tc>
          <w:tcPr>
            <w:tcW w:w="6480" w:type="dxa"/>
            <w:vAlign w:val="bottom"/>
          </w:tcPr>
          <w:p>
            <w:pPr>
              <w:jc w:val="center"/>
              <w:ind w:right="5313"/>
              <w:spacing w:after="0"/>
              <w:rPr>
                <w:sz w:val="20"/>
                <w:szCs w:val="20"/>
                <w:color w:val="auto"/>
              </w:rPr>
            </w:pPr>
            <w:r>
              <w:rPr>
                <w:rFonts w:ascii="Arial" w:cs="Arial" w:eastAsia="Arial" w:hAnsi="Arial"/>
                <w:sz w:val="18"/>
                <w:szCs w:val="18"/>
                <w:color w:val="auto"/>
                <w:w w:val="95"/>
              </w:rPr>
              <w:t>(c)</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1.5(f)</w:t>
            </w:r>
          </w:p>
        </w:tc>
      </w:tr>
    </w:tbl>
    <w:p>
      <w:pPr>
        <w:sectPr>
          <w:pgSz w:w="11900" w:h="16838" w:orient="portrait"/>
          <w:cols w:equalWidth="0" w:num="1">
            <w:col w:w="11420"/>
          </w:cols>
          <w:pgMar w:left="240" w:top="274" w:right="239" w:bottom="1440" w:gutter="0" w:footer="0" w:header="0"/>
        </w:sectPr>
      </w:pPr>
    </w:p>
    <w:bookmarkStart w:id="133" w:name="page134"/>
    <w:bookmarkEnd w:id="1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3"/>
        </w:trPr>
        <w:tc>
          <w:tcPr>
            <w:tcW w:w="9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TRUST INDENTURE ACT SECTION</w:t>
            </w:r>
          </w:p>
        </w:tc>
        <w:tc>
          <w:tcPr>
            <w:tcW w:w="100" w:type="dxa"/>
            <w:vAlign w:val="bottom"/>
          </w:tcPr>
          <w:p>
            <w:pPr>
              <w:spacing w:after="0"/>
              <w:rPr>
                <w:sz w:val="21"/>
                <w:szCs w:val="21"/>
                <w:color w:val="auto"/>
              </w:rPr>
            </w:pP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INDENTURE SECTION</w:t>
            </w:r>
          </w:p>
        </w:tc>
      </w:tr>
      <w:tr>
        <w:trPr>
          <w:trHeight w:val="196"/>
        </w:trPr>
        <w:tc>
          <w:tcPr>
            <w:tcW w:w="9260" w:type="dxa"/>
            <w:vAlign w:val="bottom"/>
            <w:gridSpan w:val="2"/>
          </w:tcPr>
          <w:p>
            <w:pPr>
              <w:spacing w:after="0" w:line="195" w:lineRule="exact"/>
              <w:rPr>
                <w:sz w:val="20"/>
                <w:szCs w:val="20"/>
                <w:color w:val="auto"/>
              </w:rPr>
            </w:pPr>
            <w:r>
              <w:rPr>
                <w:rFonts w:ascii="Arial" w:cs="Arial" w:eastAsia="Arial" w:hAnsi="Arial"/>
                <w:sz w:val="18"/>
                <w:szCs w:val="18"/>
                <w:color w:val="auto"/>
              </w:rPr>
              <w:t>Section 317(a)(1)</w:t>
            </w:r>
          </w:p>
        </w:tc>
        <w:tc>
          <w:tcPr>
            <w:tcW w:w="100" w:type="dxa"/>
            <w:vAlign w:val="bottom"/>
          </w:tcPr>
          <w:p>
            <w:pPr>
              <w:spacing w:after="0"/>
              <w:rPr>
                <w:sz w:val="17"/>
                <w:szCs w:val="17"/>
                <w:color w:val="auto"/>
              </w:rPr>
            </w:pPr>
          </w:p>
        </w:tc>
        <w:tc>
          <w:tcPr>
            <w:tcW w:w="2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r>
      <w:tr>
        <w:trPr>
          <w:trHeight w:val="216"/>
        </w:trPr>
        <w:tc>
          <w:tcPr>
            <w:tcW w:w="9260" w:type="dxa"/>
            <w:vAlign w:val="bottom"/>
            <w:gridSpan w:val="2"/>
          </w:tcPr>
          <w:p>
            <w:pPr>
              <w:ind w:left="440"/>
              <w:spacing w:after="0"/>
              <w:rPr>
                <w:sz w:val="20"/>
                <w:szCs w:val="20"/>
                <w:color w:val="auto"/>
              </w:rPr>
            </w:pPr>
            <w:r>
              <w:rPr>
                <w:rFonts w:ascii="Arial" w:cs="Arial" w:eastAsia="Arial" w:hAnsi="Arial"/>
                <w:sz w:val="18"/>
                <w:szCs w:val="18"/>
                <w:color w:val="auto"/>
              </w:rPr>
              <w:t>(a)(2)</w:t>
            </w:r>
          </w:p>
        </w:tc>
        <w:tc>
          <w:tcPr>
            <w:tcW w:w="2180" w:type="dxa"/>
            <w:vAlign w:val="bottom"/>
            <w:gridSpan w:val="3"/>
          </w:tcPr>
          <w:p>
            <w:pPr>
              <w:jc w:val="right"/>
              <w:ind w:right="20"/>
              <w:spacing w:after="0"/>
              <w:rPr>
                <w:sz w:val="20"/>
                <w:szCs w:val="20"/>
                <w:color w:val="auto"/>
              </w:rPr>
            </w:pPr>
            <w:r>
              <w:rPr>
                <w:rFonts w:ascii="Arial" w:cs="Arial" w:eastAsia="Arial" w:hAnsi="Arial"/>
                <w:sz w:val="18"/>
                <w:szCs w:val="18"/>
                <w:color w:val="auto"/>
              </w:rPr>
              <w:t>5.4</w:t>
            </w:r>
          </w:p>
        </w:tc>
      </w:tr>
      <w:tr>
        <w:trPr>
          <w:trHeight w:val="222"/>
        </w:trPr>
        <w:tc>
          <w:tcPr>
            <w:tcW w:w="9260" w:type="dxa"/>
            <w:vAlign w:val="bottom"/>
            <w:gridSpan w:val="2"/>
          </w:tcPr>
          <w:p>
            <w:pPr>
              <w:ind w:left="440"/>
              <w:spacing w:after="0"/>
              <w:rPr>
                <w:sz w:val="20"/>
                <w:szCs w:val="20"/>
                <w:color w:val="auto"/>
              </w:rPr>
            </w:pPr>
            <w:r>
              <w:rPr>
                <w:rFonts w:ascii="Arial" w:cs="Arial" w:eastAsia="Arial" w:hAnsi="Arial"/>
                <w:sz w:val="18"/>
                <w:szCs w:val="18"/>
                <w:color w:val="auto"/>
              </w:rPr>
              <w:t>(b)</w:t>
            </w:r>
          </w:p>
        </w:tc>
        <w:tc>
          <w:tcPr>
            <w:tcW w:w="2180" w:type="dxa"/>
            <w:vAlign w:val="bottom"/>
            <w:gridSpan w:val="3"/>
          </w:tcPr>
          <w:p>
            <w:pPr>
              <w:jc w:val="right"/>
              <w:ind w:right="20"/>
              <w:spacing w:after="0"/>
              <w:rPr>
                <w:sz w:val="20"/>
                <w:szCs w:val="20"/>
                <w:color w:val="auto"/>
              </w:rPr>
            </w:pPr>
            <w:r>
              <w:rPr>
                <w:rFonts w:ascii="Arial" w:cs="Arial" w:eastAsia="Arial" w:hAnsi="Arial"/>
                <w:sz w:val="18"/>
                <w:szCs w:val="18"/>
                <w:color w:val="auto"/>
              </w:rPr>
              <w:t>10.3</w:t>
            </w:r>
          </w:p>
        </w:tc>
      </w:tr>
      <w:tr>
        <w:trPr>
          <w:trHeight w:val="324"/>
        </w:trPr>
        <w:tc>
          <w:tcPr>
            <w:tcW w:w="9260" w:type="dxa"/>
            <w:vAlign w:val="bottom"/>
            <w:gridSpan w:val="2"/>
          </w:tcPr>
          <w:p>
            <w:pPr>
              <w:spacing w:after="0"/>
              <w:rPr>
                <w:sz w:val="20"/>
                <w:szCs w:val="20"/>
                <w:color w:val="auto"/>
              </w:rPr>
            </w:pPr>
            <w:r>
              <w:rPr>
                <w:rFonts w:ascii="Arial" w:cs="Arial" w:eastAsia="Arial" w:hAnsi="Arial"/>
                <w:sz w:val="18"/>
                <w:szCs w:val="18"/>
                <w:color w:val="auto"/>
              </w:rPr>
              <w:t>Section 318(a)</w:t>
            </w:r>
          </w:p>
        </w:tc>
        <w:tc>
          <w:tcPr>
            <w:tcW w:w="218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r>
      <w:tr>
        <w:trPr>
          <w:trHeight w:val="110"/>
        </w:trPr>
        <w:tc>
          <w:tcPr>
            <w:tcW w:w="960" w:type="dxa"/>
            <w:vAlign w:val="bottom"/>
            <w:tcBorders>
              <w:bottom w:val="single" w:sz="8" w:color="auto"/>
            </w:tcBorders>
          </w:tcPr>
          <w:p>
            <w:pPr>
              <w:spacing w:after="0"/>
              <w:rPr>
                <w:sz w:val="9"/>
                <w:szCs w:val="9"/>
                <w:color w:val="auto"/>
              </w:rPr>
            </w:pPr>
          </w:p>
        </w:tc>
        <w:tc>
          <w:tcPr>
            <w:tcW w:w="8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9260" w:type="dxa"/>
            <w:vAlign w:val="bottom"/>
            <w:gridSpan w:val="2"/>
          </w:tcPr>
          <w:p>
            <w:pPr>
              <w:ind w:left="20"/>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9260" w:type="dxa"/>
            <w:vAlign w:val="bottom"/>
            <w:gridSpan w:val="2"/>
          </w:tcPr>
          <w:p>
            <w:pPr>
              <w:spacing w:after="0"/>
              <w:rPr>
                <w:sz w:val="20"/>
                <w:szCs w:val="20"/>
                <w:color w:val="auto"/>
              </w:rPr>
            </w:pPr>
            <w:r>
              <w:rPr>
                <w:rFonts w:ascii="Arial" w:cs="Arial" w:eastAsia="Arial" w:hAnsi="Arial"/>
                <w:sz w:val="18"/>
                <w:szCs w:val="18"/>
                <w:color w:val="auto"/>
              </w:rPr>
              <w:t>*  Deemed included pursuant to Section 318(c) of the Trust Indenture Act</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34" w:name="page135"/>
    <w:bookmarkEnd w:id="1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1380" w:type="dxa"/>
            <w:vAlign w:val="bottom"/>
          </w:tcPr>
          <w:p>
            <w:pPr>
              <w:spacing w:after="0"/>
              <w:rPr>
                <w:sz w:val="19"/>
                <w:szCs w:val="19"/>
                <w:color w:val="auto"/>
              </w:rPr>
            </w:pPr>
          </w:p>
        </w:tc>
        <w:tc>
          <w:tcPr>
            <w:tcW w:w="9260" w:type="dxa"/>
            <w:vAlign w:val="bottom"/>
          </w:tcPr>
          <w:p>
            <w:pPr>
              <w:ind w:left="340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19"/>
                <w:szCs w:val="19"/>
                <w:color w:val="auto"/>
              </w:rPr>
            </w:pPr>
          </w:p>
        </w:tc>
      </w:tr>
      <w:tr>
        <w:trPr>
          <w:trHeight w:val="419"/>
        </w:trPr>
        <w:tc>
          <w:tcPr>
            <w:tcW w:w="1380" w:type="dxa"/>
            <w:vAlign w:val="bottom"/>
          </w:tcPr>
          <w:p>
            <w:pPr>
              <w:spacing w:after="0"/>
              <w:rPr>
                <w:sz w:val="20"/>
                <w:szCs w:val="20"/>
                <w:color w:val="auto"/>
              </w:rPr>
            </w:pPr>
            <w:r>
              <w:rPr>
                <w:rFonts w:ascii="Arial" w:cs="Arial" w:eastAsia="Arial" w:hAnsi="Arial"/>
                <w:sz w:val="18"/>
                <w:szCs w:val="18"/>
                <w:color w:val="auto"/>
              </w:rPr>
              <w:t>PARTIES</w:t>
            </w:r>
          </w:p>
        </w:tc>
        <w:tc>
          <w:tcPr>
            <w:tcW w:w="9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0640" w:type="dxa"/>
            <w:vAlign w:val="bottom"/>
            <w:gridSpan w:val="2"/>
          </w:tcPr>
          <w:p>
            <w:pPr>
              <w:spacing w:after="0"/>
              <w:rPr>
                <w:sz w:val="20"/>
                <w:szCs w:val="20"/>
                <w:color w:val="auto"/>
              </w:rPr>
            </w:pPr>
            <w:r>
              <w:rPr>
                <w:rFonts w:ascii="Arial" w:cs="Arial" w:eastAsia="Arial" w:hAnsi="Arial"/>
                <w:sz w:val="18"/>
                <w:szCs w:val="18"/>
                <w:color w:val="auto"/>
              </w:rPr>
              <w:t>RECITALS OF THE COMPANY:</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10640" w:type="dxa"/>
            <w:vAlign w:val="bottom"/>
            <w:gridSpan w:val="2"/>
          </w:tcPr>
          <w:p>
            <w:pPr>
              <w:spacing w:after="0"/>
              <w:rPr>
                <w:sz w:val="20"/>
                <w:szCs w:val="20"/>
                <w:color w:val="auto"/>
              </w:rPr>
            </w:pPr>
            <w:r>
              <w:rPr>
                <w:rFonts w:ascii="Arial" w:cs="Arial" w:eastAsia="Arial" w:hAnsi="Arial"/>
                <w:sz w:val="18"/>
                <w:szCs w:val="18"/>
                <w:color w:val="auto"/>
              </w:rPr>
              <w:t>ARTICLE ONE DEFINITIONS AND OTHER PROVISIONS OF GENERAL APPLICATION</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1.1.</w:t>
            </w:r>
          </w:p>
        </w:tc>
        <w:tc>
          <w:tcPr>
            <w:tcW w:w="9260" w:type="dxa"/>
            <w:vAlign w:val="bottom"/>
          </w:tcPr>
          <w:p>
            <w:pPr>
              <w:ind w:left="80"/>
              <w:spacing w:after="0"/>
              <w:rPr>
                <w:sz w:val="20"/>
                <w:szCs w:val="20"/>
                <w:color w:val="auto"/>
              </w:rPr>
            </w:pPr>
            <w:r>
              <w:rPr>
                <w:rFonts w:ascii="Arial" w:cs="Arial" w:eastAsia="Arial" w:hAnsi="Arial"/>
                <w:sz w:val="18"/>
                <w:szCs w:val="18"/>
                <w:color w:val="auto"/>
              </w:rPr>
              <w:t>Definitions</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1.2.</w:t>
            </w:r>
          </w:p>
        </w:tc>
        <w:tc>
          <w:tcPr>
            <w:tcW w:w="9260" w:type="dxa"/>
            <w:vAlign w:val="bottom"/>
          </w:tcPr>
          <w:p>
            <w:pPr>
              <w:ind w:left="80"/>
              <w:spacing w:after="0"/>
              <w:rPr>
                <w:sz w:val="20"/>
                <w:szCs w:val="20"/>
                <w:color w:val="auto"/>
              </w:rPr>
            </w:pPr>
            <w:r>
              <w:rPr>
                <w:rFonts w:ascii="Arial" w:cs="Arial" w:eastAsia="Arial" w:hAnsi="Arial"/>
                <w:sz w:val="18"/>
                <w:szCs w:val="18"/>
                <w:color w:val="auto"/>
              </w:rPr>
              <w:t>Incorporation by Reference of Trust Indenture Act</w:t>
            </w: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1.3.</w:t>
            </w:r>
          </w:p>
        </w:tc>
        <w:tc>
          <w:tcPr>
            <w:tcW w:w="9260" w:type="dxa"/>
            <w:vAlign w:val="bottom"/>
          </w:tcPr>
          <w:p>
            <w:pPr>
              <w:ind w:left="80"/>
              <w:spacing w:after="0"/>
              <w:rPr>
                <w:sz w:val="20"/>
                <w:szCs w:val="20"/>
                <w:color w:val="auto"/>
              </w:rPr>
            </w:pPr>
            <w:r>
              <w:rPr>
                <w:rFonts w:ascii="Arial" w:cs="Arial" w:eastAsia="Arial" w:hAnsi="Arial"/>
                <w:sz w:val="18"/>
                <w:szCs w:val="18"/>
                <w:color w:val="auto"/>
              </w:rPr>
              <w:t>Compliance Certificates and Opinions</w:t>
            </w: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1.4.</w:t>
            </w:r>
          </w:p>
        </w:tc>
        <w:tc>
          <w:tcPr>
            <w:tcW w:w="9260" w:type="dxa"/>
            <w:vAlign w:val="bottom"/>
          </w:tcPr>
          <w:p>
            <w:pPr>
              <w:ind w:left="80"/>
              <w:spacing w:after="0"/>
              <w:rPr>
                <w:sz w:val="20"/>
                <w:szCs w:val="20"/>
                <w:color w:val="auto"/>
              </w:rPr>
            </w:pPr>
            <w:r>
              <w:rPr>
                <w:rFonts w:ascii="Arial" w:cs="Arial" w:eastAsia="Arial" w:hAnsi="Arial"/>
                <w:sz w:val="18"/>
                <w:szCs w:val="18"/>
                <w:color w:val="auto"/>
              </w:rPr>
              <w:t>Form of Documents Delivered to Trustee</w:t>
            </w: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1.5.</w:t>
            </w:r>
          </w:p>
        </w:tc>
        <w:tc>
          <w:tcPr>
            <w:tcW w:w="9260" w:type="dxa"/>
            <w:vAlign w:val="bottom"/>
          </w:tcPr>
          <w:p>
            <w:pPr>
              <w:ind w:left="80"/>
              <w:spacing w:after="0"/>
              <w:rPr>
                <w:sz w:val="20"/>
                <w:szCs w:val="20"/>
                <w:color w:val="auto"/>
              </w:rPr>
            </w:pPr>
            <w:r>
              <w:rPr>
                <w:rFonts w:ascii="Arial" w:cs="Arial" w:eastAsia="Arial" w:hAnsi="Arial"/>
                <w:sz w:val="18"/>
                <w:szCs w:val="18"/>
                <w:color w:val="auto"/>
              </w:rPr>
              <w:t>Acts of Holders; Record Dates</w:t>
            </w: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1.6.</w:t>
            </w:r>
          </w:p>
        </w:tc>
        <w:tc>
          <w:tcPr>
            <w:tcW w:w="9260" w:type="dxa"/>
            <w:vAlign w:val="bottom"/>
          </w:tcPr>
          <w:p>
            <w:pPr>
              <w:ind w:left="80"/>
              <w:spacing w:after="0"/>
              <w:rPr>
                <w:sz w:val="20"/>
                <w:szCs w:val="20"/>
                <w:color w:val="auto"/>
              </w:rPr>
            </w:pPr>
            <w:r>
              <w:rPr>
                <w:rFonts w:ascii="Arial" w:cs="Arial" w:eastAsia="Arial" w:hAnsi="Arial"/>
                <w:sz w:val="18"/>
                <w:szCs w:val="18"/>
                <w:color w:val="auto"/>
              </w:rPr>
              <w:t>Notices, Etc., to Trustee, Company and Guarantors</w:t>
            </w: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1.7.</w:t>
            </w:r>
          </w:p>
        </w:tc>
        <w:tc>
          <w:tcPr>
            <w:tcW w:w="9260" w:type="dxa"/>
            <w:vAlign w:val="bottom"/>
          </w:tcPr>
          <w:p>
            <w:pPr>
              <w:ind w:left="80"/>
              <w:spacing w:after="0"/>
              <w:rPr>
                <w:sz w:val="20"/>
                <w:szCs w:val="20"/>
                <w:color w:val="auto"/>
              </w:rPr>
            </w:pPr>
            <w:r>
              <w:rPr>
                <w:rFonts w:ascii="Arial" w:cs="Arial" w:eastAsia="Arial" w:hAnsi="Arial"/>
                <w:sz w:val="18"/>
                <w:szCs w:val="18"/>
                <w:color w:val="auto"/>
              </w:rPr>
              <w:t>Notice to Holders; Waiver</w:t>
            </w: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1.8.</w:t>
            </w:r>
          </w:p>
        </w:tc>
        <w:tc>
          <w:tcPr>
            <w:tcW w:w="9260" w:type="dxa"/>
            <w:vAlign w:val="bottom"/>
          </w:tcPr>
          <w:p>
            <w:pPr>
              <w:ind w:left="80"/>
              <w:spacing w:after="0"/>
              <w:rPr>
                <w:sz w:val="20"/>
                <w:szCs w:val="20"/>
                <w:color w:val="auto"/>
              </w:rPr>
            </w:pPr>
            <w:r>
              <w:rPr>
                <w:rFonts w:ascii="Arial" w:cs="Arial" w:eastAsia="Arial" w:hAnsi="Arial"/>
                <w:sz w:val="18"/>
                <w:szCs w:val="18"/>
                <w:color w:val="auto"/>
              </w:rPr>
              <w:t>Conflict with Trust Indenture Act</w:t>
            </w: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1.9.</w:t>
            </w:r>
          </w:p>
        </w:tc>
        <w:tc>
          <w:tcPr>
            <w:tcW w:w="9260" w:type="dxa"/>
            <w:vAlign w:val="bottom"/>
          </w:tcPr>
          <w:p>
            <w:pPr>
              <w:ind w:left="80"/>
              <w:spacing w:after="0"/>
              <w:rPr>
                <w:sz w:val="20"/>
                <w:szCs w:val="20"/>
                <w:color w:val="auto"/>
              </w:rPr>
            </w:pPr>
            <w:r>
              <w:rPr>
                <w:rFonts w:ascii="Arial" w:cs="Arial" w:eastAsia="Arial" w:hAnsi="Arial"/>
                <w:sz w:val="18"/>
                <w:szCs w:val="18"/>
                <w:color w:val="auto"/>
              </w:rPr>
              <w:t>Effect of Headings and Table of Contents</w:t>
            </w: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640" w:type="dxa"/>
            <w:vAlign w:val="bottom"/>
            <w:gridSpan w:val="2"/>
          </w:tcPr>
          <w:p>
            <w:pPr>
              <w:ind w:left="440"/>
              <w:spacing w:after="0"/>
              <w:rPr>
                <w:sz w:val="20"/>
                <w:szCs w:val="20"/>
                <w:color w:val="auto"/>
              </w:rPr>
            </w:pPr>
            <w:r>
              <w:rPr>
                <w:rFonts w:ascii="Arial" w:cs="Arial" w:eastAsia="Arial" w:hAnsi="Arial"/>
                <w:sz w:val="18"/>
                <w:szCs w:val="18"/>
                <w:color w:val="auto"/>
              </w:rPr>
              <w:t>Section 1.10. Successors and Assigns</w:t>
            </w: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640" w:type="dxa"/>
            <w:vAlign w:val="bottom"/>
            <w:gridSpan w:val="2"/>
          </w:tcPr>
          <w:p>
            <w:pPr>
              <w:ind w:left="440"/>
              <w:spacing w:after="0"/>
              <w:rPr>
                <w:sz w:val="20"/>
                <w:szCs w:val="20"/>
                <w:color w:val="auto"/>
              </w:rPr>
            </w:pPr>
            <w:r>
              <w:rPr>
                <w:rFonts w:ascii="Arial" w:cs="Arial" w:eastAsia="Arial" w:hAnsi="Arial"/>
                <w:sz w:val="18"/>
                <w:szCs w:val="18"/>
                <w:color w:val="auto"/>
              </w:rPr>
              <w:t>Section 1.11. Separability Clause</w:t>
            </w: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640" w:type="dxa"/>
            <w:vAlign w:val="bottom"/>
            <w:gridSpan w:val="2"/>
          </w:tcPr>
          <w:p>
            <w:pPr>
              <w:ind w:left="440"/>
              <w:spacing w:after="0"/>
              <w:rPr>
                <w:sz w:val="20"/>
                <w:szCs w:val="20"/>
                <w:color w:val="auto"/>
              </w:rPr>
            </w:pPr>
            <w:r>
              <w:rPr>
                <w:rFonts w:ascii="Arial" w:cs="Arial" w:eastAsia="Arial" w:hAnsi="Arial"/>
                <w:sz w:val="18"/>
                <w:szCs w:val="18"/>
                <w:color w:val="auto"/>
              </w:rPr>
              <w:t>Section 1.12. Benefits of Indenture</w:t>
            </w: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640" w:type="dxa"/>
            <w:vAlign w:val="bottom"/>
            <w:gridSpan w:val="2"/>
          </w:tcPr>
          <w:p>
            <w:pPr>
              <w:ind w:left="440"/>
              <w:spacing w:after="0"/>
              <w:rPr>
                <w:sz w:val="20"/>
                <w:szCs w:val="20"/>
                <w:color w:val="auto"/>
              </w:rPr>
            </w:pPr>
            <w:r>
              <w:rPr>
                <w:rFonts w:ascii="Arial" w:cs="Arial" w:eastAsia="Arial" w:hAnsi="Arial"/>
                <w:sz w:val="18"/>
                <w:szCs w:val="18"/>
                <w:color w:val="auto"/>
              </w:rPr>
              <w:t>Section 1.13. Governing Law</w:t>
            </w: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640" w:type="dxa"/>
            <w:vAlign w:val="bottom"/>
            <w:gridSpan w:val="2"/>
          </w:tcPr>
          <w:p>
            <w:pPr>
              <w:ind w:left="440"/>
              <w:spacing w:after="0"/>
              <w:rPr>
                <w:sz w:val="20"/>
                <w:szCs w:val="20"/>
                <w:color w:val="auto"/>
              </w:rPr>
            </w:pPr>
            <w:r>
              <w:rPr>
                <w:rFonts w:ascii="Arial" w:cs="Arial" w:eastAsia="Arial" w:hAnsi="Arial"/>
                <w:sz w:val="18"/>
                <w:szCs w:val="18"/>
                <w:color w:val="auto"/>
              </w:rPr>
              <w:t>Section 1.14. Legal Holidays</w:t>
            </w: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640" w:type="dxa"/>
            <w:vAlign w:val="bottom"/>
            <w:gridSpan w:val="2"/>
          </w:tcPr>
          <w:p>
            <w:pPr>
              <w:ind w:left="440"/>
              <w:spacing w:after="0"/>
              <w:rPr>
                <w:sz w:val="20"/>
                <w:szCs w:val="20"/>
                <w:color w:val="auto"/>
              </w:rPr>
            </w:pPr>
            <w:r>
              <w:rPr>
                <w:rFonts w:ascii="Arial" w:cs="Arial" w:eastAsia="Arial" w:hAnsi="Arial"/>
                <w:sz w:val="18"/>
                <w:szCs w:val="18"/>
                <w:color w:val="auto"/>
              </w:rPr>
              <w:t>Section 1.15. Securities in a Composite Currency, Currency Unit or Foreign Currency</w:t>
            </w: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640" w:type="dxa"/>
            <w:vAlign w:val="bottom"/>
            <w:gridSpan w:val="2"/>
          </w:tcPr>
          <w:p>
            <w:pPr>
              <w:ind w:left="440"/>
              <w:spacing w:after="0"/>
              <w:rPr>
                <w:sz w:val="20"/>
                <w:szCs w:val="20"/>
                <w:color w:val="auto"/>
              </w:rPr>
            </w:pPr>
            <w:r>
              <w:rPr>
                <w:rFonts w:ascii="Arial" w:cs="Arial" w:eastAsia="Arial" w:hAnsi="Arial"/>
                <w:sz w:val="18"/>
                <w:szCs w:val="18"/>
                <w:color w:val="auto"/>
              </w:rPr>
              <w:t>Section 1.16. Payment in Required Currency; Judgment Currency</w:t>
            </w: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640" w:type="dxa"/>
            <w:vAlign w:val="bottom"/>
            <w:gridSpan w:val="2"/>
          </w:tcPr>
          <w:p>
            <w:pPr>
              <w:ind w:left="440"/>
              <w:spacing w:after="0"/>
              <w:rPr>
                <w:sz w:val="20"/>
                <w:szCs w:val="20"/>
                <w:color w:val="auto"/>
              </w:rPr>
            </w:pPr>
            <w:r>
              <w:rPr>
                <w:rFonts w:ascii="Arial" w:cs="Arial" w:eastAsia="Arial" w:hAnsi="Arial"/>
                <w:sz w:val="18"/>
                <w:szCs w:val="18"/>
                <w:color w:val="auto"/>
              </w:rPr>
              <w:t>Section 1.17. Language of Notices, Etc.</w:t>
            </w: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5"/>
              </w:rPr>
              <w:t>Section 1.18. Incorporators, Shareholders, Officers and Directors of the Company and the Guarantors Exempt from Individual Liability</w:t>
            </w: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8"/>
        </w:trPr>
        <w:tc>
          <w:tcPr>
            <w:tcW w:w="10640" w:type="dxa"/>
            <w:vAlign w:val="bottom"/>
            <w:gridSpan w:val="2"/>
          </w:tcPr>
          <w:p>
            <w:pPr>
              <w:spacing w:after="0"/>
              <w:rPr>
                <w:sz w:val="20"/>
                <w:szCs w:val="20"/>
                <w:color w:val="auto"/>
              </w:rPr>
            </w:pPr>
            <w:r>
              <w:rPr>
                <w:rFonts w:ascii="Arial" w:cs="Arial" w:eastAsia="Arial" w:hAnsi="Arial"/>
                <w:sz w:val="18"/>
                <w:szCs w:val="18"/>
                <w:color w:val="auto"/>
              </w:rPr>
              <w:t>ARTICLE TWO SECURITY FORMS</w:t>
            </w: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2.1.</w:t>
            </w:r>
          </w:p>
        </w:tc>
        <w:tc>
          <w:tcPr>
            <w:tcW w:w="9260" w:type="dxa"/>
            <w:vAlign w:val="bottom"/>
          </w:tcPr>
          <w:p>
            <w:pPr>
              <w:ind w:left="80"/>
              <w:spacing w:after="0"/>
              <w:rPr>
                <w:sz w:val="20"/>
                <w:szCs w:val="20"/>
                <w:color w:val="auto"/>
              </w:rPr>
            </w:pPr>
            <w:r>
              <w:rPr>
                <w:rFonts w:ascii="Arial" w:cs="Arial" w:eastAsia="Arial" w:hAnsi="Arial"/>
                <w:sz w:val="18"/>
                <w:szCs w:val="18"/>
                <w:color w:val="auto"/>
              </w:rPr>
              <w:t>Forms Generally</w:t>
            </w: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2.2.</w:t>
            </w:r>
          </w:p>
        </w:tc>
        <w:tc>
          <w:tcPr>
            <w:tcW w:w="9260" w:type="dxa"/>
            <w:vAlign w:val="bottom"/>
          </w:tcPr>
          <w:p>
            <w:pPr>
              <w:ind w:left="80"/>
              <w:spacing w:after="0"/>
              <w:rPr>
                <w:sz w:val="20"/>
                <w:szCs w:val="20"/>
                <w:color w:val="auto"/>
              </w:rPr>
            </w:pPr>
            <w:r>
              <w:rPr>
                <w:rFonts w:ascii="Arial" w:cs="Arial" w:eastAsia="Arial" w:hAnsi="Arial"/>
                <w:sz w:val="18"/>
                <w:szCs w:val="18"/>
                <w:color w:val="auto"/>
              </w:rPr>
              <w:t>Form of Face of Security</w:t>
            </w: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2.3.</w:t>
            </w:r>
          </w:p>
        </w:tc>
        <w:tc>
          <w:tcPr>
            <w:tcW w:w="9260" w:type="dxa"/>
            <w:vAlign w:val="bottom"/>
          </w:tcPr>
          <w:p>
            <w:pPr>
              <w:ind w:left="80"/>
              <w:spacing w:after="0"/>
              <w:rPr>
                <w:sz w:val="20"/>
                <w:szCs w:val="20"/>
                <w:color w:val="auto"/>
              </w:rPr>
            </w:pPr>
            <w:r>
              <w:rPr>
                <w:rFonts w:ascii="Arial" w:cs="Arial" w:eastAsia="Arial" w:hAnsi="Arial"/>
                <w:sz w:val="18"/>
                <w:szCs w:val="18"/>
                <w:color w:val="auto"/>
              </w:rPr>
              <w:t>Form of Reverse of Security</w:t>
            </w: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2.4.</w:t>
            </w:r>
          </w:p>
        </w:tc>
        <w:tc>
          <w:tcPr>
            <w:tcW w:w="9260" w:type="dxa"/>
            <w:vAlign w:val="bottom"/>
          </w:tcPr>
          <w:p>
            <w:pPr>
              <w:ind w:left="80"/>
              <w:spacing w:after="0"/>
              <w:rPr>
                <w:sz w:val="20"/>
                <w:szCs w:val="20"/>
                <w:color w:val="auto"/>
              </w:rPr>
            </w:pPr>
            <w:r>
              <w:rPr>
                <w:rFonts w:ascii="Arial" w:cs="Arial" w:eastAsia="Arial" w:hAnsi="Arial"/>
                <w:sz w:val="18"/>
                <w:szCs w:val="18"/>
                <w:color w:val="auto"/>
              </w:rPr>
              <w:t>Global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2.5.</w:t>
            </w:r>
          </w:p>
        </w:tc>
        <w:tc>
          <w:tcPr>
            <w:tcW w:w="9260" w:type="dxa"/>
            <w:vAlign w:val="bottom"/>
          </w:tcPr>
          <w:p>
            <w:pPr>
              <w:ind w:left="80"/>
              <w:spacing w:after="0"/>
              <w:rPr>
                <w:sz w:val="20"/>
                <w:szCs w:val="20"/>
                <w:color w:val="auto"/>
              </w:rPr>
            </w:pPr>
            <w:r>
              <w:rPr>
                <w:rFonts w:ascii="Arial" w:cs="Arial" w:eastAsia="Arial" w:hAnsi="Arial"/>
                <w:sz w:val="18"/>
                <w:szCs w:val="18"/>
                <w:color w:val="auto"/>
              </w:rPr>
              <w:t>Form of Trustee’s Certificate of Authentication</w:t>
            </w: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10640" w:type="dxa"/>
            <w:vAlign w:val="bottom"/>
            <w:gridSpan w:val="2"/>
          </w:tcPr>
          <w:p>
            <w:pPr>
              <w:spacing w:after="0"/>
              <w:rPr>
                <w:sz w:val="20"/>
                <w:szCs w:val="20"/>
                <w:color w:val="auto"/>
              </w:rPr>
            </w:pPr>
            <w:r>
              <w:rPr>
                <w:rFonts w:ascii="Arial" w:cs="Arial" w:eastAsia="Arial" w:hAnsi="Arial"/>
                <w:sz w:val="18"/>
                <w:szCs w:val="18"/>
                <w:color w:val="auto"/>
              </w:rPr>
              <w:t>ARTICLE THREE THE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3.1.</w:t>
            </w:r>
          </w:p>
        </w:tc>
        <w:tc>
          <w:tcPr>
            <w:tcW w:w="9260" w:type="dxa"/>
            <w:vAlign w:val="bottom"/>
          </w:tcPr>
          <w:p>
            <w:pPr>
              <w:ind w:left="80"/>
              <w:spacing w:after="0"/>
              <w:rPr>
                <w:sz w:val="20"/>
                <w:szCs w:val="20"/>
                <w:color w:val="auto"/>
              </w:rPr>
            </w:pPr>
            <w:r>
              <w:rPr>
                <w:rFonts w:ascii="Arial" w:cs="Arial" w:eastAsia="Arial" w:hAnsi="Arial"/>
                <w:sz w:val="18"/>
                <w:szCs w:val="18"/>
                <w:color w:val="auto"/>
              </w:rPr>
              <w:t>Amount Unlimited; Issuable in Series</w:t>
            </w: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3.2.</w:t>
            </w:r>
          </w:p>
        </w:tc>
        <w:tc>
          <w:tcPr>
            <w:tcW w:w="9260" w:type="dxa"/>
            <w:vAlign w:val="bottom"/>
          </w:tcPr>
          <w:p>
            <w:pPr>
              <w:ind w:left="80"/>
              <w:spacing w:after="0"/>
              <w:rPr>
                <w:sz w:val="20"/>
                <w:szCs w:val="20"/>
                <w:color w:val="auto"/>
              </w:rPr>
            </w:pPr>
            <w:r>
              <w:rPr>
                <w:rFonts w:ascii="Arial" w:cs="Arial" w:eastAsia="Arial" w:hAnsi="Arial"/>
                <w:sz w:val="18"/>
                <w:szCs w:val="18"/>
                <w:color w:val="auto"/>
              </w:rPr>
              <w:t>Denominations</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3.3.</w:t>
            </w:r>
          </w:p>
        </w:tc>
        <w:tc>
          <w:tcPr>
            <w:tcW w:w="9260" w:type="dxa"/>
            <w:vAlign w:val="bottom"/>
          </w:tcPr>
          <w:p>
            <w:pPr>
              <w:ind w:left="80"/>
              <w:spacing w:after="0"/>
              <w:rPr>
                <w:sz w:val="20"/>
                <w:szCs w:val="20"/>
                <w:color w:val="auto"/>
              </w:rPr>
            </w:pPr>
            <w:r>
              <w:rPr>
                <w:rFonts w:ascii="Arial" w:cs="Arial" w:eastAsia="Arial" w:hAnsi="Arial"/>
                <w:sz w:val="18"/>
                <w:szCs w:val="18"/>
                <w:color w:val="auto"/>
              </w:rPr>
              <w:t>Execution, Authentication, Delivery and Dating</w:t>
            </w: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3.4.</w:t>
            </w:r>
          </w:p>
        </w:tc>
        <w:tc>
          <w:tcPr>
            <w:tcW w:w="9260" w:type="dxa"/>
            <w:vAlign w:val="bottom"/>
          </w:tcPr>
          <w:p>
            <w:pPr>
              <w:ind w:left="80"/>
              <w:spacing w:after="0"/>
              <w:rPr>
                <w:sz w:val="20"/>
                <w:szCs w:val="20"/>
                <w:color w:val="auto"/>
              </w:rPr>
            </w:pPr>
            <w:r>
              <w:rPr>
                <w:rFonts w:ascii="Arial" w:cs="Arial" w:eastAsia="Arial" w:hAnsi="Arial"/>
                <w:sz w:val="18"/>
                <w:szCs w:val="18"/>
                <w:color w:val="auto"/>
              </w:rPr>
              <w:t>Temporary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3.5.</w:t>
            </w:r>
          </w:p>
        </w:tc>
        <w:tc>
          <w:tcPr>
            <w:tcW w:w="9260" w:type="dxa"/>
            <w:vAlign w:val="bottom"/>
          </w:tcPr>
          <w:p>
            <w:pPr>
              <w:ind w:left="80"/>
              <w:spacing w:after="0"/>
              <w:rPr>
                <w:sz w:val="20"/>
                <w:szCs w:val="20"/>
                <w:color w:val="auto"/>
              </w:rPr>
            </w:pPr>
            <w:r>
              <w:rPr>
                <w:rFonts w:ascii="Arial" w:cs="Arial" w:eastAsia="Arial" w:hAnsi="Arial"/>
                <w:sz w:val="18"/>
                <w:szCs w:val="18"/>
                <w:color w:val="auto"/>
              </w:rPr>
              <w:t>Registration, Registration of Transfer and Exchange</w:t>
            </w: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3.6.</w:t>
            </w:r>
          </w:p>
        </w:tc>
        <w:tc>
          <w:tcPr>
            <w:tcW w:w="9260" w:type="dxa"/>
            <w:vAlign w:val="bottom"/>
          </w:tcPr>
          <w:p>
            <w:pPr>
              <w:ind w:left="80"/>
              <w:spacing w:after="0"/>
              <w:rPr>
                <w:sz w:val="20"/>
                <w:szCs w:val="20"/>
                <w:color w:val="auto"/>
              </w:rPr>
            </w:pPr>
            <w:r>
              <w:rPr>
                <w:rFonts w:ascii="Arial" w:cs="Arial" w:eastAsia="Arial" w:hAnsi="Arial"/>
                <w:sz w:val="18"/>
                <w:szCs w:val="18"/>
                <w:color w:val="auto"/>
              </w:rPr>
              <w:t>Mutilated, Destroyed, Lost and Stolen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3.7.</w:t>
            </w:r>
          </w:p>
        </w:tc>
        <w:tc>
          <w:tcPr>
            <w:tcW w:w="9260" w:type="dxa"/>
            <w:vAlign w:val="bottom"/>
          </w:tcPr>
          <w:p>
            <w:pPr>
              <w:ind w:left="80"/>
              <w:spacing w:after="0"/>
              <w:rPr>
                <w:sz w:val="20"/>
                <w:szCs w:val="20"/>
                <w:color w:val="auto"/>
              </w:rPr>
            </w:pPr>
            <w:r>
              <w:rPr>
                <w:rFonts w:ascii="Arial" w:cs="Arial" w:eastAsia="Arial" w:hAnsi="Arial"/>
                <w:sz w:val="18"/>
                <w:szCs w:val="18"/>
                <w:color w:val="auto"/>
              </w:rPr>
              <w:t>Payment of Interest; Interest Rights Preserved</w:t>
            </w: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3.8.</w:t>
            </w:r>
          </w:p>
        </w:tc>
        <w:tc>
          <w:tcPr>
            <w:tcW w:w="9260" w:type="dxa"/>
            <w:vAlign w:val="bottom"/>
          </w:tcPr>
          <w:p>
            <w:pPr>
              <w:ind w:left="80"/>
              <w:spacing w:after="0"/>
              <w:rPr>
                <w:sz w:val="20"/>
                <w:szCs w:val="20"/>
                <w:color w:val="auto"/>
              </w:rPr>
            </w:pPr>
            <w:r>
              <w:rPr>
                <w:rFonts w:ascii="Arial" w:cs="Arial" w:eastAsia="Arial" w:hAnsi="Arial"/>
                <w:sz w:val="18"/>
                <w:szCs w:val="18"/>
                <w:color w:val="auto"/>
              </w:rPr>
              <w:t>Persons Deemed Owners</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3.9.</w:t>
            </w:r>
          </w:p>
        </w:tc>
        <w:tc>
          <w:tcPr>
            <w:tcW w:w="9260" w:type="dxa"/>
            <w:vAlign w:val="bottom"/>
          </w:tcPr>
          <w:p>
            <w:pPr>
              <w:ind w:left="80"/>
              <w:spacing w:after="0"/>
              <w:rPr>
                <w:sz w:val="20"/>
                <w:szCs w:val="20"/>
                <w:color w:val="auto"/>
              </w:rPr>
            </w:pPr>
            <w:r>
              <w:rPr>
                <w:rFonts w:ascii="Arial" w:cs="Arial" w:eastAsia="Arial" w:hAnsi="Arial"/>
                <w:sz w:val="18"/>
                <w:szCs w:val="18"/>
                <w:color w:val="auto"/>
              </w:rPr>
              <w:t>Cancellation</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640" w:type="dxa"/>
            <w:vAlign w:val="bottom"/>
            <w:gridSpan w:val="2"/>
          </w:tcPr>
          <w:p>
            <w:pPr>
              <w:ind w:left="440"/>
              <w:spacing w:after="0"/>
              <w:rPr>
                <w:sz w:val="20"/>
                <w:szCs w:val="20"/>
                <w:color w:val="auto"/>
              </w:rPr>
            </w:pPr>
            <w:r>
              <w:rPr>
                <w:rFonts w:ascii="Arial" w:cs="Arial" w:eastAsia="Arial" w:hAnsi="Arial"/>
                <w:sz w:val="18"/>
                <w:szCs w:val="18"/>
                <w:color w:val="auto"/>
              </w:rPr>
              <w:t>Section 3.10. Computation of Interest</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2"/>
        </w:trPr>
        <w:tc>
          <w:tcPr>
            <w:tcW w:w="10640" w:type="dxa"/>
            <w:vAlign w:val="bottom"/>
            <w:gridSpan w:val="2"/>
          </w:tcPr>
          <w:p>
            <w:pPr>
              <w:ind w:left="440"/>
              <w:spacing w:after="0"/>
              <w:rPr>
                <w:sz w:val="20"/>
                <w:szCs w:val="20"/>
                <w:color w:val="auto"/>
              </w:rPr>
            </w:pPr>
            <w:r>
              <w:rPr>
                <w:rFonts w:ascii="Arial" w:cs="Arial" w:eastAsia="Arial" w:hAnsi="Arial"/>
                <w:sz w:val="18"/>
                <w:szCs w:val="18"/>
                <w:color w:val="auto"/>
              </w:rPr>
              <w:t>Section 3.11. CUSIP or CINS Numbers</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8"/>
        </w:trPr>
        <w:tc>
          <w:tcPr>
            <w:tcW w:w="10640" w:type="dxa"/>
            <w:vAlign w:val="bottom"/>
            <w:gridSpan w:val="2"/>
          </w:tcPr>
          <w:p>
            <w:pPr>
              <w:spacing w:after="0"/>
              <w:rPr>
                <w:sz w:val="20"/>
                <w:szCs w:val="20"/>
                <w:color w:val="auto"/>
              </w:rPr>
            </w:pPr>
            <w:r>
              <w:rPr>
                <w:rFonts w:ascii="Arial" w:cs="Arial" w:eastAsia="Arial" w:hAnsi="Arial"/>
                <w:sz w:val="18"/>
                <w:szCs w:val="18"/>
                <w:color w:val="auto"/>
              </w:rPr>
              <w:t>ARTICLE FOUR SATISFACTION AND DISCHARGE</w:t>
            </w: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640" w:type="dxa"/>
            <w:vAlign w:val="bottom"/>
            <w:gridSpan w:val="2"/>
          </w:tcPr>
          <w:p>
            <w:pPr>
              <w:ind w:left="440"/>
              <w:spacing w:after="0"/>
              <w:rPr>
                <w:sz w:val="20"/>
                <w:szCs w:val="20"/>
                <w:color w:val="auto"/>
              </w:rPr>
            </w:pPr>
            <w:r>
              <w:rPr>
                <w:rFonts w:ascii="Arial" w:cs="Arial" w:eastAsia="Arial" w:hAnsi="Arial"/>
                <w:sz w:val="18"/>
                <w:szCs w:val="18"/>
                <w:color w:val="auto"/>
              </w:rPr>
              <w:t>Section 4.1.  Satisfaction and Discharge of Indenture</w:t>
            </w: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2"/>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4.2.</w:t>
            </w:r>
          </w:p>
        </w:tc>
        <w:tc>
          <w:tcPr>
            <w:tcW w:w="9260" w:type="dxa"/>
            <w:vAlign w:val="bottom"/>
          </w:tcPr>
          <w:p>
            <w:pPr>
              <w:ind w:left="80"/>
              <w:spacing w:after="0"/>
              <w:rPr>
                <w:sz w:val="20"/>
                <w:szCs w:val="20"/>
                <w:color w:val="auto"/>
              </w:rPr>
            </w:pPr>
            <w:r>
              <w:rPr>
                <w:rFonts w:ascii="Arial" w:cs="Arial" w:eastAsia="Arial" w:hAnsi="Arial"/>
                <w:sz w:val="18"/>
                <w:szCs w:val="18"/>
                <w:color w:val="auto"/>
              </w:rPr>
              <w:t>Application of Trust Money</w:t>
            </w: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ARTICLE FIVE REMEDIES</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5.1.</w:t>
            </w:r>
          </w:p>
        </w:tc>
        <w:tc>
          <w:tcPr>
            <w:tcW w:w="7620" w:type="dxa"/>
            <w:vAlign w:val="bottom"/>
          </w:tcPr>
          <w:p>
            <w:pPr>
              <w:ind w:left="80"/>
              <w:spacing w:after="0"/>
              <w:rPr>
                <w:sz w:val="20"/>
                <w:szCs w:val="20"/>
                <w:color w:val="auto"/>
              </w:rPr>
            </w:pPr>
            <w:r>
              <w:rPr>
                <w:rFonts w:ascii="Arial" w:cs="Arial" w:eastAsia="Arial" w:hAnsi="Arial"/>
                <w:sz w:val="18"/>
                <w:szCs w:val="18"/>
                <w:color w:val="auto"/>
              </w:rPr>
              <w:t>Events of Default</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5.2.</w:t>
            </w:r>
          </w:p>
        </w:tc>
        <w:tc>
          <w:tcPr>
            <w:tcW w:w="7620" w:type="dxa"/>
            <w:vAlign w:val="bottom"/>
          </w:tcPr>
          <w:p>
            <w:pPr>
              <w:ind w:left="80"/>
              <w:spacing w:after="0"/>
              <w:rPr>
                <w:sz w:val="20"/>
                <w:szCs w:val="20"/>
                <w:color w:val="auto"/>
              </w:rPr>
            </w:pPr>
            <w:r>
              <w:rPr>
                <w:rFonts w:ascii="Arial" w:cs="Arial" w:eastAsia="Arial" w:hAnsi="Arial"/>
                <w:sz w:val="18"/>
                <w:szCs w:val="18"/>
                <w:color w:val="auto"/>
              </w:rPr>
              <w:t>Acceleration of Maturity; Rescission and Annulment</w:t>
            </w:r>
          </w:p>
        </w:tc>
        <w:tc>
          <w:tcPr>
            <w:tcW w:w="2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5.3.</w:t>
            </w:r>
          </w:p>
        </w:tc>
        <w:tc>
          <w:tcPr>
            <w:tcW w:w="7620" w:type="dxa"/>
            <w:vAlign w:val="bottom"/>
          </w:tcPr>
          <w:p>
            <w:pPr>
              <w:ind w:left="80"/>
              <w:spacing w:after="0"/>
              <w:rPr>
                <w:sz w:val="20"/>
                <w:szCs w:val="20"/>
                <w:color w:val="auto"/>
              </w:rPr>
            </w:pPr>
            <w:r>
              <w:rPr>
                <w:rFonts w:ascii="Arial" w:cs="Arial" w:eastAsia="Arial" w:hAnsi="Arial"/>
                <w:sz w:val="18"/>
                <w:szCs w:val="18"/>
                <w:color w:val="auto"/>
              </w:rPr>
              <w:t>Collection of Debt and Suits for Enforcement by Trustee</w:t>
            </w:r>
          </w:p>
        </w:tc>
        <w:tc>
          <w:tcPr>
            <w:tcW w:w="2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5.4.</w:t>
            </w:r>
          </w:p>
        </w:tc>
        <w:tc>
          <w:tcPr>
            <w:tcW w:w="7620" w:type="dxa"/>
            <w:vAlign w:val="bottom"/>
          </w:tcPr>
          <w:p>
            <w:pPr>
              <w:ind w:left="80"/>
              <w:spacing w:after="0"/>
              <w:rPr>
                <w:sz w:val="20"/>
                <w:szCs w:val="20"/>
                <w:color w:val="auto"/>
              </w:rPr>
            </w:pPr>
            <w:r>
              <w:rPr>
                <w:rFonts w:ascii="Arial" w:cs="Arial" w:eastAsia="Arial" w:hAnsi="Arial"/>
                <w:sz w:val="18"/>
                <w:szCs w:val="18"/>
                <w:color w:val="auto"/>
              </w:rPr>
              <w:t>Trustee May File Proofs of Claim</w:t>
            </w:r>
          </w:p>
        </w:tc>
        <w:tc>
          <w:tcPr>
            <w:tcW w:w="2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5.5.</w:t>
            </w:r>
          </w:p>
        </w:tc>
        <w:tc>
          <w:tcPr>
            <w:tcW w:w="7620" w:type="dxa"/>
            <w:vAlign w:val="bottom"/>
          </w:tcPr>
          <w:p>
            <w:pPr>
              <w:ind w:left="80"/>
              <w:spacing w:after="0"/>
              <w:rPr>
                <w:sz w:val="20"/>
                <w:szCs w:val="20"/>
                <w:color w:val="auto"/>
              </w:rPr>
            </w:pPr>
            <w:r>
              <w:rPr>
                <w:rFonts w:ascii="Arial" w:cs="Arial" w:eastAsia="Arial" w:hAnsi="Arial"/>
                <w:sz w:val="18"/>
                <w:szCs w:val="18"/>
                <w:color w:val="auto"/>
              </w:rPr>
              <w:t>Trustee May Enforce Claims Without Possession of Securities</w:t>
            </w:r>
          </w:p>
        </w:tc>
        <w:tc>
          <w:tcPr>
            <w:tcW w:w="2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5.6.</w:t>
            </w:r>
          </w:p>
        </w:tc>
        <w:tc>
          <w:tcPr>
            <w:tcW w:w="7620" w:type="dxa"/>
            <w:vAlign w:val="bottom"/>
          </w:tcPr>
          <w:p>
            <w:pPr>
              <w:ind w:left="80"/>
              <w:spacing w:after="0"/>
              <w:rPr>
                <w:sz w:val="20"/>
                <w:szCs w:val="20"/>
                <w:color w:val="auto"/>
              </w:rPr>
            </w:pPr>
            <w:r>
              <w:rPr>
                <w:rFonts w:ascii="Arial" w:cs="Arial" w:eastAsia="Arial" w:hAnsi="Arial"/>
                <w:sz w:val="18"/>
                <w:szCs w:val="18"/>
                <w:color w:val="auto"/>
              </w:rPr>
              <w:t>Application of Money Collected</w:t>
            </w:r>
          </w:p>
        </w:tc>
        <w:tc>
          <w:tcPr>
            <w:tcW w:w="2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5.7.</w:t>
            </w:r>
          </w:p>
        </w:tc>
        <w:tc>
          <w:tcPr>
            <w:tcW w:w="7620" w:type="dxa"/>
            <w:vAlign w:val="bottom"/>
          </w:tcPr>
          <w:p>
            <w:pPr>
              <w:ind w:left="80"/>
              <w:spacing w:after="0"/>
              <w:rPr>
                <w:sz w:val="20"/>
                <w:szCs w:val="20"/>
                <w:color w:val="auto"/>
              </w:rPr>
            </w:pPr>
            <w:r>
              <w:rPr>
                <w:rFonts w:ascii="Arial" w:cs="Arial" w:eastAsia="Arial" w:hAnsi="Arial"/>
                <w:sz w:val="18"/>
                <w:szCs w:val="18"/>
                <w:color w:val="auto"/>
              </w:rPr>
              <w:t>Limitation on Suits</w:t>
            </w:r>
          </w:p>
        </w:tc>
        <w:tc>
          <w:tcPr>
            <w:tcW w:w="24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5.8.</w:t>
            </w:r>
          </w:p>
        </w:tc>
        <w:tc>
          <w:tcPr>
            <w:tcW w:w="7620" w:type="dxa"/>
            <w:vAlign w:val="bottom"/>
          </w:tcPr>
          <w:p>
            <w:pPr>
              <w:ind w:left="80"/>
              <w:spacing w:after="0"/>
              <w:rPr>
                <w:sz w:val="20"/>
                <w:szCs w:val="20"/>
                <w:color w:val="auto"/>
              </w:rPr>
            </w:pPr>
            <w:r>
              <w:rPr>
                <w:rFonts w:ascii="Arial" w:cs="Arial" w:eastAsia="Arial" w:hAnsi="Arial"/>
                <w:sz w:val="18"/>
                <w:szCs w:val="18"/>
                <w:color w:val="auto"/>
              </w:rPr>
              <w:t>Unconditional Right of Holders to Receive Principal, Premium and Interest</w:t>
            </w:r>
          </w:p>
        </w:tc>
        <w:tc>
          <w:tcPr>
            <w:tcW w:w="24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5.9.</w:t>
            </w:r>
          </w:p>
        </w:tc>
        <w:tc>
          <w:tcPr>
            <w:tcW w:w="7620" w:type="dxa"/>
            <w:vAlign w:val="bottom"/>
          </w:tcPr>
          <w:p>
            <w:pPr>
              <w:ind w:left="80"/>
              <w:spacing w:after="0"/>
              <w:rPr>
                <w:sz w:val="20"/>
                <w:szCs w:val="20"/>
                <w:color w:val="auto"/>
              </w:rPr>
            </w:pPr>
            <w:r>
              <w:rPr>
                <w:rFonts w:ascii="Arial" w:cs="Arial" w:eastAsia="Arial" w:hAnsi="Arial"/>
                <w:sz w:val="18"/>
                <w:szCs w:val="18"/>
                <w:color w:val="auto"/>
              </w:rPr>
              <w:t>Restoration of Rights and Remedies</w:t>
            </w:r>
          </w:p>
        </w:tc>
        <w:tc>
          <w:tcPr>
            <w:tcW w:w="24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000" w:type="dxa"/>
            <w:vAlign w:val="bottom"/>
            <w:gridSpan w:val="2"/>
          </w:tcPr>
          <w:p>
            <w:pPr>
              <w:ind w:left="440"/>
              <w:spacing w:after="0"/>
              <w:rPr>
                <w:sz w:val="20"/>
                <w:szCs w:val="20"/>
                <w:color w:val="auto"/>
              </w:rPr>
            </w:pPr>
            <w:r>
              <w:rPr>
                <w:rFonts w:ascii="Arial" w:cs="Arial" w:eastAsia="Arial" w:hAnsi="Arial"/>
                <w:sz w:val="18"/>
                <w:szCs w:val="18"/>
                <w:color w:val="auto"/>
              </w:rPr>
              <w:t>Section 5.10. Rights and Remedies Cumulative</w:t>
            </w:r>
          </w:p>
        </w:tc>
        <w:tc>
          <w:tcPr>
            <w:tcW w:w="24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000" w:type="dxa"/>
            <w:vAlign w:val="bottom"/>
            <w:gridSpan w:val="2"/>
          </w:tcPr>
          <w:p>
            <w:pPr>
              <w:ind w:left="440"/>
              <w:spacing w:after="0"/>
              <w:rPr>
                <w:sz w:val="20"/>
                <w:szCs w:val="20"/>
                <w:color w:val="auto"/>
              </w:rPr>
            </w:pPr>
            <w:r>
              <w:rPr>
                <w:rFonts w:ascii="Arial" w:cs="Arial" w:eastAsia="Arial" w:hAnsi="Arial"/>
                <w:sz w:val="18"/>
                <w:szCs w:val="18"/>
                <w:color w:val="auto"/>
              </w:rPr>
              <w:t>Section 5.11. Delay or Omission Not Waiver</w:t>
            </w:r>
          </w:p>
        </w:tc>
        <w:tc>
          <w:tcPr>
            <w:tcW w:w="24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000" w:type="dxa"/>
            <w:vAlign w:val="bottom"/>
            <w:gridSpan w:val="2"/>
          </w:tcPr>
          <w:p>
            <w:pPr>
              <w:ind w:left="440"/>
              <w:spacing w:after="0"/>
              <w:rPr>
                <w:sz w:val="20"/>
                <w:szCs w:val="20"/>
                <w:color w:val="auto"/>
              </w:rPr>
            </w:pPr>
            <w:r>
              <w:rPr>
                <w:rFonts w:ascii="Arial" w:cs="Arial" w:eastAsia="Arial" w:hAnsi="Arial"/>
                <w:sz w:val="18"/>
                <w:szCs w:val="18"/>
                <w:color w:val="auto"/>
              </w:rPr>
              <w:t>Section 5.12. Control by Holders</w:t>
            </w:r>
          </w:p>
        </w:tc>
        <w:tc>
          <w:tcPr>
            <w:tcW w:w="24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000" w:type="dxa"/>
            <w:vAlign w:val="bottom"/>
            <w:gridSpan w:val="2"/>
          </w:tcPr>
          <w:p>
            <w:pPr>
              <w:ind w:left="440"/>
              <w:spacing w:after="0"/>
              <w:rPr>
                <w:sz w:val="20"/>
                <w:szCs w:val="20"/>
                <w:color w:val="auto"/>
              </w:rPr>
            </w:pPr>
            <w:r>
              <w:rPr>
                <w:rFonts w:ascii="Arial" w:cs="Arial" w:eastAsia="Arial" w:hAnsi="Arial"/>
                <w:sz w:val="18"/>
                <w:szCs w:val="18"/>
                <w:color w:val="auto"/>
              </w:rPr>
              <w:t>Section 5.13. Waiver of Past Defaults</w:t>
            </w:r>
          </w:p>
        </w:tc>
        <w:tc>
          <w:tcPr>
            <w:tcW w:w="24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000" w:type="dxa"/>
            <w:vAlign w:val="bottom"/>
            <w:gridSpan w:val="2"/>
          </w:tcPr>
          <w:p>
            <w:pPr>
              <w:ind w:left="440"/>
              <w:spacing w:after="0"/>
              <w:rPr>
                <w:sz w:val="20"/>
                <w:szCs w:val="20"/>
                <w:color w:val="auto"/>
              </w:rPr>
            </w:pPr>
            <w:r>
              <w:rPr>
                <w:rFonts w:ascii="Arial" w:cs="Arial" w:eastAsia="Arial" w:hAnsi="Arial"/>
                <w:sz w:val="18"/>
                <w:szCs w:val="18"/>
                <w:color w:val="auto"/>
              </w:rPr>
              <w:t>Section 5.14. Undertaking for Costs</w:t>
            </w:r>
          </w:p>
        </w:tc>
        <w:tc>
          <w:tcPr>
            <w:tcW w:w="24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2"/>
        </w:trPr>
        <w:tc>
          <w:tcPr>
            <w:tcW w:w="9000" w:type="dxa"/>
            <w:vAlign w:val="bottom"/>
            <w:gridSpan w:val="2"/>
          </w:tcPr>
          <w:p>
            <w:pPr>
              <w:ind w:left="440"/>
              <w:spacing w:after="0"/>
              <w:rPr>
                <w:sz w:val="20"/>
                <w:szCs w:val="20"/>
                <w:color w:val="auto"/>
              </w:rPr>
            </w:pPr>
            <w:r>
              <w:rPr>
                <w:rFonts w:ascii="Arial" w:cs="Arial" w:eastAsia="Arial" w:hAnsi="Arial"/>
                <w:sz w:val="18"/>
                <w:szCs w:val="18"/>
                <w:color w:val="auto"/>
              </w:rPr>
              <w:t>Section 5.15. Waiver of Stay or Extension Laws</w:t>
            </w:r>
          </w:p>
        </w:tc>
        <w:tc>
          <w:tcPr>
            <w:tcW w:w="24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9000" w:type="dxa"/>
            <w:vAlign w:val="bottom"/>
            <w:gridSpan w:val="2"/>
          </w:tcPr>
          <w:p>
            <w:pPr>
              <w:spacing w:after="0"/>
              <w:rPr>
                <w:sz w:val="20"/>
                <w:szCs w:val="20"/>
                <w:color w:val="auto"/>
              </w:rPr>
            </w:pPr>
            <w:r>
              <w:rPr>
                <w:rFonts w:ascii="Arial" w:cs="Arial" w:eastAsia="Arial" w:hAnsi="Arial"/>
                <w:sz w:val="18"/>
                <w:szCs w:val="18"/>
                <w:color w:val="auto"/>
              </w:rPr>
              <w:t>ARTICLE SIX THE TRUSTEE</w:t>
            </w:r>
          </w:p>
        </w:tc>
        <w:tc>
          <w:tcPr>
            <w:tcW w:w="24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6.1.</w:t>
            </w:r>
          </w:p>
        </w:tc>
        <w:tc>
          <w:tcPr>
            <w:tcW w:w="7620" w:type="dxa"/>
            <w:vAlign w:val="bottom"/>
          </w:tcPr>
          <w:p>
            <w:pPr>
              <w:ind w:left="80"/>
              <w:spacing w:after="0"/>
              <w:rPr>
                <w:sz w:val="20"/>
                <w:szCs w:val="20"/>
                <w:color w:val="auto"/>
              </w:rPr>
            </w:pPr>
            <w:r>
              <w:rPr>
                <w:rFonts w:ascii="Arial" w:cs="Arial" w:eastAsia="Arial" w:hAnsi="Arial"/>
                <w:sz w:val="18"/>
                <w:szCs w:val="18"/>
                <w:color w:val="auto"/>
              </w:rPr>
              <w:t>Certain Duties and Responsibilities</w:t>
            </w:r>
          </w:p>
        </w:tc>
        <w:tc>
          <w:tcPr>
            <w:tcW w:w="24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6.2.</w:t>
            </w:r>
          </w:p>
        </w:tc>
        <w:tc>
          <w:tcPr>
            <w:tcW w:w="7620" w:type="dxa"/>
            <w:vAlign w:val="bottom"/>
          </w:tcPr>
          <w:p>
            <w:pPr>
              <w:ind w:left="80"/>
              <w:spacing w:after="0"/>
              <w:rPr>
                <w:sz w:val="20"/>
                <w:szCs w:val="20"/>
                <w:color w:val="auto"/>
              </w:rPr>
            </w:pPr>
            <w:r>
              <w:rPr>
                <w:rFonts w:ascii="Arial" w:cs="Arial" w:eastAsia="Arial" w:hAnsi="Arial"/>
                <w:sz w:val="18"/>
                <w:szCs w:val="18"/>
                <w:color w:val="auto"/>
              </w:rPr>
              <w:t>Notice of Defaults</w:t>
            </w:r>
          </w:p>
        </w:tc>
        <w:tc>
          <w:tcPr>
            <w:tcW w:w="2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6.3.</w:t>
            </w:r>
          </w:p>
        </w:tc>
        <w:tc>
          <w:tcPr>
            <w:tcW w:w="7620" w:type="dxa"/>
            <w:vAlign w:val="bottom"/>
          </w:tcPr>
          <w:p>
            <w:pPr>
              <w:ind w:left="80"/>
              <w:spacing w:after="0"/>
              <w:rPr>
                <w:sz w:val="20"/>
                <w:szCs w:val="20"/>
                <w:color w:val="auto"/>
              </w:rPr>
            </w:pPr>
            <w:r>
              <w:rPr>
                <w:rFonts w:ascii="Arial" w:cs="Arial" w:eastAsia="Arial" w:hAnsi="Arial"/>
                <w:sz w:val="18"/>
                <w:szCs w:val="18"/>
                <w:color w:val="auto"/>
              </w:rPr>
              <w:t>Certain Rights of Trustee</w:t>
            </w:r>
          </w:p>
        </w:tc>
        <w:tc>
          <w:tcPr>
            <w:tcW w:w="2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6.4.</w:t>
            </w:r>
          </w:p>
        </w:tc>
        <w:tc>
          <w:tcPr>
            <w:tcW w:w="7620" w:type="dxa"/>
            <w:vAlign w:val="bottom"/>
          </w:tcPr>
          <w:p>
            <w:pPr>
              <w:ind w:left="80"/>
              <w:spacing w:after="0"/>
              <w:rPr>
                <w:sz w:val="20"/>
                <w:szCs w:val="20"/>
                <w:color w:val="auto"/>
              </w:rPr>
            </w:pPr>
            <w:r>
              <w:rPr>
                <w:rFonts w:ascii="Arial" w:cs="Arial" w:eastAsia="Arial" w:hAnsi="Arial"/>
                <w:sz w:val="18"/>
                <w:szCs w:val="18"/>
                <w:color w:val="auto"/>
              </w:rPr>
              <w:t>Not Responsible for Recitals or Issuance of Securities</w:t>
            </w:r>
          </w:p>
        </w:tc>
        <w:tc>
          <w:tcPr>
            <w:tcW w:w="2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6.5.</w:t>
            </w:r>
          </w:p>
        </w:tc>
        <w:tc>
          <w:tcPr>
            <w:tcW w:w="7620" w:type="dxa"/>
            <w:vAlign w:val="bottom"/>
          </w:tcPr>
          <w:p>
            <w:pPr>
              <w:ind w:left="80"/>
              <w:spacing w:after="0"/>
              <w:rPr>
                <w:sz w:val="20"/>
                <w:szCs w:val="20"/>
                <w:color w:val="auto"/>
              </w:rPr>
            </w:pPr>
            <w:r>
              <w:rPr>
                <w:rFonts w:ascii="Arial" w:cs="Arial" w:eastAsia="Arial" w:hAnsi="Arial"/>
                <w:sz w:val="18"/>
                <w:szCs w:val="18"/>
                <w:color w:val="auto"/>
              </w:rPr>
              <w:t>May Hold Securities</w:t>
            </w:r>
          </w:p>
        </w:tc>
        <w:tc>
          <w:tcPr>
            <w:tcW w:w="2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6.6.</w:t>
            </w:r>
          </w:p>
        </w:tc>
        <w:tc>
          <w:tcPr>
            <w:tcW w:w="7620" w:type="dxa"/>
            <w:vAlign w:val="bottom"/>
          </w:tcPr>
          <w:p>
            <w:pPr>
              <w:ind w:left="80"/>
              <w:spacing w:after="0"/>
              <w:rPr>
                <w:sz w:val="20"/>
                <w:szCs w:val="20"/>
                <w:color w:val="auto"/>
              </w:rPr>
            </w:pPr>
            <w:r>
              <w:rPr>
                <w:rFonts w:ascii="Arial" w:cs="Arial" w:eastAsia="Arial" w:hAnsi="Arial"/>
                <w:sz w:val="18"/>
                <w:szCs w:val="18"/>
                <w:color w:val="auto"/>
              </w:rPr>
              <w:t>Money Held in Trust</w:t>
            </w:r>
          </w:p>
        </w:tc>
        <w:tc>
          <w:tcPr>
            <w:tcW w:w="2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6.7.</w:t>
            </w:r>
          </w:p>
        </w:tc>
        <w:tc>
          <w:tcPr>
            <w:tcW w:w="7620" w:type="dxa"/>
            <w:vAlign w:val="bottom"/>
          </w:tcPr>
          <w:p>
            <w:pPr>
              <w:ind w:left="80"/>
              <w:spacing w:after="0"/>
              <w:rPr>
                <w:sz w:val="20"/>
                <w:szCs w:val="20"/>
                <w:color w:val="auto"/>
              </w:rPr>
            </w:pPr>
            <w:r>
              <w:rPr>
                <w:rFonts w:ascii="Arial" w:cs="Arial" w:eastAsia="Arial" w:hAnsi="Arial"/>
                <w:sz w:val="18"/>
                <w:szCs w:val="18"/>
                <w:color w:val="auto"/>
              </w:rPr>
              <w:t>Compensation and Reimbursement</w:t>
            </w:r>
          </w:p>
        </w:tc>
        <w:tc>
          <w:tcPr>
            <w:tcW w:w="2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6.8.</w:t>
            </w:r>
          </w:p>
        </w:tc>
        <w:tc>
          <w:tcPr>
            <w:tcW w:w="7620" w:type="dxa"/>
            <w:vAlign w:val="bottom"/>
          </w:tcPr>
          <w:p>
            <w:pPr>
              <w:ind w:left="80"/>
              <w:spacing w:after="0"/>
              <w:rPr>
                <w:sz w:val="20"/>
                <w:szCs w:val="20"/>
                <w:color w:val="auto"/>
              </w:rPr>
            </w:pPr>
            <w:r>
              <w:rPr>
                <w:rFonts w:ascii="Arial" w:cs="Arial" w:eastAsia="Arial" w:hAnsi="Arial"/>
                <w:sz w:val="18"/>
                <w:szCs w:val="18"/>
                <w:color w:val="auto"/>
              </w:rPr>
              <w:t>Disqualification; Conflicting Interests</w:t>
            </w:r>
          </w:p>
        </w:tc>
        <w:tc>
          <w:tcPr>
            <w:tcW w:w="2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6.9.</w:t>
            </w:r>
          </w:p>
        </w:tc>
        <w:tc>
          <w:tcPr>
            <w:tcW w:w="7620" w:type="dxa"/>
            <w:vAlign w:val="bottom"/>
          </w:tcPr>
          <w:p>
            <w:pPr>
              <w:ind w:left="80"/>
              <w:spacing w:after="0"/>
              <w:rPr>
                <w:sz w:val="20"/>
                <w:szCs w:val="20"/>
                <w:color w:val="auto"/>
              </w:rPr>
            </w:pPr>
            <w:r>
              <w:rPr>
                <w:rFonts w:ascii="Arial" w:cs="Arial" w:eastAsia="Arial" w:hAnsi="Arial"/>
                <w:sz w:val="18"/>
                <w:szCs w:val="18"/>
                <w:color w:val="auto"/>
              </w:rPr>
              <w:t>Corporate Trustee Required; Eligibility</w:t>
            </w:r>
          </w:p>
        </w:tc>
        <w:tc>
          <w:tcPr>
            <w:tcW w:w="2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000" w:type="dxa"/>
            <w:vAlign w:val="bottom"/>
            <w:gridSpan w:val="2"/>
          </w:tcPr>
          <w:p>
            <w:pPr>
              <w:ind w:left="440"/>
              <w:spacing w:after="0"/>
              <w:rPr>
                <w:sz w:val="20"/>
                <w:szCs w:val="20"/>
                <w:color w:val="auto"/>
              </w:rPr>
            </w:pPr>
            <w:r>
              <w:rPr>
                <w:rFonts w:ascii="Arial" w:cs="Arial" w:eastAsia="Arial" w:hAnsi="Arial"/>
                <w:sz w:val="18"/>
                <w:szCs w:val="18"/>
                <w:color w:val="auto"/>
              </w:rPr>
              <w:t>Section 6.10. Resignation and Removal; Appointment of Successor</w:t>
            </w:r>
          </w:p>
        </w:tc>
        <w:tc>
          <w:tcPr>
            <w:tcW w:w="2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000" w:type="dxa"/>
            <w:vAlign w:val="bottom"/>
            <w:gridSpan w:val="2"/>
          </w:tcPr>
          <w:p>
            <w:pPr>
              <w:ind w:left="440"/>
              <w:spacing w:after="0"/>
              <w:rPr>
                <w:sz w:val="20"/>
                <w:szCs w:val="20"/>
                <w:color w:val="auto"/>
              </w:rPr>
            </w:pPr>
            <w:r>
              <w:rPr>
                <w:rFonts w:ascii="Arial" w:cs="Arial" w:eastAsia="Arial" w:hAnsi="Arial"/>
                <w:sz w:val="18"/>
                <w:szCs w:val="18"/>
                <w:color w:val="auto"/>
              </w:rPr>
              <w:t>Section 6.11. Acceptance of Appointment by Successor</w:t>
            </w:r>
          </w:p>
        </w:tc>
        <w:tc>
          <w:tcPr>
            <w:tcW w:w="2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000" w:type="dxa"/>
            <w:vAlign w:val="bottom"/>
            <w:gridSpan w:val="2"/>
          </w:tcPr>
          <w:p>
            <w:pPr>
              <w:ind w:left="440"/>
              <w:spacing w:after="0"/>
              <w:rPr>
                <w:sz w:val="20"/>
                <w:szCs w:val="20"/>
                <w:color w:val="auto"/>
              </w:rPr>
            </w:pPr>
            <w:r>
              <w:rPr>
                <w:rFonts w:ascii="Arial" w:cs="Arial" w:eastAsia="Arial" w:hAnsi="Arial"/>
                <w:sz w:val="18"/>
                <w:szCs w:val="18"/>
                <w:color w:val="auto"/>
              </w:rPr>
              <w:t>Section 6.12. Merger, Conversion, Consolidation or Succession to Business</w:t>
            </w:r>
          </w:p>
        </w:tc>
        <w:tc>
          <w:tcPr>
            <w:tcW w:w="2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000" w:type="dxa"/>
            <w:vAlign w:val="bottom"/>
            <w:gridSpan w:val="2"/>
          </w:tcPr>
          <w:p>
            <w:pPr>
              <w:ind w:left="440"/>
              <w:spacing w:after="0"/>
              <w:rPr>
                <w:sz w:val="20"/>
                <w:szCs w:val="20"/>
                <w:color w:val="auto"/>
              </w:rPr>
            </w:pPr>
            <w:r>
              <w:rPr>
                <w:rFonts w:ascii="Arial" w:cs="Arial" w:eastAsia="Arial" w:hAnsi="Arial"/>
                <w:sz w:val="18"/>
                <w:szCs w:val="18"/>
                <w:color w:val="auto"/>
              </w:rPr>
              <w:t>Section 6.13. Preferential Collection of Claims Against Company</w:t>
            </w:r>
          </w:p>
        </w:tc>
        <w:tc>
          <w:tcPr>
            <w:tcW w:w="2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2"/>
        </w:trPr>
        <w:tc>
          <w:tcPr>
            <w:tcW w:w="9000" w:type="dxa"/>
            <w:vAlign w:val="bottom"/>
            <w:gridSpan w:val="2"/>
          </w:tcPr>
          <w:p>
            <w:pPr>
              <w:ind w:left="440"/>
              <w:spacing w:after="0"/>
              <w:rPr>
                <w:sz w:val="20"/>
                <w:szCs w:val="20"/>
                <w:color w:val="auto"/>
              </w:rPr>
            </w:pPr>
            <w:r>
              <w:rPr>
                <w:rFonts w:ascii="Arial" w:cs="Arial" w:eastAsia="Arial" w:hAnsi="Arial"/>
                <w:sz w:val="18"/>
                <w:szCs w:val="18"/>
                <w:color w:val="auto"/>
              </w:rPr>
              <w:t>Section 6.14. Appointment of Authenticating Agent</w:t>
            </w:r>
          </w:p>
        </w:tc>
        <w:tc>
          <w:tcPr>
            <w:tcW w:w="24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18"/>
        </w:trPr>
        <w:tc>
          <w:tcPr>
            <w:tcW w:w="9000" w:type="dxa"/>
            <w:vAlign w:val="bottom"/>
            <w:gridSpan w:val="2"/>
          </w:tcPr>
          <w:p>
            <w:pPr>
              <w:spacing w:after="0"/>
              <w:rPr>
                <w:sz w:val="20"/>
                <w:szCs w:val="20"/>
                <w:color w:val="auto"/>
              </w:rPr>
            </w:pPr>
            <w:r>
              <w:rPr>
                <w:rFonts w:ascii="Arial" w:cs="Arial" w:eastAsia="Arial" w:hAnsi="Arial"/>
                <w:sz w:val="18"/>
                <w:szCs w:val="18"/>
                <w:color w:val="auto"/>
              </w:rPr>
              <w:t>ARTICLE SEVEN HOLDERS’ LISTS AND REPORTS BY TRUSTEE AND COMPANY</w:t>
            </w:r>
          </w:p>
        </w:tc>
        <w:tc>
          <w:tcPr>
            <w:tcW w:w="2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000" w:type="dxa"/>
            <w:vAlign w:val="bottom"/>
            <w:gridSpan w:val="2"/>
          </w:tcPr>
          <w:p>
            <w:pPr>
              <w:ind w:left="440"/>
              <w:spacing w:after="0"/>
              <w:rPr>
                <w:sz w:val="20"/>
                <w:szCs w:val="20"/>
                <w:color w:val="auto"/>
              </w:rPr>
            </w:pPr>
            <w:r>
              <w:rPr>
                <w:rFonts w:ascii="Arial" w:cs="Arial" w:eastAsia="Arial" w:hAnsi="Arial"/>
                <w:sz w:val="18"/>
                <w:szCs w:val="18"/>
                <w:color w:val="auto"/>
              </w:rPr>
              <w:t>Section 7.1.  Company to Furnish Trustee Names and Addresses of Holders</w:t>
            </w:r>
          </w:p>
        </w:tc>
        <w:tc>
          <w:tcPr>
            <w:tcW w:w="2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000" w:type="dxa"/>
            <w:vAlign w:val="bottom"/>
            <w:gridSpan w:val="2"/>
          </w:tcPr>
          <w:p>
            <w:pPr>
              <w:ind w:left="440"/>
              <w:spacing w:after="0"/>
              <w:rPr>
                <w:sz w:val="20"/>
                <w:szCs w:val="20"/>
                <w:color w:val="auto"/>
              </w:rPr>
            </w:pPr>
            <w:r>
              <w:rPr>
                <w:rFonts w:ascii="Arial" w:cs="Arial" w:eastAsia="Arial" w:hAnsi="Arial"/>
                <w:sz w:val="18"/>
                <w:szCs w:val="18"/>
                <w:color w:val="auto"/>
              </w:rPr>
              <w:t>Section 7.2.  Preservation of Information; Communications to Holders</w:t>
            </w:r>
          </w:p>
        </w:tc>
        <w:tc>
          <w:tcPr>
            <w:tcW w:w="2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000" w:type="dxa"/>
            <w:vAlign w:val="bottom"/>
            <w:gridSpan w:val="2"/>
          </w:tcPr>
          <w:p>
            <w:pPr>
              <w:ind w:left="440"/>
              <w:spacing w:after="0"/>
              <w:rPr>
                <w:sz w:val="20"/>
                <w:szCs w:val="20"/>
                <w:color w:val="auto"/>
              </w:rPr>
            </w:pPr>
            <w:r>
              <w:rPr>
                <w:rFonts w:ascii="Arial" w:cs="Arial" w:eastAsia="Arial" w:hAnsi="Arial"/>
                <w:sz w:val="18"/>
                <w:szCs w:val="18"/>
                <w:color w:val="auto"/>
              </w:rPr>
              <w:t>Section 7.3.  Reports by Trustee</w:t>
            </w:r>
          </w:p>
        </w:tc>
        <w:tc>
          <w:tcPr>
            <w:tcW w:w="24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2"/>
        </w:trPr>
        <w:tc>
          <w:tcPr>
            <w:tcW w:w="9000" w:type="dxa"/>
            <w:vAlign w:val="bottom"/>
            <w:gridSpan w:val="2"/>
          </w:tcPr>
          <w:p>
            <w:pPr>
              <w:ind w:left="440"/>
              <w:spacing w:after="0"/>
              <w:rPr>
                <w:sz w:val="20"/>
                <w:szCs w:val="20"/>
                <w:color w:val="auto"/>
              </w:rPr>
            </w:pPr>
            <w:r>
              <w:rPr>
                <w:rFonts w:ascii="Arial" w:cs="Arial" w:eastAsia="Arial" w:hAnsi="Arial"/>
                <w:sz w:val="18"/>
                <w:szCs w:val="18"/>
                <w:color w:val="auto"/>
              </w:rPr>
              <w:t>Section 7.4.  Reports by Company</w:t>
            </w:r>
          </w:p>
        </w:tc>
        <w:tc>
          <w:tcPr>
            <w:tcW w:w="24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18"/>
        </w:trPr>
        <w:tc>
          <w:tcPr>
            <w:tcW w:w="9000" w:type="dxa"/>
            <w:vAlign w:val="bottom"/>
            <w:gridSpan w:val="2"/>
          </w:tcPr>
          <w:p>
            <w:pPr>
              <w:spacing w:after="0"/>
              <w:rPr>
                <w:sz w:val="20"/>
                <w:szCs w:val="20"/>
                <w:color w:val="auto"/>
              </w:rPr>
            </w:pPr>
            <w:r>
              <w:rPr>
                <w:rFonts w:ascii="Arial" w:cs="Arial" w:eastAsia="Arial" w:hAnsi="Arial"/>
                <w:sz w:val="18"/>
                <w:szCs w:val="18"/>
                <w:color w:val="auto"/>
              </w:rPr>
              <w:t>ARTICLE EIGHT CONSOLIDATION, AMALGAMATION, MERGER AND SALE</w:t>
            </w:r>
          </w:p>
        </w:tc>
        <w:tc>
          <w:tcPr>
            <w:tcW w:w="24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000" w:type="dxa"/>
            <w:vAlign w:val="bottom"/>
            <w:gridSpan w:val="2"/>
          </w:tcPr>
          <w:p>
            <w:pPr>
              <w:ind w:left="440"/>
              <w:spacing w:after="0"/>
              <w:rPr>
                <w:sz w:val="20"/>
                <w:szCs w:val="20"/>
                <w:color w:val="auto"/>
              </w:rPr>
            </w:pPr>
            <w:r>
              <w:rPr>
                <w:rFonts w:ascii="Arial" w:cs="Arial" w:eastAsia="Arial" w:hAnsi="Arial"/>
                <w:sz w:val="18"/>
                <w:szCs w:val="18"/>
                <w:color w:val="auto"/>
              </w:rPr>
              <w:t>Section 8.1.  Company May Consolidate, Etc., Only on Certain Terms</w:t>
            </w:r>
          </w:p>
        </w:tc>
        <w:tc>
          <w:tcPr>
            <w:tcW w:w="24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2"/>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8.2.</w:t>
            </w:r>
          </w:p>
        </w:tc>
        <w:tc>
          <w:tcPr>
            <w:tcW w:w="7620" w:type="dxa"/>
            <w:vAlign w:val="bottom"/>
          </w:tcPr>
          <w:p>
            <w:pPr>
              <w:ind w:left="80"/>
              <w:spacing w:after="0"/>
              <w:rPr>
                <w:sz w:val="20"/>
                <w:szCs w:val="20"/>
                <w:color w:val="auto"/>
              </w:rPr>
            </w:pPr>
            <w:r>
              <w:rPr>
                <w:rFonts w:ascii="Arial" w:cs="Arial" w:eastAsia="Arial" w:hAnsi="Arial"/>
                <w:sz w:val="18"/>
                <w:szCs w:val="18"/>
                <w:color w:val="auto"/>
              </w:rPr>
              <w:t>Successor Substituted</w:t>
            </w:r>
          </w:p>
        </w:tc>
        <w:tc>
          <w:tcPr>
            <w:tcW w:w="24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18"/>
        </w:trPr>
        <w:tc>
          <w:tcPr>
            <w:tcW w:w="9000" w:type="dxa"/>
            <w:vAlign w:val="bottom"/>
            <w:gridSpan w:val="2"/>
          </w:tcPr>
          <w:p>
            <w:pPr>
              <w:spacing w:after="0"/>
              <w:rPr>
                <w:sz w:val="20"/>
                <w:szCs w:val="20"/>
                <w:color w:val="auto"/>
              </w:rPr>
            </w:pPr>
            <w:r>
              <w:rPr>
                <w:rFonts w:ascii="Arial" w:cs="Arial" w:eastAsia="Arial" w:hAnsi="Arial"/>
                <w:sz w:val="18"/>
                <w:szCs w:val="18"/>
                <w:color w:val="auto"/>
              </w:rPr>
              <w:t>ARTICLE NINE AMENDMENT, SUPPLEMENT AND WAIVER</w:t>
            </w:r>
          </w:p>
        </w:tc>
        <w:tc>
          <w:tcPr>
            <w:tcW w:w="24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000" w:type="dxa"/>
            <w:vAlign w:val="bottom"/>
            <w:gridSpan w:val="2"/>
          </w:tcPr>
          <w:p>
            <w:pPr>
              <w:ind w:left="440"/>
              <w:spacing w:after="0"/>
              <w:rPr>
                <w:sz w:val="20"/>
                <w:szCs w:val="20"/>
                <w:color w:val="auto"/>
              </w:rPr>
            </w:pPr>
            <w:r>
              <w:rPr>
                <w:rFonts w:ascii="Arial" w:cs="Arial" w:eastAsia="Arial" w:hAnsi="Arial"/>
                <w:sz w:val="18"/>
                <w:szCs w:val="18"/>
                <w:color w:val="auto"/>
              </w:rPr>
              <w:t>Section 9.1.  Without Consent of Holders</w:t>
            </w:r>
          </w:p>
        </w:tc>
        <w:tc>
          <w:tcPr>
            <w:tcW w:w="24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000" w:type="dxa"/>
            <w:vAlign w:val="bottom"/>
            <w:gridSpan w:val="2"/>
          </w:tcPr>
          <w:p>
            <w:pPr>
              <w:ind w:left="440"/>
              <w:spacing w:after="0"/>
              <w:rPr>
                <w:sz w:val="20"/>
                <w:szCs w:val="20"/>
                <w:color w:val="auto"/>
              </w:rPr>
            </w:pPr>
            <w:r>
              <w:rPr>
                <w:rFonts w:ascii="Arial" w:cs="Arial" w:eastAsia="Arial" w:hAnsi="Arial"/>
                <w:sz w:val="18"/>
                <w:szCs w:val="18"/>
                <w:color w:val="auto"/>
              </w:rPr>
              <w:t>Section 9.2.  With Consent of Holders</w:t>
            </w:r>
          </w:p>
        </w:tc>
        <w:tc>
          <w:tcPr>
            <w:tcW w:w="24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000" w:type="dxa"/>
            <w:vAlign w:val="bottom"/>
            <w:gridSpan w:val="2"/>
          </w:tcPr>
          <w:p>
            <w:pPr>
              <w:ind w:left="440"/>
              <w:spacing w:after="0"/>
              <w:rPr>
                <w:sz w:val="20"/>
                <w:szCs w:val="20"/>
                <w:color w:val="auto"/>
              </w:rPr>
            </w:pPr>
            <w:r>
              <w:rPr>
                <w:rFonts w:ascii="Arial" w:cs="Arial" w:eastAsia="Arial" w:hAnsi="Arial"/>
                <w:sz w:val="18"/>
                <w:szCs w:val="18"/>
                <w:color w:val="auto"/>
              </w:rPr>
              <w:t>Section 9.3.  Execution of Supplemental Indentures</w:t>
            </w:r>
          </w:p>
        </w:tc>
        <w:tc>
          <w:tcPr>
            <w:tcW w:w="24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000" w:type="dxa"/>
            <w:vAlign w:val="bottom"/>
            <w:gridSpan w:val="2"/>
          </w:tcPr>
          <w:p>
            <w:pPr>
              <w:ind w:left="440"/>
              <w:spacing w:after="0"/>
              <w:rPr>
                <w:sz w:val="20"/>
                <w:szCs w:val="20"/>
                <w:color w:val="auto"/>
              </w:rPr>
            </w:pPr>
            <w:r>
              <w:rPr>
                <w:rFonts w:ascii="Arial" w:cs="Arial" w:eastAsia="Arial" w:hAnsi="Arial"/>
                <w:sz w:val="18"/>
                <w:szCs w:val="18"/>
                <w:color w:val="auto"/>
              </w:rPr>
              <w:t>Section 9.4.  Effect of Supplemental Indentures</w:t>
            </w:r>
          </w:p>
        </w:tc>
        <w:tc>
          <w:tcPr>
            <w:tcW w:w="24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000" w:type="dxa"/>
            <w:vAlign w:val="bottom"/>
            <w:gridSpan w:val="2"/>
          </w:tcPr>
          <w:p>
            <w:pPr>
              <w:ind w:left="440"/>
              <w:spacing w:after="0"/>
              <w:rPr>
                <w:sz w:val="20"/>
                <w:szCs w:val="20"/>
                <w:color w:val="auto"/>
              </w:rPr>
            </w:pPr>
            <w:r>
              <w:rPr>
                <w:rFonts w:ascii="Arial" w:cs="Arial" w:eastAsia="Arial" w:hAnsi="Arial"/>
                <w:sz w:val="18"/>
                <w:szCs w:val="18"/>
                <w:color w:val="auto"/>
              </w:rPr>
              <w:t>Section 9.5.  Conformity with Trust Indenture Act</w:t>
            </w:r>
          </w:p>
        </w:tc>
        <w:tc>
          <w:tcPr>
            <w:tcW w:w="24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2"/>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9.6.</w:t>
            </w:r>
          </w:p>
        </w:tc>
        <w:tc>
          <w:tcPr>
            <w:tcW w:w="7620" w:type="dxa"/>
            <w:vAlign w:val="bottom"/>
          </w:tcPr>
          <w:p>
            <w:pPr>
              <w:ind w:left="80"/>
              <w:spacing w:after="0"/>
              <w:rPr>
                <w:sz w:val="20"/>
                <w:szCs w:val="20"/>
                <w:color w:val="auto"/>
              </w:rPr>
            </w:pPr>
            <w:r>
              <w:rPr>
                <w:rFonts w:ascii="Arial" w:cs="Arial" w:eastAsia="Arial" w:hAnsi="Arial"/>
                <w:sz w:val="18"/>
                <w:szCs w:val="18"/>
                <w:color w:val="auto"/>
              </w:rPr>
              <w:t>Reference in Securities to Supplemental Indentures</w:t>
            </w:r>
          </w:p>
        </w:tc>
        <w:tc>
          <w:tcPr>
            <w:tcW w:w="242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16"/>
        </w:trPr>
        <w:tc>
          <w:tcPr>
            <w:tcW w:w="10080" w:type="dxa"/>
            <w:vAlign w:val="bottom"/>
            <w:gridSpan w:val="2"/>
          </w:tcPr>
          <w:p>
            <w:pPr>
              <w:spacing w:after="0"/>
              <w:rPr>
                <w:sz w:val="20"/>
                <w:szCs w:val="20"/>
                <w:color w:val="auto"/>
              </w:rPr>
            </w:pPr>
            <w:r>
              <w:rPr>
                <w:rFonts w:ascii="Arial" w:cs="Arial" w:eastAsia="Arial" w:hAnsi="Arial"/>
                <w:sz w:val="18"/>
                <w:szCs w:val="18"/>
                <w:color w:val="auto"/>
              </w:rPr>
              <w:t>ARTICLE TEN COVENANTS</w:t>
            </w:r>
          </w:p>
        </w:tc>
        <w:tc>
          <w:tcPr>
            <w:tcW w:w="13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10.1.</w:t>
            </w:r>
          </w:p>
        </w:tc>
        <w:tc>
          <w:tcPr>
            <w:tcW w:w="8580" w:type="dxa"/>
            <w:vAlign w:val="bottom"/>
          </w:tcPr>
          <w:p>
            <w:pPr>
              <w:ind w:left="40"/>
              <w:spacing w:after="0"/>
              <w:rPr>
                <w:sz w:val="20"/>
                <w:szCs w:val="20"/>
                <w:color w:val="auto"/>
              </w:rPr>
            </w:pPr>
            <w:r>
              <w:rPr>
                <w:rFonts w:ascii="Arial" w:cs="Arial" w:eastAsia="Arial" w:hAnsi="Arial"/>
                <w:sz w:val="18"/>
                <w:szCs w:val="18"/>
                <w:color w:val="auto"/>
              </w:rPr>
              <w:t>Payment of Principal, Premium and Interest</w:t>
            </w:r>
          </w:p>
        </w:tc>
        <w:tc>
          <w:tcPr>
            <w:tcW w:w="13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10.2.</w:t>
            </w:r>
          </w:p>
        </w:tc>
        <w:tc>
          <w:tcPr>
            <w:tcW w:w="8580" w:type="dxa"/>
            <w:vAlign w:val="bottom"/>
          </w:tcPr>
          <w:p>
            <w:pPr>
              <w:ind w:left="40"/>
              <w:spacing w:after="0"/>
              <w:rPr>
                <w:sz w:val="20"/>
                <w:szCs w:val="20"/>
                <w:color w:val="auto"/>
              </w:rPr>
            </w:pPr>
            <w:r>
              <w:rPr>
                <w:rFonts w:ascii="Arial" w:cs="Arial" w:eastAsia="Arial" w:hAnsi="Arial"/>
                <w:sz w:val="18"/>
                <w:szCs w:val="18"/>
                <w:color w:val="auto"/>
              </w:rPr>
              <w:t>Maintenance of Office or Agency</w:t>
            </w:r>
          </w:p>
        </w:tc>
        <w:tc>
          <w:tcPr>
            <w:tcW w:w="13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10.3.</w:t>
            </w:r>
          </w:p>
        </w:tc>
        <w:tc>
          <w:tcPr>
            <w:tcW w:w="8580" w:type="dxa"/>
            <w:vAlign w:val="bottom"/>
          </w:tcPr>
          <w:p>
            <w:pPr>
              <w:ind w:left="40"/>
              <w:spacing w:after="0"/>
              <w:rPr>
                <w:sz w:val="20"/>
                <w:szCs w:val="20"/>
                <w:color w:val="auto"/>
              </w:rPr>
            </w:pPr>
            <w:r>
              <w:rPr>
                <w:rFonts w:ascii="Arial" w:cs="Arial" w:eastAsia="Arial" w:hAnsi="Arial"/>
                <w:sz w:val="18"/>
                <w:szCs w:val="18"/>
                <w:color w:val="auto"/>
              </w:rPr>
              <w:t>Money for Securities Payments to Be Held in Trust</w:t>
            </w:r>
          </w:p>
        </w:tc>
        <w:tc>
          <w:tcPr>
            <w:tcW w:w="1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10.4.</w:t>
            </w:r>
          </w:p>
        </w:tc>
        <w:tc>
          <w:tcPr>
            <w:tcW w:w="8580" w:type="dxa"/>
            <w:vAlign w:val="bottom"/>
          </w:tcPr>
          <w:p>
            <w:pPr>
              <w:ind w:left="40"/>
              <w:spacing w:after="0"/>
              <w:rPr>
                <w:sz w:val="20"/>
                <w:szCs w:val="20"/>
                <w:color w:val="auto"/>
              </w:rPr>
            </w:pPr>
            <w:r>
              <w:rPr>
                <w:rFonts w:ascii="Arial" w:cs="Arial" w:eastAsia="Arial" w:hAnsi="Arial"/>
                <w:sz w:val="18"/>
                <w:szCs w:val="18"/>
                <w:color w:val="auto"/>
              </w:rPr>
              <w:t>Existence</w:t>
            </w:r>
          </w:p>
        </w:tc>
        <w:tc>
          <w:tcPr>
            <w:tcW w:w="1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10.5.</w:t>
            </w:r>
          </w:p>
        </w:tc>
        <w:tc>
          <w:tcPr>
            <w:tcW w:w="8580" w:type="dxa"/>
            <w:vAlign w:val="bottom"/>
          </w:tcPr>
          <w:p>
            <w:pPr>
              <w:ind w:left="40"/>
              <w:spacing w:after="0"/>
              <w:rPr>
                <w:sz w:val="20"/>
                <w:szCs w:val="20"/>
                <w:color w:val="auto"/>
              </w:rPr>
            </w:pPr>
            <w:r>
              <w:rPr>
                <w:rFonts w:ascii="Arial" w:cs="Arial" w:eastAsia="Arial" w:hAnsi="Arial"/>
                <w:sz w:val="18"/>
                <w:szCs w:val="18"/>
                <w:color w:val="auto"/>
              </w:rPr>
              <w:t>Statement by Officers as to Default</w:t>
            </w:r>
          </w:p>
        </w:tc>
        <w:tc>
          <w:tcPr>
            <w:tcW w:w="1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2"/>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10.6.</w:t>
            </w:r>
          </w:p>
        </w:tc>
        <w:tc>
          <w:tcPr>
            <w:tcW w:w="8580" w:type="dxa"/>
            <w:vAlign w:val="bottom"/>
          </w:tcPr>
          <w:p>
            <w:pPr>
              <w:ind w:left="40"/>
              <w:spacing w:after="0"/>
              <w:rPr>
                <w:sz w:val="20"/>
                <w:szCs w:val="20"/>
                <w:color w:val="auto"/>
              </w:rPr>
            </w:pPr>
            <w:r>
              <w:rPr>
                <w:rFonts w:ascii="Arial" w:cs="Arial" w:eastAsia="Arial" w:hAnsi="Arial"/>
                <w:sz w:val="18"/>
                <w:szCs w:val="18"/>
                <w:color w:val="auto"/>
              </w:rPr>
              <w:t>Additional Amounts</w:t>
            </w:r>
          </w:p>
        </w:tc>
        <w:tc>
          <w:tcPr>
            <w:tcW w:w="1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8"/>
        </w:trPr>
        <w:tc>
          <w:tcPr>
            <w:tcW w:w="10080" w:type="dxa"/>
            <w:vAlign w:val="bottom"/>
            <w:gridSpan w:val="2"/>
          </w:tcPr>
          <w:p>
            <w:pPr>
              <w:spacing w:after="0"/>
              <w:rPr>
                <w:sz w:val="20"/>
                <w:szCs w:val="20"/>
                <w:color w:val="auto"/>
              </w:rPr>
            </w:pPr>
            <w:r>
              <w:rPr>
                <w:rFonts w:ascii="Arial" w:cs="Arial" w:eastAsia="Arial" w:hAnsi="Arial"/>
                <w:sz w:val="18"/>
                <w:szCs w:val="18"/>
                <w:color w:val="auto"/>
              </w:rPr>
              <w:t>ARTICLE ELEVEN REDEMPTION OF SECURITIES</w:t>
            </w:r>
          </w:p>
        </w:tc>
        <w:tc>
          <w:tcPr>
            <w:tcW w:w="13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11.1.</w:t>
            </w:r>
          </w:p>
        </w:tc>
        <w:tc>
          <w:tcPr>
            <w:tcW w:w="8580" w:type="dxa"/>
            <w:vAlign w:val="bottom"/>
          </w:tcPr>
          <w:p>
            <w:pPr>
              <w:ind w:left="40"/>
              <w:spacing w:after="0"/>
              <w:rPr>
                <w:sz w:val="20"/>
                <w:szCs w:val="20"/>
                <w:color w:val="auto"/>
              </w:rPr>
            </w:pPr>
            <w:r>
              <w:rPr>
                <w:rFonts w:ascii="Arial" w:cs="Arial" w:eastAsia="Arial" w:hAnsi="Arial"/>
                <w:sz w:val="18"/>
                <w:szCs w:val="18"/>
                <w:color w:val="auto"/>
              </w:rPr>
              <w:t>Applicability of Article</w:t>
            </w:r>
          </w:p>
        </w:tc>
        <w:tc>
          <w:tcPr>
            <w:tcW w:w="13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11.2.</w:t>
            </w:r>
          </w:p>
        </w:tc>
        <w:tc>
          <w:tcPr>
            <w:tcW w:w="8580" w:type="dxa"/>
            <w:vAlign w:val="bottom"/>
          </w:tcPr>
          <w:p>
            <w:pPr>
              <w:ind w:left="40"/>
              <w:spacing w:after="0"/>
              <w:rPr>
                <w:sz w:val="20"/>
                <w:szCs w:val="20"/>
                <w:color w:val="auto"/>
              </w:rPr>
            </w:pPr>
            <w:r>
              <w:rPr>
                <w:rFonts w:ascii="Arial" w:cs="Arial" w:eastAsia="Arial" w:hAnsi="Arial"/>
                <w:sz w:val="18"/>
                <w:szCs w:val="18"/>
                <w:color w:val="auto"/>
              </w:rPr>
              <w:t>Election to Redeem; Notice to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11.3.</w:t>
            </w:r>
          </w:p>
        </w:tc>
        <w:tc>
          <w:tcPr>
            <w:tcW w:w="8580" w:type="dxa"/>
            <w:vAlign w:val="bottom"/>
          </w:tcPr>
          <w:p>
            <w:pPr>
              <w:ind w:left="40"/>
              <w:spacing w:after="0"/>
              <w:rPr>
                <w:sz w:val="20"/>
                <w:szCs w:val="20"/>
                <w:color w:val="auto"/>
              </w:rPr>
            </w:pPr>
            <w:r>
              <w:rPr>
                <w:rFonts w:ascii="Arial" w:cs="Arial" w:eastAsia="Arial" w:hAnsi="Arial"/>
                <w:sz w:val="18"/>
                <w:szCs w:val="18"/>
                <w:color w:val="auto"/>
              </w:rPr>
              <w:t>Selection by Trustee of Securities to Be Redeemed</w:t>
            </w:r>
          </w:p>
        </w:tc>
        <w:tc>
          <w:tcPr>
            <w:tcW w:w="13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11.4.</w:t>
            </w:r>
          </w:p>
        </w:tc>
        <w:tc>
          <w:tcPr>
            <w:tcW w:w="8580" w:type="dxa"/>
            <w:vAlign w:val="bottom"/>
          </w:tcPr>
          <w:p>
            <w:pPr>
              <w:ind w:left="40"/>
              <w:spacing w:after="0"/>
              <w:rPr>
                <w:sz w:val="20"/>
                <w:szCs w:val="20"/>
                <w:color w:val="auto"/>
              </w:rPr>
            </w:pPr>
            <w:r>
              <w:rPr>
                <w:rFonts w:ascii="Arial" w:cs="Arial" w:eastAsia="Arial" w:hAnsi="Arial"/>
                <w:sz w:val="18"/>
                <w:szCs w:val="18"/>
                <w:color w:val="auto"/>
              </w:rPr>
              <w:t>Notice of Redemption</w:t>
            </w:r>
          </w:p>
        </w:tc>
        <w:tc>
          <w:tcPr>
            <w:tcW w:w="13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11.5.</w:t>
            </w:r>
          </w:p>
        </w:tc>
        <w:tc>
          <w:tcPr>
            <w:tcW w:w="8580" w:type="dxa"/>
            <w:vAlign w:val="bottom"/>
          </w:tcPr>
          <w:p>
            <w:pPr>
              <w:ind w:left="40"/>
              <w:spacing w:after="0"/>
              <w:rPr>
                <w:sz w:val="20"/>
                <w:szCs w:val="20"/>
                <w:color w:val="auto"/>
              </w:rPr>
            </w:pPr>
            <w:r>
              <w:rPr>
                <w:rFonts w:ascii="Arial" w:cs="Arial" w:eastAsia="Arial" w:hAnsi="Arial"/>
                <w:sz w:val="18"/>
                <w:szCs w:val="18"/>
                <w:color w:val="auto"/>
              </w:rPr>
              <w:t>Deposit of Redemption Price</w:t>
            </w:r>
          </w:p>
        </w:tc>
        <w:tc>
          <w:tcPr>
            <w:tcW w:w="13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11.6.</w:t>
            </w:r>
          </w:p>
        </w:tc>
        <w:tc>
          <w:tcPr>
            <w:tcW w:w="8580" w:type="dxa"/>
            <w:vAlign w:val="bottom"/>
          </w:tcPr>
          <w:p>
            <w:pPr>
              <w:ind w:left="40"/>
              <w:spacing w:after="0"/>
              <w:rPr>
                <w:sz w:val="20"/>
                <w:szCs w:val="20"/>
                <w:color w:val="auto"/>
              </w:rPr>
            </w:pPr>
            <w:r>
              <w:rPr>
                <w:rFonts w:ascii="Arial" w:cs="Arial" w:eastAsia="Arial" w:hAnsi="Arial"/>
                <w:sz w:val="18"/>
                <w:szCs w:val="18"/>
                <w:color w:val="auto"/>
              </w:rPr>
              <w:t>Securities Payable on Redemption Date</w:t>
            </w:r>
          </w:p>
        </w:tc>
        <w:tc>
          <w:tcPr>
            <w:tcW w:w="13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2"/>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11.7.</w:t>
            </w:r>
          </w:p>
        </w:tc>
        <w:tc>
          <w:tcPr>
            <w:tcW w:w="8580" w:type="dxa"/>
            <w:vAlign w:val="bottom"/>
          </w:tcPr>
          <w:p>
            <w:pPr>
              <w:ind w:left="40"/>
              <w:spacing w:after="0"/>
              <w:rPr>
                <w:sz w:val="20"/>
                <w:szCs w:val="20"/>
                <w:color w:val="auto"/>
              </w:rPr>
            </w:pPr>
            <w:r>
              <w:rPr>
                <w:rFonts w:ascii="Arial" w:cs="Arial" w:eastAsia="Arial" w:hAnsi="Arial"/>
                <w:sz w:val="18"/>
                <w:szCs w:val="18"/>
                <w:color w:val="auto"/>
              </w:rPr>
              <w:t>Securities Redeemed in Part</w:t>
            </w:r>
          </w:p>
        </w:tc>
        <w:tc>
          <w:tcPr>
            <w:tcW w:w="13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18"/>
        </w:trPr>
        <w:tc>
          <w:tcPr>
            <w:tcW w:w="10080" w:type="dxa"/>
            <w:vAlign w:val="bottom"/>
            <w:gridSpan w:val="2"/>
          </w:tcPr>
          <w:p>
            <w:pPr>
              <w:spacing w:after="0"/>
              <w:rPr>
                <w:sz w:val="20"/>
                <w:szCs w:val="20"/>
                <w:color w:val="auto"/>
              </w:rPr>
            </w:pPr>
            <w:r>
              <w:rPr>
                <w:rFonts w:ascii="Arial" w:cs="Arial" w:eastAsia="Arial" w:hAnsi="Arial"/>
                <w:sz w:val="18"/>
                <w:szCs w:val="18"/>
                <w:color w:val="auto"/>
              </w:rPr>
              <w:t>ARTICLE TWELVE SINKING FUNDS</w:t>
            </w:r>
          </w:p>
        </w:tc>
        <w:tc>
          <w:tcPr>
            <w:tcW w:w="13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12.1.</w:t>
            </w:r>
          </w:p>
        </w:tc>
        <w:tc>
          <w:tcPr>
            <w:tcW w:w="8580" w:type="dxa"/>
            <w:vAlign w:val="bottom"/>
          </w:tcPr>
          <w:p>
            <w:pPr>
              <w:ind w:left="40"/>
              <w:spacing w:after="0"/>
              <w:rPr>
                <w:sz w:val="20"/>
                <w:szCs w:val="20"/>
                <w:color w:val="auto"/>
              </w:rPr>
            </w:pPr>
            <w:r>
              <w:rPr>
                <w:rFonts w:ascii="Arial" w:cs="Arial" w:eastAsia="Arial" w:hAnsi="Arial"/>
                <w:sz w:val="18"/>
                <w:szCs w:val="18"/>
                <w:color w:val="auto"/>
              </w:rPr>
              <w:t>Applicability of Article</w:t>
            </w:r>
          </w:p>
        </w:tc>
        <w:tc>
          <w:tcPr>
            <w:tcW w:w="13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12.2.</w:t>
            </w:r>
          </w:p>
        </w:tc>
        <w:tc>
          <w:tcPr>
            <w:tcW w:w="8580" w:type="dxa"/>
            <w:vAlign w:val="bottom"/>
          </w:tcPr>
          <w:p>
            <w:pPr>
              <w:ind w:left="40"/>
              <w:spacing w:after="0"/>
              <w:rPr>
                <w:sz w:val="20"/>
                <w:szCs w:val="20"/>
                <w:color w:val="auto"/>
              </w:rPr>
            </w:pPr>
            <w:r>
              <w:rPr>
                <w:rFonts w:ascii="Arial" w:cs="Arial" w:eastAsia="Arial" w:hAnsi="Arial"/>
                <w:sz w:val="18"/>
                <w:szCs w:val="18"/>
                <w:color w:val="auto"/>
              </w:rPr>
              <w:t>Satisfaction of Sinking Fund Payments with Securities</w:t>
            </w:r>
          </w:p>
        </w:tc>
        <w:tc>
          <w:tcPr>
            <w:tcW w:w="13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2"/>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12.3.</w:t>
            </w:r>
          </w:p>
        </w:tc>
        <w:tc>
          <w:tcPr>
            <w:tcW w:w="8580" w:type="dxa"/>
            <w:vAlign w:val="bottom"/>
          </w:tcPr>
          <w:p>
            <w:pPr>
              <w:ind w:left="40"/>
              <w:spacing w:after="0"/>
              <w:rPr>
                <w:sz w:val="20"/>
                <w:szCs w:val="20"/>
                <w:color w:val="auto"/>
              </w:rPr>
            </w:pPr>
            <w:r>
              <w:rPr>
                <w:rFonts w:ascii="Arial" w:cs="Arial" w:eastAsia="Arial" w:hAnsi="Arial"/>
                <w:sz w:val="18"/>
                <w:szCs w:val="18"/>
                <w:color w:val="auto"/>
              </w:rPr>
              <w:t>Redemption of Securities for Sinking Fund</w:t>
            </w:r>
          </w:p>
        </w:tc>
        <w:tc>
          <w:tcPr>
            <w:tcW w:w="1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8"/>
        </w:trPr>
        <w:tc>
          <w:tcPr>
            <w:tcW w:w="10080" w:type="dxa"/>
            <w:vAlign w:val="bottom"/>
            <w:gridSpan w:val="2"/>
          </w:tcPr>
          <w:p>
            <w:pPr>
              <w:spacing w:after="0"/>
              <w:rPr>
                <w:sz w:val="20"/>
                <w:szCs w:val="20"/>
                <w:color w:val="auto"/>
              </w:rPr>
            </w:pPr>
            <w:r>
              <w:rPr>
                <w:rFonts w:ascii="Arial" w:cs="Arial" w:eastAsia="Arial" w:hAnsi="Arial"/>
                <w:sz w:val="18"/>
                <w:szCs w:val="18"/>
                <w:color w:val="auto"/>
              </w:rPr>
              <w:t>ARTICLE THIRTEEN DEFEASANCE</w:t>
            </w:r>
          </w:p>
        </w:tc>
        <w:tc>
          <w:tcPr>
            <w:tcW w:w="1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13.1.</w:t>
            </w:r>
          </w:p>
        </w:tc>
        <w:tc>
          <w:tcPr>
            <w:tcW w:w="8580" w:type="dxa"/>
            <w:vAlign w:val="bottom"/>
          </w:tcPr>
          <w:p>
            <w:pPr>
              <w:ind w:left="40"/>
              <w:spacing w:after="0"/>
              <w:rPr>
                <w:sz w:val="20"/>
                <w:szCs w:val="20"/>
                <w:color w:val="auto"/>
              </w:rPr>
            </w:pPr>
            <w:r>
              <w:rPr>
                <w:rFonts w:ascii="Arial" w:cs="Arial" w:eastAsia="Arial" w:hAnsi="Arial"/>
                <w:sz w:val="18"/>
                <w:szCs w:val="18"/>
                <w:color w:val="auto"/>
              </w:rPr>
              <w:t>Option to Effect Legal Defeasance or Covenant Defeasance</w:t>
            </w:r>
          </w:p>
        </w:tc>
        <w:tc>
          <w:tcPr>
            <w:tcW w:w="1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13.2.</w:t>
            </w:r>
          </w:p>
        </w:tc>
        <w:tc>
          <w:tcPr>
            <w:tcW w:w="8580" w:type="dxa"/>
            <w:vAlign w:val="bottom"/>
          </w:tcPr>
          <w:p>
            <w:pPr>
              <w:ind w:left="40"/>
              <w:spacing w:after="0"/>
              <w:rPr>
                <w:sz w:val="20"/>
                <w:szCs w:val="20"/>
                <w:color w:val="auto"/>
              </w:rPr>
            </w:pPr>
            <w:r>
              <w:rPr>
                <w:rFonts w:ascii="Arial" w:cs="Arial" w:eastAsia="Arial" w:hAnsi="Arial"/>
                <w:sz w:val="18"/>
                <w:szCs w:val="18"/>
                <w:color w:val="auto"/>
              </w:rPr>
              <w:t>Legal Defeasance and Discharge</w:t>
            </w:r>
          </w:p>
        </w:tc>
        <w:tc>
          <w:tcPr>
            <w:tcW w:w="1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13.3.</w:t>
            </w:r>
          </w:p>
        </w:tc>
        <w:tc>
          <w:tcPr>
            <w:tcW w:w="8580" w:type="dxa"/>
            <w:vAlign w:val="bottom"/>
          </w:tcPr>
          <w:p>
            <w:pPr>
              <w:ind w:left="40"/>
              <w:spacing w:after="0"/>
              <w:rPr>
                <w:sz w:val="20"/>
                <w:szCs w:val="20"/>
                <w:color w:val="auto"/>
              </w:rPr>
            </w:pPr>
            <w:r>
              <w:rPr>
                <w:rFonts w:ascii="Arial" w:cs="Arial" w:eastAsia="Arial" w:hAnsi="Arial"/>
                <w:sz w:val="18"/>
                <w:szCs w:val="18"/>
                <w:color w:val="auto"/>
              </w:rPr>
              <w:t>Covenant Defeasance</w:t>
            </w:r>
          </w:p>
        </w:tc>
        <w:tc>
          <w:tcPr>
            <w:tcW w:w="1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13.4.</w:t>
            </w:r>
          </w:p>
        </w:tc>
        <w:tc>
          <w:tcPr>
            <w:tcW w:w="8580" w:type="dxa"/>
            <w:vAlign w:val="bottom"/>
          </w:tcPr>
          <w:p>
            <w:pPr>
              <w:ind w:left="40"/>
              <w:spacing w:after="0"/>
              <w:rPr>
                <w:sz w:val="20"/>
                <w:szCs w:val="20"/>
                <w:color w:val="auto"/>
              </w:rPr>
            </w:pPr>
            <w:r>
              <w:rPr>
                <w:rFonts w:ascii="Arial" w:cs="Arial" w:eastAsia="Arial" w:hAnsi="Arial"/>
                <w:sz w:val="18"/>
                <w:szCs w:val="18"/>
                <w:color w:val="auto"/>
              </w:rPr>
              <w:t>Conditions to Legal or Covenant Defeasance</w:t>
            </w:r>
          </w:p>
        </w:tc>
        <w:tc>
          <w:tcPr>
            <w:tcW w:w="1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13.5.</w:t>
            </w:r>
          </w:p>
        </w:tc>
        <w:tc>
          <w:tcPr>
            <w:tcW w:w="8580" w:type="dxa"/>
            <w:vAlign w:val="bottom"/>
          </w:tcPr>
          <w:p>
            <w:pPr>
              <w:ind w:left="40"/>
              <w:spacing w:after="0"/>
              <w:rPr>
                <w:sz w:val="20"/>
                <w:szCs w:val="20"/>
                <w:color w:val="auto"/>
              </w:rPr>
            </w:pPr>
            <w:r>
              <w:rPr>
                <w:rFonts w:ascii="Arial" w:cs="Arial" w:eastAsia="Arial" w:hAnsi="Arial"/>
                <w:sz w:val="18"/>
                <w:szCs w:val="18"/>
                <w:color w:val="auto"/>
              </w:rPr>
              <w:t>Deposited Money and U.S. Government Obligations to be Held in Trust, Other Miscellaneous Provisions</w:t>
            </w:r>
          </w:p>
        </w:tc>
        <w:tc>
          <w:tcPr>
            <w:tcW w:w="1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13.6.</w:t>
            </w:r>
          </w:p>
        </w:tc>
        <w:tc>
          <w:tcPr>
            <w:tcW w:w="8580" w:type="dxa"/>
            <w:vAlign w:val="bottom"/>
          </w:tcPr>
          <w:p>
            <w:pPr>
              <w:ind w:left="40"/>
              <w:spacing w:after="0"/>
              <w:rPr>
                <w:sz w:val="20"/>
                <w:szCs w:val="20"/>
                <w:color w:val="auto"/>
              </w:rPr>
            </w:pPr>
            <w:r>
              <w:rPr>
                <w:rFonts w:ascii="Arial" w:cs="Arial" w:eastAsia="Arial" w:hAnsi="Arial"/>
                <w:sz w:val="18"/>
                <w:szCs w:val="18"/>
                <w:color w:val="auto"/>
              </w:rPr>
              <w:t>Repayment</w:t>
            </w:r>
          </w:p>
        </w:tc>
        <w:tc>
          <w:tcPr>
            <w:tcW w:w="13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2"/>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13.7.</w:t>
            </w:r>
          </w:p>
        </w:tc>
        <w:tc>
          <w:tcPr>
            <w:tcW w:w="8580" w:type="dxa"/>
            <w:vAlign w:val="bottom"/>
          </w:tcPr>
          <w:p>
            <w:pPr>
              <w:ind w:left="40"/>
              <w:spacing w:after="0"/>
              <w:rPr>
                <w:sz w:val="20"/>
                <w:szCs w:val="20"/>
                <w:color w:val="auto"/>
              </w:rPr>
            </w:pPr>
            <w:r>
              <w:rPr>
                <w:rFonts w:ascii="Arial" w:cs="Arial" w:eastAsia="Arial" w:hAnsi="Arial"/>
                <w:sz w:val="18"/>
                <w:szCs w:val="18"/>
                <w:color w:val="auto"/>
              </w:rPr>
              <w:t>Reinstatement</w:t>
            </w:r>
          </w:p>
        </w:tc>
        <w:tc>
          <w:tcPr>
            <w:tcW w:w="13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18"/>
        </w:trPr>
        <w:tc>
          <w:tcPr>
            <w:tcW w:w="10080" w:type="dxa"/>
            <w:vAlign w:val="bottom"/>
            <w:gridSpan w:val="2"/>
          </w:tcPr>
          <w:p>
            <w:pPr>
              <w:spacing w:after="0"/>
              <w:rPr>
                <w:sz w:val="20"/>
                <w:szCs w:val="20"/>
                <w:color w:val="auto"/>
              </w:rPr>
            </w:pPr>
            <w:r>
              <w:rPr>
                <w:rFonts w:ascii="Arial" w:cs="Arial" w:eastAsia="Arial" w:hAnsi="Arial"/>
                <w:sz w:val="18"/>
                <w:szCs w:val="18"/>
                <w:color w:val="auto"/>
              </w:rPr>
              <w:t>ARTICLE FOURTEEN GUARANTEE OF SECURITIES</w:t>
            </w:r>
          </w:p>
        </w:tc>
        <w:tc>
          <w:tcPr>
            <w:tcW w:w="13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14.1.</w:t>
            </w:r>
          </w:p>
        </w:tc>
        <w:tc>
          <w:tcPr>
            <w:tcW w:w="8580" w:type="dxa"/>
            <w:vAlign w:val="bottom"/>
          </w:tcPr>
          <w:p>
            <w:pPr>
              <w:ind w:left="40"/>
              <w:spacing w:after="0"/>
              <w:rPr>
                <w:sz w:val="20"/>
                <w:szCs w:val="20"/>
                <w:color w:val="auto"/>
              </w:rPr>
            </w:pPr>
            <w:r>
              <w:rPr>
                <w:rFonts w:ascii="Arial" w:cs="Arial" w:eastAsia="Arial" w:hAnsi="Arial"/>
                <w:sz w:val="18"/>
                <w:szCs w:val="18"/>
                <w:color w:val="auto"/>
              </w:rPr>
              <w:t>Guarantee</w:t>
            </w:r>
          </w:p>
        </w:tc>
        <w:tc>
          <w:tcPr>
            <w:tcW w:w="13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14.2.</w:t>
            </w:r>
          </w:p>
        </w:tc>
        <w:tc>
          <w:tcPr>
            <w:tcW w:w="8580" w:type="dxa"/>
            <w:vAlign w:val="bottom"/>
          </w:tcPr>
          <w:p>
            <w:pPr>
              <w:ind w:left="40"/>
              <w:spacing w:after="0"/>
              <w:rPr>
                <w:sz w:val="20"/>
                <w:szCs w:val="20"/>
                <w:color w:val="auto"/>
              </w:rPr>
            </w:pPr>
            <w:r>
              <w:rPr>
                <w:rFonts w:ascii="Arial" w:cs="Arial" w:eastAsia="Arial" w:hAnsi="Arial"/>
                <w:sz w:val="18"/>
                <w:szCs w:val="18"/>
                <w:color w:val="auto"/>
              </w:rPr>
              <w:t>Limitation on Guarantor Liability</w:t>
            </w:r>
          </w:p>
        </w:tc>
        <w:tc>
          <w:tcPr>
            <w:tcW w:w="13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2"/>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14.3.</w:t>
            </w:r>
          </w:p>
        </w:tc>
        <w:tc>
          <w:tcPr>
            <w:tcW w:w="8580" w:type="dxa"/>
            <w:vAlign w:val="bottom"/>
          </w:tcPr>
          <w:p>
            <w:pPr>
              <w:ind w:left="40"/>
              <w:spacing w:after="0"/>
              <w:rPr>
                <w:sz w:val="20"/>
                <w:szCs w:val="20"/>
                <w:color w:val="auto"/>
              </w:rPr>
            </w:pPr>
            <w:r>
              <w:rPr>
                <w:rFonts w:ascii="Arial" w:cs="Arial" w:eastAsia="Arial" w:hAnsi="Arial"/>
                <w:sz w:val="18"/>
                <w:szCs w:val="18"/>
                <w:color w:val="auto"/>
              </w:rPr>
              <w:t>Execution and Delivery of Guarantee Notation</w:t>
            </w:r>
          </w:p>
        </w:tc>
        <w:tc>
          <w:tcPr>
            <w:tcW w:w="13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18"/>
        </w:trPr>
        <w:tc>
          <w:tcPr>
            <w:tcW w:w="10080" w:type="dxa"/>
            <w:vAlign w:val="bottom"/>
            <w:gridSpan w:val="2"/>
          </w:tcPr>
          <w:p>
            <w:pPr>
              <w:spacing w:after="0"/>
              <w:rPr>
                <w:sz w:val="20"/>
                <w:szCs w:val="20"/>
                <w:color w:val="auto"/>
              </w:rPr>
            </w:pPr>
            <w:r>
              <w:rPr>
                <w:rFonts w:ascii="Arial" w:cs="Arial" w:eastAsia="Arial" w:hAnsi="Arial"/>
                <w:sz w:val="18"/>
                <w:szCs w:val="18"/>
                <w:color w:val="auto"/>
              </w:rPr>
              <w:t>ARTICLE FIFTEEN SUBORDINATION OF SECURITIES</w:t>
            </w:r>
          </w:p>
        </w:tc>
        <w:tc>
          <w:tcPr>
            <w:tcW w:w="13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15.1.</w:t>
            </w:r>
          </w:p>
        </w:tc>
        <w:tc>
          <w:tcPr>
            <w:tcW w:w="8580" w:type="dxa"/>
            <w:vAlign w:val="bottom"/>
          </w:tcPr>
          <w:p>
            <w:pPr>
              <w:ind w:left="40"/>
              <w:spacing w:after="0"/>
              <w:rPr>
                <w:sz w:val="20"/>
                <w:szCs w:val="20"/>
                <w:color w:val="auto"/>
              </w:rPr>
            </w:pPr>
            <w:r>
              <w:rPr>
                <w:rFonts w:ascii="Arial" w:cs="Arial" w:eastAsia="Arial" w:hAnsi="Arial"/>
                <w:sz w:val="18"/>
                <w:szCs w:val="18"/>
                <w:color w:val="auto"/>
              </w:rPr>
              <w:t>Securities Subordinated to Senior Debt</w:t>
            </w:r>
          </w:p>
        </w:tc>
        <w:tc>
          <w:tcPr>
            <w:tcW w:w="13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15.2.</w:t>
            </w:r>
          </w:p>
        </w:tc>
        <w:tc>
          <w:tcPr>
            <w:tcW w:w="8580" w:type="dxa"/>
            <w:vAlign w:val="bottom"/>
          </w:tcPr>
          <w:p>
            <w:pPr>
              <w:ind w:left="40"/>
              <w:spacing w:after="0"/>
              <w:rPr>
                <w:sz w:val="20"/>
                <w:szCs w:val="20"/>
                <w:color w:val="auto"/>
              </w:rPr>
            </w:pPr>
            <w:r>
              <w:rPr>
                <w:rFonts w:ascii="Arial" w:cs="Arial" w:eastAsia="Arial" w:hAnsi="Arial"/>
                <w:sz w:val="18"/>
                <w:szCs w:val="18"/>
                <w:color w:val="auto"/>
              </w:rPr>
              <w:t>No Payment on Securities in Certain Circumstances</w:t>
            </w:r>
          </w:p>
        </w:tc>
        <w:tc>
          <w:tcPr>
            <w:tcW w:w="1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15.3.</w:t>
            </w:r>
          </w:p>
        </w:tc>
        <w:tc>
          <w:tcPr>
            <w:tcW w:w="8580" w:type="dxa"/>
            <w:vAlign w:val="bottom"/>
          </w:tcPr>
          <w:p>
            <w:pPr>
              <w:ind w:left="40"/>
              <w:spacing w:after="0"/>
              <w:rPr>
                <w:sz w:val="20"/>
                <w:szCs w:val="20"/>
                <w:color w:val="auto"/>
              </w:rPr>
            </w:pPr>
            <w:r>
              <w:rPr>
                <w:rFonts w:ascii="Arial" w:cs="Arial" w:eastAsia="Arial" w:hAnsi="Arial"/>
                <w:sz w:val="18"/>
                <w:szCs w:val="18"/>
                <w:color w:val="auto"/>
              </w:rPr>
              <w:t>Payment over Proceeds upon Dissolution, Etc</w:t>
            </w:r>
          </w:p>
        </w:tc>
        <w:tc>
          <w:tcPr>
            <w:tcW w:w="13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15.4.</w:t>
            </w:r>
          </w:p>
        </w:tc>
        <w:tc>
          <w:tcPr>
            <w:tcW w:w="8580" w:type="dxa"/>
            <w:vAlign w:val="bottom"/>
          </w:tcPr>
          <w:p>
            <w:pPr>
              <w:ind w:left="40"/>
              <w:spacing w:after="0"/>
              <w:rPr>
                <w:sz w:val="20"/>
                <w:szCs w:val="20"/>
                <w:color w:val="auto"/>
              </w:rPr>
            </w:pPr>
            <w:r>
              <w:rPr>
                <w:rFonts w:ascii="Arial" w:cs="Arial" w:eastAsia="Arial" w:hAnsi="Arial"/>
                <w:sz w:val="18"/>
                <w:szCs w:val="18"/>
                <w:color w:val="auto"/>
              </w:rPr>
              <w:t>Subrogation</w:t>
            </w:r>
          </w:p>
        </w:tc>
        <w:tc>
          <w:tcPr>
            <w:tcW w:w="13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15.5.</w:t>
            </w:r>
          </w:p>
        </w:tc>
        <w:tc>
          <w:tcPr>
            <w:tcW w:w="8580" w:type="dxa"/>
            <w:vAlign w:val="bottom"/>
          </w:tcPr>
          <w:p>
            <w:pPr>
              <w:ind w:left="40"/>
              <w:spacing w:after="0"/>
              <w:rPr>
                <w:sz w:val="20"/>
                <w:szCs w:val="20"/>
                <w:color w:val="auto"/>
              </w:rPr>
            </w:pPr>
            <w:r>
              <w:rPr>
                <w:rFonts w:ascii="Arial" w:cs="Arial" w:eastAsia="Arial" w:hAnsi="Arial"/>
                <w:sz w:val="18"/>
                <w:szCs w:val="18"/>
                <w:color w:val="auto"/>
              </w:rPr>
              <w:t>Obligations of Company Unconditional</w:t>
            </w:r>
          </w:p>
        </w:tc>
        <w:tc>
          <w:tcPr>
            <w:tcW w:w="13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15.6.</w:t>
            </w:r>
          </w:p>
        </w:tc>
        <w:tc>
          <w:tcPr>
            <w:tcW w:w="8580" w:type="dxa"/>
            <w:vAlign w:val="bottom"/>
          </w:tcPr>
          <w:p>
            <w:pPr>
              <w:ind w:left="40"/>
              <w:spacing w:after="0"/>
              <w:rPr>
                <w:sz w:val="20"/>
                <w:szCs w:val="20"/>
                <w:color w:val="auto"/>
              </w:rPr>
            </w:pPr>
            <w:r>
              <w:rPr>
                <w:rFonts w:ascii="Arial" w:cs="Arial" w:eastAsia="Arial" w:hAnsi="Arial"/>
                <w:sz w:val="18"/>
                <w:szCs w:val="18"/>
                <w:color w:val="auto"/>
              </w:rPr>
              <w:t>Notice to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15.7.</w:t>
            </w:r>
          </w:p>
        </w:tc>
        <w:tc>
          <w:tcPr>
            <w:tcW w:w="8580" w:type="dxa"/>
            <w:vAlign w:val="bottom"/>
          </w:tcPr>
          <w:p>
            <w:pPr>
              <w:ind w:left="40"/>
              <w:spacing w:after="0"/>
              <w:rPr>
                <w:sz w:val="20"/>
                <w:szCs w:val="20"/>
                <w:color w:val="auto"/>
              </w:rPr>
            </w:pPr>
            <w:r>
              <w:rPr>
                <w:rFonts w:ascii="Arial" w:cs="Arial" w:eastAsia="Arial" w:hAnsi="Arial"/>
                <w:sz w:val="18"/>
                <w:szCs w:val="18"/>
                <w:color w:val="auto"/>
              </w:rPr>
              <w:t>Reliance on Judicial Order or Certificate of Liquidating Agent</w:t>
            </w:r>
          </w:p>
        </w:tc>
        <w:tc>
          <w:tcPr>
            <w:tcW w:w="13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15.8.</w:t>
            </w:r>
          </w:p>
        </w:tc>
        <w:tc>
          <w:tcPr>
            <w:tcW w:w="8580" w:type="dxa"/>
            <w:vAlign w:val="bottom"/>
          </w:tcPr>
          <w:p>
            <w:pPr>
              <w:ind w:left="40"/>
              <w:spacing w:after="0"/>
              <w:rPr>
                <w:sz w:val="20"/>
                <w:szCs w:val="20"/>
                <w:color w:val="auto"/>
              </w:rPr>
            </w:pPr>
            <w:r>
              <w:rPr>
                <w:rFonts w:ascii="Arial" w:cs="Arial" w:eastAsia="Arial" w:hAnsi="Arial"/>
                <w:sz w:val="18"/>
                <w:szCs w:val="18"/>
                <w:color w:val="auto"/>
              </w:rPr>
              <w:t>Trustee’s Relation to Senior Debt</w:t>
            </w:r>
          </w:p>
        </w:tc>
        <w:tc>
          <w:tcPr>
            <w:tcW w:w="13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15.9.</w:t>
            </w:r>
          </w:p>
        </w:tc>
        <w:tc>
          <w:tcPr>
            <w:tcW w:w="8580" w:type="dxa"/>
            <w:vAlign w:val="bottom"/>
          </w:tcPr>
          <w:p>
            <w:pPr>
              <w:ind w:left="40"/>
              <w:spacing w:after="0"/>
              <w:rPr>
                <w:sz w:val="20"/>
                <w:szCs w:val="20"/>
                <w:color w:val="auto"/>
              </w:rPr>
            </w:pPr>
            <w:r>
              <w:rPr>
                <w:rFonts w:ascii="Arial" w:cs="Arial" w:eastAsia="Arial" w:hAnsi="Arial"/>
                <w:sz w:val="18"/>
                <w:szCs w:val="18"/>
                <w:color w:val="auto"/>
              </w:rPr>
              <w:t>Subordination Rights Not Impaired by Acts or Omissions of the Company or Holders of Senior Debt</w:t>
            </w:r>
          </w:p>
        </w:tc>
        <w:tc>
          <w:tcPr>
            <w:tcW w:w="13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15.10.</w:t>
            </w:r>
          </w:p>
        </w:tc>
        <w:tc>
          <w:tcPr>
            <w:tcW w:w="8580" w:type="dxa"/>
            <w:vAlign w:val="bottom"/>
          </w:tcPr>
          <w:p>
            <w:pPr>
              <w:ind w:left="40"/>
              <w:spacing w:after="0"/>
              <w:rPr>
                <w:sz w:val="20"/>
                <w:szCs w:val="20"/>
                <w:color w:val="auto"/>
              </w:rPr>
            </w:pPr>
            <w:r>
              <w:rPr>
                <w:rFonts w:ascii="Arial" w:cs="Arial" w:eastAsia="Arial" w:hAnsi="Arial"/>
                <w:sz w:val="18"/>
                <w:szCs w:val="18"/>
                <w:color w:val="auto"/>
              </w:rPr>
              <w:t>Holders Authorize Trustee to Effectuate Subordination of Securities</w:t>
            </w:r>
          </w:p>
        </w:tc>
        <w:tc>
          <w:tcPr>
            <w:tcW w:w="13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15.11.</w:t>
            </w:r>
          </w:p>
        </w:tc>
        <w:tc>
          <w:tcPr>
            <w:tcW w:w="8580" w:type="dxa"/>
            <w:vAlign w:val="bottom"/>
          </w:tcPr>
          <w:p>
            <w:pPr>
              <w:ind w:left="40"/>
              <w:spacing w:after="0"/>
              <w:rPr>
                <w:sz w:val="20"/>
                <w:szCs w:val="20"/>
                <w:color w:val="auto"/>
              </w:rPr>
            </w:pPr>
            <w:r>
              <w:rPr>
                <w:rFonts w:ascii="Arial" w:cs="Arial" w:eastAsia="Arial" w:hAnsi="Arial"/>
                <w:sz w:val="18"/>
                <w:szCs w:val="18"/>
                <w:color w:val="auto"/>
              </w:rPr>
              <w:t>Not to Prevent Events of Default</w:t>
            </w:r>
          </w:p>
        </w:tc>
        <w:tc>
          <w:tcPr>
            <w:tcW w:w="13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2"/>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15.12.</w:t>
            </w:r>
          </w:p>
        </w:tc>
        <w:tc>
          <w:tcPr>
            <w:tcW w:w="8580" w:type="dxa"/>
            <w:vAlign w:val="bottom"/>
          </w:tcPr>
          <w:p>
            <w:pPr>
              <w:ind w:left="40"/>
              <w:spacing w:after="0"/>
              <w:rPr>
                <w:sz w:val="20"/>
                <w:szCs w:val="20"/>
                <w:color w:val="auto"/>
              </w:rPr>
            </w:pPr>
            <w:r>
              <w:rPr>
                <w:rFonts w:ascii="Arial" w:cs="Arial" w:eastAsia="Arial" w:hAnsi="Arial"/>
                <w:sz w:val="18"/>
                <w:szCs w:val="18"/>
                <w:color w:val="auto"/>
              </w:rPr>
              <w:t>Trustee’s Compensation Not Prejudiced.</w:t>
            </w:r>
          </w:p>
        </w:tc>
        <w:tc>
          <w:tcPr>
            <w:tcW w:w="134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80" w:right="2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16"/>
        </w:trPr>
        <w:tc>
          <w:tcPr>
            <w:tcW w:w="10260" w:type="dxa"/>
            <w:vAlign w:val="bottom"/>
            <w:gridSpan w:val="2"/>
          </w:tcPr>
          <w:p>
            <w:pPr>
              <w:ind w:left="440"/>
              <w:spacing w:after="0"/>
              <w:rPr>
                <w:sz w:val="20"/>
                <w:szCs w:val="20"/>
                <w:color w:val="auto"/>
              </w:rPr>
            </w:pPr>
            <w:r>
              <w:rPr>
                <w:rFonts w:ascii="Arial" w:cs="Arial" w:eastAsia="Arial" w:hAnsi="Arial"/>
                <w:sz w:val="18"/>
                <w:szCs w:val="18"/>
                <w:color w:val="auto"/>
              </w:rPr>
              <w:t>Section 15.13. No Waiver of Subordination Provisions</w:t>
            </w: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0260" w:type="dxa"/>
            <w:vAlign w:val="bottom"/>
            <w:gridSpan w:val="2"/>
          </w:tcPr>
          <w:p>
            <w:pPr>
              <w:ind w:left="440"/>
              <w:spacing w:after="0"/>
              <w:rPr>
                <w:sz w:val="20"/>
                <w:szCs w:val="20"/>
                <w:color w:val="auto"/>
              </w:rPr>
            </w:pPr>
            <w:r>
              <w:rPr>
                <w:rFonts w:ascii="Arial" w:cs="Arial" w:eastAsia="Arial" w:hAnsi="Arial"/>
                <w:sz w:val="18"/>
                <w:szCs w:val="18"/>
                <w:color w:val="auto"/>
              </w:rPr>
              <w:t>Section 15.14. Payments May Be Paid Prior to Dissolution</w:t>
            </w: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2"/>
        </w:trPr>
        <w:tc>
          <w:tcPr>
            <w:tcW w:w="10260" w:type="dxa"/>
            <w:vAlign w:val="bottom"/>
            <w:gridSpan w:val="2"/>
          </w:tcPr>
          <w:p>
            <w:pPr>
              <w:ind w:left="440"/>
              <w:spacing w:after="0"/>
              <w:rPr>
                <w:sz w:val="20"/>
                <w:szCs w:val="20"/>
                <w:color w:val="auto"/>
              </w:rPr>
            </w:pPr>
            <w:r>
              <w:rPr>
                <w:rFonts w:ascii="Arial" w:cs="Arial" w:eastAsia="Arial" w:hAnsi="Arial"/>
                <w:sz w:val="18"/>
                <w:szCs w:val="18"/>
                <w:color w:val="auto"/>
              </w:rPr>
              <w:t>Section 15.15. Trust Moneys Not Subordinated</w:t>
            </w: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18"/>
        </w:trPr>
        <w:tc>
          <w:tcPr>
            <w:tcW w:w="10260" w:type="dxa"/>
            <w:vAlign w:val="bottom"/>
            <w:gridSpan w:val="2"/>
          </w:tcPr>
          <w:p>
            <w:pPr>
              <w:spacing w:after="0"/>
              <w:rPr>
                <w:sz w:val="20"/>
                <w:szCs w:val="20"/>
                <w:color w:val="auto"/>
              </w:rPr>
            </w:pPr>
            <w:r>
              <w:rPr>
                <w:rFonts w:ascii="Arial" w:cs="Arial" w:eastAsia="Arial" w:hAnsi="Arial"/>
                <w:sz w:val="18"/>
                <w:szCs w:val="18"/>
                <w:color w:val="auto"/>
              </w:rPr>
              <w:t>ARTICLE SIXTEEN SUBORDINATION OF GUARANTEES</w:t>
            </w: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16.1.</w:t>
            </w:r>
          </w:p>
        </w:tc>
        <w:tc>
          <w:tcPr>
            <w:tcW w:w="8760" w:type="dxa"/>
            <w:vAlign w:val="bottom"/>
          </w:tcPr>
          <w:p>
            <w:pPr>
              <w:ind w:left="40"/>
              <w:spacing w:after="0"/>
              <w:rPr>
                <w:sz w:val="20"/>
                <w:szCs w:val="20"/>
                <w:color w:val="auto"/>
              </w:rPr>
            </w:pPr>
            <w:r>
              <w:rPr>
                <w:rFonts w:ascii="Arial" w:cs="Arial" w:eastAsia="Arial" w:hAnsi="Arial"/>
                <w:sz w:val="18"/>
                <w:szCs w:val="18"/>
                <w:color w:val="auto"/>
              </w:rPr>
              <w:t>Security Guarantees Subordinated to Guarantor Senior Debt</w:t>
            </w: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16.2.</w:t>
            </w:r>
          </w:p>
        </w:tc>
        <w:tc>
          <w:tcPr>
            <w:tcW w:w="8760" w:type="dxa"/>
            <w:vAlign w:val="bottom"/>
          </w:tcPr>
          <w:p>
            <w:pPr>
              <w:ind w:left="40"/>
              <w:spacing w:after="0"/>
              <w:rPr>
                <w:sz w:val="20"/>
                <w:szCs w:val="20"/>
                <w:color w:val="auto"/>
              </w:rPr>
            </w:pPr>
            <w:r>
              <w:rPr>
                <w:rFonts w:ascii="Arial" w:cs="Arial" w:eastAsia="Arial" w:hAnsi="Arial"/>
                <w:sz w:val="18"/>
                <w:szCs w:val="18"/>
                <w:color w:val="auto"/>
              </w:rPr>
              <w:t>No Payment on Guarantees in Certain Circumstances</w:t>
            </w: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16.3.</w:t>
            </w:r>
          </w:p>
        </w:tc>
        <w:tc>
          <w:tcPr>
            <w:tcW w:w="8760" w:type="dxa"/>
            <w:vAlign w:val="bottom"/>
          </w:tcPr>
          <w:p>
            <w:pPr>
              <w:ind w:left="40"/>
              <w:spacing w:after="0"/>
              <w:rPr>
                <w:sz w:val="20"/>
                <w:szCs w:val="20"/>
                <w:color w:val="auto"/>
              </w:rPr>
            </w:pPr>
            <w:r>
              <w:rPr>
                <w:rFonts w:ascii="Arial" w:cs="Arial" w:eastAsia="Arial" w:hAnsi="Arial"/>
                <w:sz w:val="18"/>
                <w:szCs w:val="18"/>
                <w:color w:val="auto"/>
              </w:rPr>
              <w:t>Payment over Proceeds upon Dissolution, Etc</w:t>
            </w:r>
          </w:p>
        </w:tc>
        <w:tc>
          <w:tcPr>
            <w:tcW w:w="11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16.4.</w:t>
            </w:r>
          </w:p>
        </w:tc>
        <w:tc>
          <w:tcPr>
            <w:tcW w:w="8760" w:type="dxa"/>
            <w:vAlign w:val="bottom"/>
          </w:tcPr>
          <w:p>
            <w:pPr>
              <w:ind w:left="40"/>
              <w:spacing w:after="0"/>
              <w:rPr>
                <w:sz w:val="20"/>
                <w:szCs w:val="20"/>
                <w:color w:val="auto"/>
              </w:rPr>
            </w:pPr>
            <w:r>
              <w:rPr>
                <w:rFonts w:ascii="Arial" w:cs="Arial" w:eastAsia="Arial" w:hAnsi="Arial"/>
                <w:sz w:val="18"/>
                <w:szCs w:val="18"/>
                <w:color w:val="auto"/>
              </w:rPr>
              <w:t>Subrogation</w:t>
            </w: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16.5.</w:t>
            </w:r>
          </w:p>
        </w:tc>
        <w:tc>
          <w:tcPr>
            <w:tcW w:w="8760" w:type="dxa"/>
            <w:vAlign w:val="bottom"/>
          </w:tcPr>
          <w:p>
            <w:pPr>
              <w:ind w:left="40"/>
              <w:spacing w:after="0"/>
              <w:rPr>
                <w:sz w:val="20"/>
                <w:szCs w:val="20"/>
                <w:color w:val="auto"/>
              </w:rPr>
            </w:pPr>
            <w:r>
              <w:rPr>
                <w:rFonts w:ascii="Arial" w:cs="Arial" w:eastAsia="Arial" w:hAnsi="Arial"/>
                <w:sz w:val="18"/>
                <w:szCs w:val="18"/>
                <w:color w:val="auto"/>
              </w:rPr>
              <w:t>Obligations of Subsidiary Guarantor Unconditional</w:t>
            </w: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16.6.</w:t>
            </w:r>
          </w:p>
        </w:tc>
        <w:tc>
          <w:tcPr>
            <w:tcW w:w="8760" w:type="dxa"/>
            <w:vAlign w:val="bottom"/>
          </w:tcPr>
          <w:p>
            <w:pPr>
              <w:ind w:left="40"/>
              <w:spacing w:after="0"/>
              <w:rPr>
                <w:sz w:val="20"/>
                <w:szCs w:val="20"/>
                <w:color w:val="auto"/>
              </w:rPr>
            </w:pPr>
            <w:r>
              <w:rPr>
                <w:rFonts w:ascii="Arial" w:cs="Arial" w:eastAsia="Arial" w:hAnsi="Arial"/>
                <w:sz w:val="18"/>
                <w:szCs w:val="18"/>
                <w:color w:val="auto"/>
              </w:rPr>
              <w:t>Notice to Trustee</w:t>
            </w: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16.7.</w:t>
            </w:r>
          </w:p>
        </w:tc>
        <w:tc>
          <w:tcPr>
            <w:tcW w:w="8760" w:type="dxa"/>
            <w:vAlign w:val="bottom"/>
          </w:tcPr>
          <w:p>
            <w:pPr>
              <w:ind w:left="40"/>
              <w:spacing w:after="0"/>
              <w:rPr>
                <w:sz w:val="20"/>
                <w:szCs w:val="20"/>
                <w:color w:val="auto"/>
              </w:rPr>
            </w:pPr>
            <w:r>
              <w:rPr>
                <w:rFonts w:ascii="Arial" w:cs="Arial" w:eastAsia="Arial" w:hAnsi="Arial"/>
                <w:sz w:val="18"/>
                <w:szCs w:val="18"/>
                <w:color w:val="auto"/>
              </w:rPr>
              <w:t>Reliance on Judicial Order or Certificate of Liquidating Agent</w:t>
            </w:r>
          </w:p>
        </w:tc>
        <w:tc>
          <w:tcPr>
            <w:tcW w:w="11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16.8.</w:t>
            </w:r>
          </w:p>
        </w:tc>
        <w:tc>
          <w:tcPr>
            <w:tcW w:w="8760" w:type="dxa"/>
            <w:vAlign w:val="bottom"/>
          </w:tcPr>
          <w:p>
            <w:pPr>
              <w:ind w:left="40"/>
              <w:spacing w:after="0"/>
              <w:rPr>
                <w:sz w:val="20"/>
                <w:szCs w:val="20"/>
                <w:color w:val="auto"/>
              </w:rPr>
            </w:pPr>
            <w:r>
              <w:rPr>
                <w:rFonts w:ascii="Arial" w:cs="Arial" w:eastAsia="Arial" w:hAnsi="Arial"/>
                <w:sz w:val="18"/>
                <w:szCs w:val="18"/>
                <w:color w:val="auto"/>
              </w:rPr>
              <w:t>Trustee’s Relation to Guarantor Senior Debt</w:t>
            </w:r>
          </w:p>
        </w:tc>
        <w:tc>
          <w:tcPr>
            <w:tcW w:w="11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16.9.</w:t>
            </w:r>
          </w:p>
        </w:tc>
        <w:tc>
          <w:tcPr>
            <w:tcW w:w="8760" w:type="dxa"/>
            <w:vAlign w:val="bottom"/>
          </w:tcPr>
          <w:p>
            <w:pPr>
              <w:ind w:left="40"/>
              <w:spacing w:after="0"/>
              <w:rPr>
                <w:sz w:val="20"/>
                <w:szCs w:val="20"/>
                <w:color w:val="auto"/>
              </w:rPr>
            </w:pPr>
            <w:r>
              <w:rPr>
                <w:rFonts w:ascii="Arial" w:cs="Arial" w:eastAsia="Arial" w:hAnsi="Arial"/>
                <w:sz w:val="18"/>
                <w:szCs w:val="18"/>
                <w:color w:val="auto"/>
              </w:rPr>
              <w:t>Subordination Rights Not Impaired by Acts or Omissions of a Guarantor or Holders of Guarantor Senior Debt</w:t>
            </w:r>
          </w:p>
        </w:tc>
        <w:tc>
          <w:tcPr>
            <w:tcW w:w="11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16.10.</w:t>
            </w:r>
          </w:p>
        </w:tc>
        <w:tc>
          <w:tcPr>
            <w:tcW w:w="8760" w:type="dxa"/>
            <w:vAlign w:val="bottom"/>
          </w:tcPr>
          <w:p>
            <w:pPr>
              <w:ind w:left="40"/>
              <w:spacing w:after="0"/>
              <w:rPr>
                <w:sz w:val="20"/>
                <w:szCs w:val="20"/>
                <w:color w:val="auto"/>
              </w:rPr>
            </w:pPr>
            <w:r>
              <w:rPr>
                <w:rFonts w:ascii="Arial" w:cs="Arial" w:eastAsia="Arial" w:hAnsi="Arial"/>
                <w:sz w:val="18"/>
                <w:szCs w:val="18"/>
                <w:color w:val="auto"/>
              </w:rPr>
              <w:t>Holders Authorize Trustee to Effectuate Subordination of Guarantees</w:t>
            </w:r>
          </w:p>
        </w:tc>
        <w:tc>
          <w:tcPr>
            <w:tcW w:w="11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16.11.</w:t>
            </w:r>
          </w:p>
        </w:tc>
        <w:tc>
          <w:tcPr>
            <w:tcW w:w="8760" w:type="dxa"/>
            <w:vAlign w:val="bottom"/>
          </w:tcPr>
          <w:p>
            <w:pPr>
              <w:ind w:left="40"/>
              <w:spacing w:after="0"/>
              <w:rPr>
                <w:sz w:val="20"/>
                <w:szCs w:val="20"/>
                <w:color w:val="auto"/>
              </w:rPr>
            </w:pPr>
            <w:r>
              <w:rPr>
                <w:rFonts w:ascii="Arial" w:cs="Arial" w:eastAsia="Arial" w:hAnsi="Arial"/>
                <w:sz w:val="18"/>
                <w:szCs w:val="18"/>
                <w:color w:val="auto"/>
              </w:rPr>
              <w:t>Not to Prevent Events of Default</w:t>
            </w:r>
          </w:p>
        </w:tc>
        <w:tc>
          <w:tcPr>
            <w:tcW w:w="11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16.12.</w:t>
            </w:r>
          </w:p>
        </w:tc>
        <w:tc>
          <w:tcPr>
            <w:tcW w:w="8760" w:type="dxa"/>
            <w:vAlign w:val="bottom"/>
          </w:tcPr>
          <w:p>
            <w:pPr>
              <w:ind w:left="40"/>
              <w:spacing w:after="0"/>
              <w:rPr>
                <w:sz w:val="20"/>
                <w:szCs w:val="20"/>
                <w:color w:val="auto"/>
              </w:rPr>
            </w:pPr>
            <w:r>
              <w:rPr>
                <w:rFonts w:ascii="Arial" w:cs="Arial" w:eastAsia="Arial" w:hAnsi="Arial"/>
                <w:sz w:val="18"/>
                <w:szCs w:val="18"/>
                <w:color w:val="auto"/>
              </w:rPr>
              <w:t>Trustee’s Compensation Not Prejudiced</w:t>
            </w:r>
          </w:p>
        </w:tc>
        <w:tc>
          <w:tcPr>
            <w:tcW w:w="11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16.13.</w:t>
            </w:r>
          </w:p>
        </w:tc>
        <w:tc>
          <w:tcPr>
            <w:tcW w:w="8760" w:type="dxa"/>
            <w:vAlign w:val="bottom"/>
          </w:tcPr>
          <w:p>
            <w:pPr>
              <w:ind w:left="40"/>
              <w:spacing w:after="0"/>
              <w:rPr>
                <w:sz w:val="20"/>
                <w:szCs w:val="20"/>
                <w:color w:val="auto"/>
              </w:rPr>
            </w:pPr>
            <w:r>
              <w:rPr>
                <w:rFonts w:ascii="Arial" w:cs="Arial" w:eastAsia="Arial" w:hAnsi="Arial"/>
                <w:sz w:val="18"/>
                <w:szCs w:val="18"/>
                <w:color w:val="auto"/>
              </w:rPr>
              <w:t>No Waiver of Subordination Provisions</w:t>
            </w:r>
          </w:p>
        </w:tc>
        <w:tc>
          <w:tcPr>
            <w:tcW w:w="11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2"/>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16.14.</w:t>
            </w:r>
          </w:p>
        </w:tc>
        <w:tc>
          <w:tcPr>
            <w:tcW w:w="8760" w:type="dxa"/>
            <w:vAlign w:val="bottom"/>
          </w:tcPr>
          <w:p>
            <w:pPr>
              <w:ind w:left="40"/>
              <w:spacing w:after="0"/>
              <w:rPr>
                <w:sz w:val="20"/>
                <w:szCs w:val="20"/>
                <w:color w:val="auto"/>
              </w:rPr>
            </w:pPr>
            <w:r>
              <w:rPr>
                <w:rFonts w:ascii="Arial" w:cs="Arial" w:eastAsia="Arial" w:hAnsi="Arial"/>
                <w:sz w:val="18"/>
                <w:szCs w:val="18"/>
                <w:color w:val="auto"/>
              </w:rPr>
              <w:t>Payments May Be Paid Prior to Dissolution</w:t>
            </w:r>
          </w:p>
        </w:tc>
        <w:tc>
          <w:tcPr>
            <w:tcW w:w="1160" w:type="dxa"/>
            <w:vAlign w:val="bottom"/>
          </w:tcPr>
          <w:p>
            <w:pPr>
              <w:jc w:val="right"/>
              <w:spacing w:after="0"/>
              <w:rPr>
                <w:sz w:val="20"/>
                <w:szCs w:val="20"/>
                <w:color w:val="auto"/>
              </w:rPr>
            </w:pPr>
            <w:r>
              <w:rPr>
                <w:rFonts w:ascii="Arial" w:cs="Arial" w:eastAsia="Arial" w:hAnsi="Arial"/>
                <w:sz w:val="18"/>
                <w:szCs w:val="18"/>
                <w:color w:val="auto"/>
              </w:rPr>
              <w:t>77</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NOTE: This table of contents shall not, for any purpose, be deemed to be a part of the Indenture.</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280" w:right="2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28"/>
        </w:trPr>
        <w:tc>
          <w:tcPr>
            <w:tcW w:w="2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60" w:type="dxa"/>
            <w:vAlign w:val="bottom"/>
            <w:gridSpan w:val="2"/>
          </w:tcPr>
          <w:p>
            <w:pPr>
              <w:ind w:left="1700"/>
              <w:spacing w:after="0"/>
              <w:rPr>
                <w:sz w:val="20"/>
                <w:szCs w:val="20"/>
                <w:color w:val="auto"/>
              </w:rPr>
            </w:pPr>
            <w:r>
              <w:rPr>
                <w:rFonts w:ascii="Arial" w:cs="Arial" w:eastAsia="Arial" w:hAnsi="Arial"/>
                <w:sz w:val="18"/>
                <w:szCs w:val="18"/>
                <w:b w:val="1"/>
                <w:bCs w:val="1"/>
                <w:color w:val="auto"/>
              </w:rPr>
              <w:t>PARTIES</w:t>
            </w: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40"/>
        </w:trPr>
        <w:tc>
          <w:tcPr>
            <w:tcW w:w="2420" w:type="dxa"/>
            <w:vAlign w:val="bottom"/>
          </w:tcPr>
          <w:p>
            <w:pPr>
              <w:ind w:left="460"/>
              <w:spacing w:after="0"/>
              <w:rPr>
                <w:sz w:val="20"/>
                <w:szCs w:val="20"/>
                <w:color w:val="auto"/>
              </w:rPr>
            </w:pPr>
            <w:r>
              <w:rPr>
                <w:rFonts w:ascii="Arial" w:cs="Arial" w:eastAsia="Arial" w:hAnsi="Arial"/>
                <w:sz w:val="18"/>
                <w:szCs w:val="18"/>
                <w:color w:val="auto"/>
                <w:w w:val="90"/>
              </w:rPr>
              <w:t>INDENTURE, dated as of [</w:t>
            </w:r>
          </w:p>
        </w:tc>
        <w:tc>
          <w:tcPr>
            <w:tcW w:w="880" w:type="dxa"/>
            <w:vAlign w:val="bottom"/>
          </w:tcPr>
          <w:p>
            <w:pPr>
              <w:spacing w:after="0"/>
              <w:rPr>
                <w:sz w:val="24"/>
                <w:szCs w:val="24"/>
                <w:color w:val="auto"/>
              </w:rPr>
            </w:pPr>
          </w:p>
        </w:tc>
        <w:tc>
          <w:tcPr>
            <w:tcW w:w="8100" w:type="dxa"/>
            <w:vAlign w:val="bottom"/>
            <w:gridSpan w:val="7"/>
          </w:tcPr>
          <w:p>
            <w:pPr>
              <w:spacing w:after="0"/>
              <w:rPr>
                <w:sz w:val="20"/>
                <w:szCs w:val="20"/>
                <w:color w:val="auto"/>
              </w:rPr>
            </w:pPr>
            <w:r>
              <w:rPr>
                <w:rFonts w:ascii="Arial" w:cs="Arial" w:eastAsia="Arial" w:hAnsi="Arial"/>
                <w:sz w:val="18"/>
                <w:szCs w:val="18"/>
                <w:color w:val="auto"/>
                <w:w w:val="90"/>
              </w:rPr>
              <w:t>] [  ], 2006, among ACTIVE POWER, INC., a corporation duly organized and existing under the laws of the State</w:t>
            </w:r>
          </w:p>
        </w:tc>
      </w:tr>
      <w:tr>
        <w:trPr>
          <w:trHeight w:val="20"/>
        </w:trPr>
        <w:tc>
          <w:tcPr>
            <w:tcW w:w="2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500" w:type="dxa"/>
            <w:vAlign w:val="bottom"/>
            <w:gridSpan w:val="6"/>
          </w:tcPr>
          <w:p>
            <w:pPr>
              <w:spacing w:after="0" w:line="196" w:lineRule="exact"/>
              <w:rPr>
                <w:sz w:val="20"/>
                <w:szCs w:val="20"/>
                <w:color w:val="auto"/>
              </w:rPr>
            </w:pPr>
            <w:r>
              <w:rPr>
                <w:rFonts w:ascii="Arial" w:cs="Arial" w:eastAsia="Arial" w:hAnsi="Arial"/>
                <w:sz w:val="18"/>
                <w:szCs w:val="18"/>
                <w:color w:val="auto"/>
              </w:rPr>
              <w:t xml:space="preserve">of Delaware (herein called the “Company”), the GUARANTORS (as defined hereinafter) and </w:t>
            </w:r>
            <w:r>
              <w:rPr>
                <w:rFonts w:ascii="Arial" w:cs="Arial" w:eastAsia="Arial" w:hAnsi="Arial"/>
                <w:sz w:val="18"/>
                <w:szCs w:val="18"/>
                <w:b w:val="1"/>
                <w:bCs w:val="1"/>
                <w:color w:val="auto"/>
              </w:rPr>
              <w:t>[</w:t>
            </w:r>
          </w:p>
        </w:tc>
        <w:tc>
          <w:tcPr>
            <w:tcW w:w="19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p>
        </w:tc>
        <w:tc>
          <w:tcPr>
            <w:tcW w:w="1000" w:type="dxa"/>
            <w:vAlign w:val="bottom"/>
          </w:tcPr>
          <w:p>
            <w:pPr>
              <w:spacing w:after="0" w:line="196" w:lineRule="exact"/>
              <w:rPr>
                <w:sz w:val="20"/>
                <w:szCs w:val="20"/>
                <w:color w:val="auto"/>
              </w:rPr>
            </w:pPr>
            <w:r>
              <w:rPr>
                <w:rFonts w:ascii="Arial" w:cs="Arial" w:eastAsia="Arial" w:hAnsi="Arial"/>
                <w:sz w:val="18"/>
                <w:szCs w:val="18"/>
                <w:b w:val="1"/>
                <w:bCs w:val="1"/>
                <w:color w:val="auto"/>
                <w:w w:val="96"/>
              </w:rPr>
              <w:t>]</w:t>
            </w:r>
            <w:r>
              <w:rPr>
                <w:rFonts w:ascii="Arial" w:cs="Arial" w:eastAsia="Arial" w:hAnsi="Arial"/>
                <w:sz w:val="18"/>
                <w:szCs w:val="18"/>
                <w:color w:val="auto"/>
                <w:w w:val="96"/>
              </w:rPr>
              <w:t>, as Trustee</w:t>
            </w:r>
          </w:p>
        </w:tc>
      </w:tr>
      <w:tr>
        <w:trPr>
          <w:trHeight w:val="235"/>
        </w:trPr>
        <w:tc>
          <w:tcPr>
            <w:tcW w:w="2420" w:type="dxa"/>
            <w:vAlign w:val="bottom"/>
          </w:tcPr>
          <w:p>
            <w:pPr>
              <w:spacing w:after="0"/>
              <w:rPr>
                <w:sz w:val="20"/>
                <w:szCs w:val="20"/>
                <w:color w:val="auto"/>
              </w:rPr>
            </w:pPr>
            <w:r>
              <w:rPr>
                <w:rFonts w:ascii="Arial" w:cs="Arial" w:eastAsia="Arial" w:hAnsi="Arial"/>
                <w:sz w:val="18"/>
                <w:szCs w:val="18"/>
                <w:color w:val="auto"/>
              </w:rPr>
              <w:t>(the “Trustee”).</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bl>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RECITALS OF THE COMPANY:</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has duly authorized the execution and delivery of this Indenture to provide for the issuance from time to time of its unsecured subordinated debentures, notes or other evidences of indebtedness (herein called the “Securities”), which may but are not required to be guaranteed by the Guarantor, to be issued in one or more series as provided in this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things necessary to make this Indenture a valid agreement of the Company and of the Guarantors, in accordance with its terms, have been done.</w:t>
      </w:r>
    </w:p>
    <w:p>
      <w:pPr>
        <w:spacing w:after="0" w:line="19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This Indenture is subject to the provisions of the Trust Indenture Act that are required to be a part of this Indenture and, to the extent applicable, shall be governed by such provisions.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THIS INDENTURE WITNESSETH:</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of series thereof, as follows: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ONE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 AND OTHER PROVISIONS OF GENERAL APPLICATION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90" w:lineRule="exact"/>
        <w:rPr>
          <w:sz w:val="20"/>
          <w:szCs w:val="20"/>
          <w:color w:val="auto"/>
        </w:rPr>
      </w:pPr>
    </w:p>
    <w:p>
      <w:pPr>
        <w:ind w:left="1140" w:hanging="237"/>
        <w:spacing w:after="0"/>
        <w:tabs>
          <w:tab w:leader="none" w:pos="11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terms defined in this Article have the meanings assigned to them in this Article and include the plural as well as the singular;</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terms used in this Indenture that are defined in the Trust Indenture Act, defined by a Trust Indenture Act reference to another statute or defined by an SEC rule under the Trust Indenture Act have the meanings so assigned to them;</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GAAP;</w:t>
      </w:r>
    </w:p>
    <w:p>
      <w:pPr>
        <w:spacing w:after="0" w:line="90" w:lineRule="exact"/>
        <w:rPr>
          <w:rFonts w:ascii="Arial" w:cs="Arial" w:eastAsia="Arial" w:hAnsi="Arial"/>
          <w:sz w:val="18"/>
          <w:szCs w:val="18"/>
          <w:color w:val="auto"/>
        </w:rPr>
      </w:pPr>
    </w:p>
    <w:p>
      <w:pPr>
        <w:ind w:left="460" w:right="500" w:firstLine="443"/>
        <w:spacing w:after="0" w:line="268" w:lineRule="auto"/>
        <w:tabs>
          <w:tab w:leader="none" w:pos="114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words “Article” and “Section” refer to an Article and Section, respectively, of this Indenture; and</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word “includes” and its derivatives means “includes, but is not limited to” and corresponding derivative definitions.</w:t>
      </w:r>
    </w:p>
    <w:p>
      <w:pPr>
        <w:sectPr>
          <w:pgSz w:w="11900" w:h="16838" w:orient="portrait"/>
          <w:cols w:equalWidth="0" w:num="1">
            <w:col w:w="11400"/>
          </w:cols>
          <w:pgMar w:left="240" w:top="274" w:right="259" w:bottom="1440" w:gutter="0" w:footer="0" w:header="0"/>
        </w:sectPr>
      </w:pPr>
    </w:p>
    <w:bookmarkStart w:id="139" w:name="page140"/>
    <w:bookmarkEnd w:id="13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terms, used principally in Article Six, are defined in that Article.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 when used with respect to any Holder, has the meaning specified in Section 1.5.</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“Additional Defeasible Provision” means a covenant or other provision contained that is (a) made part of this Indenture pursuant to a supplemental indenture hereto, a Board Resolution or an Officer’s Certificate delivered pursuant to Section 3.1, and (b) pursuant to the terms set forth in such supplemental indenture, Board Resolution or Officer’s Certificate, made subject to the provisions of Article Thirteen.</w:t>
      </w:r>
    </w:p>
    <w:p>
      <w:pPr>
        <w:spacing w:after="0" w:line="14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“Affiliate”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“Authenticating Agent” means any Person authorized by the Trustee to act on behalf of the Trustee to authenticate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“Banking Day” means, in respect of any city, any date on which commercial banks are open for business in that city.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“Bankruptcy Law” means any applicable Federal or State bankruptcy, insolvency, reorganization or other similar law.</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“Board of Directors” means either the board of directors of the Company or of a Guarantor, as applicable, or any duly authorized committee of that board to which the powers of that board have been lawfully delegated.</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“Board Resolution” means a copy of a resolution certified by the Secretary or an Assistant Secretary of the Company, the principal financial officer of the Company or a Guarantor, any other authorized officer of the Company or a Guarantor, or a person duly authorized by any of them, in each case as applicable, to have been duly adopted by the Board of Directors and to be in full force and effect on the date of such certification, and delivered to the Trustee. Where any provision of this Indenture refers to action to be taken pursuant to a Board Resolution (including the establishment of any series of the Securities and the forms and terms thereof), such action may be taken by any committee, officer or employee of the Company or a Guarantor, as applicable, authorized to take such action by the Board of Directors as evidenced by a Board Resolution.</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“Business Day”, when used with respect to any Place of Payment or other location, means, except as otherwise provided as contemplated by Section 3.1 with respect to any series of Securities, each Monday, Tuesday, Wednesday, Thursday and Friday which is not a day on which banking institutions in that Place of Payment or other location are authorized or obligated by law, executive order or regulation to close.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“CINS” means CUSIP International Numbering System.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“Code” means the United States Internal Revenue Code of 1986, as amended.</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40" w:name="page141"/>
    <w:bookmarkEnd w:id="140"/>
    <w:p>
      <w:pPr>
        <w:ind w:right="5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means the Person named as the “Company” in the first paragraph of this instrument until a successor or resulting corporation shall have become such pursuant to the applicable provisions of this Indenture, and thereafter “Company” shall mean such successor or resulting corporation.</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“Company Request” or “Company Order” means, in the case of the Company, a written request or order signed in the name of the Company by its Chairman of the Board, its Chief Executive Officer, its President, any of its Vice Presidents or any other duly authorized officer of the Company or any person duly authorized by any of them, and delivered to the Trustee and, in the case of a Guarantor, a written request or order signed in the name of such Guarantor by its Chairman of the Board, its Chief Executive Officer, its President, any of its Vice Presidents or any other duly authorized officer of such Guarantor or any person duly authorized by any of them, and delivered to the Trustee.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“Corporate Trust Office” means the office of the Trustee at which at any particular time its corporate trust business shall be principally administered and</w:t>
      </w:r>
    </w:p>
    <w:p>
      <w:pPr>
        <w:spacing w:after="0" w:line="38"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 xml:space="preserve">which, at the date hereof, is located at </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1757045</wp:posOffset>
            </wp:positionH>
            <wp:positionV relativeFrom="paragraph">
              <wp:posOffset>-17780</wp:posOffset>
            </wp:positionV>
            <wp:extent cx="11430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“corporation” includes corporations, companies, associations, partnerships, limited partnerships, limited liability companies, joint-stock companies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trusts.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“covenant defeasance” has the meaning specified in Section 13.3.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“CUSIP” means the Committee on Uniform Securities Identification Procedures.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“Custodian” means any receiver, trustee, assignee, liquidator or similar official under any Bankruptcy Law.</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“Debt” means any obligation created or assumed by any Person for the repayment of money borrowed and any purchase money obligation created or assumed by such Person and any guarantee of the foregoing.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“Default” means, with respect to a series of Securities, any event that is, or after notice or lapse of time or both would be, an Event of Default.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“Defaulted Interest” has the meaning specified in Section 3.7.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“defeasance” has the meaning specified in Section 13.2.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“Definitive Security” means a security other than a Global Security or a temporary Security.</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“Depositary” means, with respect to the Securities of any series issuable or issued in whole or in part in the form of one or more Global Securities, a clearing agency registered under the Exchange Act that is designated to act as Depositary for such Securities as contemplated by Section 3.1, until a successor Depositary shall have become such pursuant to the applicable provisions of this Indenture, and thereafter shall mean or include each Person which is a Depositary hereunder, and if at any time there is more than one such Person, shall be a collective reference to such Persons.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“Designated Guarantor Senior Debt” shall have the meaning given to such term in any Board Resolution or indenture supplemental hereto.</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“Designated Senior Debt” shall have the meaning given to such term in any Board Resolution or indenture supplemental hereto.</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41" w:name="page142"/>
    <w:bookmarkEnd w:id="141"/>
    <w:p>
      <w:pPr>
        <w:ind w:right="3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“Dollar” or “$” means the coin or currency of the United States of America, which at the time of payment is legal tender for the payment of public and private debts.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has the meaning specified in Section 5.1.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means a currency used by the government of a country other than the United States of America.</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“GAAP” means generally accepted accounting principles in the United States of America as in effect from time to time, including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based on GAAP contained in the indenture will be computed in conformity with GAAP.</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“Global Security” means a Security in global form that evidences all or part of a series of Securities and is authenticated and delivered to, and registered in the name of, the Depositary for the Securities of such series or its nominee.</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“Guarantee” means each guarantee of the obligations of the Company under this Indenture and the Securities by a Guarantor in accordance with the provisions 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“Guarantor” means each Person that becomes a guarantor of any Securities pursuant to the applicable provisions of this Indenture.</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“Guarantor Senior Debt” means, unless otherwise provided with respect to the Securities of a series as contemplated by Section 3.1, (a) all Debt of a Guarantor, whether currently outstanding or hereafter issued, unless, by the terms of the instrument creating or evidencing such Debt, it 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Debt is not superior in right of payment to the Guarantee or to other Debt which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or subordinated to the Guarantee, and (b) any modifications, refunding, deferrals, renewals or extensions of any such Debt or securities, notes or other evidence of Debt issued in exchange for such Debt;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“Guarantor Senior Debt” include (i) Debt of a Guarantor owed or owing to any Subsidiary of such Guarantor or any officer, director or employee of such Guarantor or any Subsidiary of such Guarantor, (ii) Debt to trade creditors or (iii) any liability for taxes owed or owing by a Guarantor.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 means a Person in whose name a Security is registered in the Security Register.</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“Indenture” means this instrument as originally executed or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part of and govern this instrument and any such supplemental indenture, respectively. The term “Indenture” also shall include the terms of particular series of Securities established as contemplated by Section 3.1.</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“interest”, when used with respect to an Original Issue Discount Security which by its terms bears interest only after Maturity, means interest payable after Maturity.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42" w:name="page143"/>
    <w:bookmarkEnd w:id="14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Payment Date”, when used with respect to any Security, means the Stated Maturity of an installment of interest on such Security.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“Judgment Currency” has the meaning specified in Section 1.16.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“mandatory sinking fund payment” has the meaning specified in Section 12.1.</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“Maturity”,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of Default” means a written notice of the kind specified in Section 5.1(c) or Section 5.1(d).</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“Officer’s Certificate” means, in the case of the Company, a certificate signed by the Chairman of the Board, the Chief Executive Officer, the President, any Vice President or any other duly authorized officer of the Company, or a person duly authorized by any of them, and delivered to the Trustee and, in the case of a Guarantor, a certificate signed by the Chairman of the Board, the Chief Executive Officer, the President, any Vice President or any other duly authorized officer of such Guarantor, or a person duly authorized by any of them, and delivered to the Trustee.</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“Opinion of Counsel” means a written opinion of counsel, who may be an employee of or counsel for the Company or a Guarantor, as the case may be, and who shall be reasonably acceptable to the Trustee.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“optional sinking fund payment” has the meaning specified in Section 12.1.</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“Original Issue Discount Security” means any Security which provides for an amount less than the principal amount thereof to be due and payable upon a declaration of acceleration of the Maturity thereof pursuant to Section 5.2.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“Outstanding”, when used with respect to Securities, means, as of the date of determination, all Securities theretofore authenticated and delivered under this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Indenture, except:</w:t>
      </w:r>
    </w:p>
    <w:p>
      <w:pPr>
        <w:spacing w:after="0" w:line="84" w:lineRule="exact"/>
        <w:rPr>
          <w:sz w:val="20"/>
          <w:szCs w:val="20"/>
          <w:color w:val="auto"/>
        </w:rPr>
      </w:pPr>
    </w:p>
    <w:p>
      <w:pPr>
        <w:ind w:left="1140" w:hanging="237"/>
        <w:spacing w:after="0"/>
        <w:tabs>
          <w:tab w:leader="none" w:pos="11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w:t>
      </w:r>
    </w:p>
    <w:p>
      <w:pPr>
        <w:spacing w:after="0" w:line="90" w:lineRule="exact"/>
        <w:rPr>
          <w:rFonts w:ascii="Arial" w:cs="Arial" w:eastAsia="Arial" w:hAnsi="Arial"/>
          <w:sz w:val="18"/>
          <w:szCs w:val="18"/>
          <w:color w:val="auto"/>
        </w:rPr>
      </w:pPr>
    </w:p>
    <w:p>
      <w:pPr>
        <w:jc w:val="both"/>
        <w:ind w:left="460" w:right="20" w:firstLine="443"/>
        <w:spacing w:after="0" w:line="256"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Securities are to be redeemed, notice of such redemption has been duly given pursuant to this Indenture or provision therefor satisfactory to the Trustee has been made;</w:t>
      </w:r>
    </w:p>
    <w:p>
      <w:pPr>
        <w:spacing w:after="0" w:line="62" w:lineRule="exact"/>
        <w:rPr>
          <w:rFonts w:ascii="Arial" w:cs="Arial" w:eastAsia="Arial" w:hAnsi="Arial"/>
          <w:sz w:val="18"/>
          <w:szCs w:val="18"/>
          <w:color w:val="auto"/>
        </w:rPr>
      </w:pPr>
    </w:p>
    <w:p>
      <w:pPr>
        <w:ind w:left="460" w:right="40" w:firstLine="443"/>
        <w:spacing w:after="0" w:line="306" w:lineRule="auto"/>
        <w:tabs>
          <w:tab w:leader="none" w:pos="113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Securities which have been paid pursuant to Section 3.6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43" w:name="page144"/>
    <w:bookmarkEnd w:id="143"/>
    <w:p>
      <w:pPr>
        <w:ind w:left="460" w:right="560" w:firstLine="443"/>
        <w:spacing w:after="0" w:line="332" w:lineRule="auto"/>
        <w:tabs>
          <w:tab w:leader="none" w:pos="1147" w:val="left"/>
        </w:tabs>
        <w:numPr>
          <w:ilvl w:val="0"/>
          <w:numId w:val="1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except to the extent provided in Section 13.2 and Section 13.3, with respect to which the Company has effected defeasance or covenant defeasance as provided in Article Thirteen, which defeasance or covenant defeasance then continues in effect;</w:t>
      </w:r>
    </w:p>
    <w:p>
      <w:pPr>
        <w:spacing w:after="0" w:line="8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in determining whether the Holders of the requisite principal amount of the Outstanding Securities have given any request, demand,</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authorization, direction, notice, consent or waiver hereunder, (i) the principal amount of an Original Issue Discount Security that shall be deemed to be Outstanding shall be the amount of the principal thereof that would be due and payable as of the date of such determination upon acceleration of the Maturity thereof on such date pursuant to Section 5.2, (ii) the principal amount of a Security denominated in one or more currencies or currency units other than U.S. dollars shall be the U.S. dollar equivalent of such currencies or currency units, determined in the manner provided as contemplated by Section 3.1 on the date of original issuance of such Security or by Section 1.15, if not otherwise so provided pursuant to Section 3.1, of the principal amount (or, in the case of an Original Issue Discount Security, the U.S. dollar equivalent (as so determined) on the date of original issuance of such Security of the amount determined as provided in clause (i) above) of such Security, and (iii) Securities owned by the Company, any Guarantor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or waiver, only Securities which the Trustee knows to be so owned shall be so disregarded. Securities so owned as described in clause (iii) of the immediately preceding sentence which have been pledged in good faith may be regarded as Outstanding if the pledgee establishes to the satisfaction of the Trustee the pledgee’s right to act with respect to such Securities and that the pledgee is not the Company, a Guarantor or any other obligor upon the Securities or any Affiliate of the Company or of such other obligor.</w:t>
      </w:r>
    </w:p>
    <w:p>
      <w:pPr>
        <w:spacing w:after="0" w:line="12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“Paying Agent” means any Person authorized by the Company to pay the principal of and any premium or interest on any Securities on behalf of the Company.</w:t>
      </w:r>
    </w:p>
    <w:p>
      <w:pPr>
        <w:spacing w:after="0" w:line="132"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“Periodic Offering” means an offering of Securities of a series from time to time, the specific terms of which Securities, including, without limitation, the rate or rates of interest or formula for determining the rate or rates of interest thereon, if any, the Stated Maturity or Stated Maturities thereof, the original issue date or dates thereof, the redemption provisions, if any, with respect thereto, and any other terms specified as contemplated by Section 3.1 with respect thereto, are to be determined by the Company upon the issuance of such Securities.</w:t>
      </w:r>
    </w:p>
    <w:p>
      <w:pPr>
        <w:spacing w:after="0" w:line="14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“Person” means any individual, corporation, company, limited liability company, partnership, limited partnership, joint venture, association, joint-stock company, trust, other entity, unincorporated organization or government or any agency or political subdivision thereof.</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“Place of Payment”, when used with respect to the Securities of any series, means, unless otherwise specifically provided for with respect to such series as contemplated by Section 3.1, the office or agency of the Company in the City of New York and such other place or places where, subject to the provisions of Section 10.2, the principal of and any premium and interest on the Securities of that series are payable as contemplated by Section 3.1.</w:t>
      </w:r>
    </w:p>
    <w:p>
      <w:pPr>
        <w:spacing w:after="0" w:line="10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3.6 in exchange for or in lieu of a mutilated, destroyed, lost or stolen Security shall be deemed to evidence the same debt as the mutilated, destroyed, lost or stolen Security.</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280" w:right="339" w:bottom="1440" w:gutter="0" w:footer="0" w:header="0"/>
        </w:sectPr>
      </w:pPr>
    </w:p>
    <w:bookmarkStart w:id="144" w:name="page145"/>
    <w:bookmarkEnd w:id="144"/>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“Redemption Date”, when used with respect to any Security to be redeemed, means the date fixed for such redemption by or pursuant to this Indenture.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“Redemption Price”, when used with respect to any Security to be redeemed, means the price at which it is to be redeemed pursuant to this Indenture.</w:t>
      </w:r>
    </w:p>
    <w:p>
      <w:pPr>
        <w:spacing w:after="0" w:line="19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“Regular Record Date” for the interest payable on any Interest Payment Date on the Securities of any series means the date specified for that purpose as contemplated by Section 3.1.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“Required Currency” has the meaning specified in Section 1.16.</w:t>
      </w:r>
    </w:p>
    <w:p>
      <w:pPr>
        <w:spacing w:after="0" w:line="171"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“Responsible Officer” when used with respect to the Trustee, means any officer within the Corporate Trust Administration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43"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“SEC”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“Securities” has the meaning stated in the first recital of this Indenture and more particularly means any Securities authenticated and delivered under this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“Security Register” and “Security Registrar” have the respective meanings specified in Section 3.5.</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“Senior Debt” means (a) all Debt of the Company, whether currently outstanding or hereafter issued, unless, by the terms of the instrument creating or evidencing such Debt, it 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Debt is not superior in right of payment to the Securities, and (b) any modifications, refunding, deferrals, renewals or extensions of any such Debt or securities, notes or other evidence of Debt issued in exchange for such Debt;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“Senior Debt” include (i) Debt of the Company owed or owing to any Subsidiary of the Company or any officer, director or employee of the Company or any Subsidiary of the Company, (ii) Debt to trade creditors or (iii) any liability for taxes owned or owing by the Company.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Record Date” for the payment of any Defaulted Interest means a date fixed by the Trustee pursuant to Section 3.7.</w:t>
      </w:r>
    </w:p>
    <w:p>
      <w:pPr>
        <w:spacing w:after="0" w:line="17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“Subsidiary” means (a) a corporation more than 50% of the outstanding voting stock of which is owned, directly or indirectly, by the Company or by one or more other Subsidiaries, or by the Company and one or more other Subsidiaries or (b) any partnership or similar business organization more than 50% of the ownership interests having ordinary voting power of which shall at the time be so owned. For the purposes of this definition, “voting stock” means capital stock or equity interests which ordinarily have voting power for the election of directors, whether at all times or only so long as no senior class of stock has such voting power by reason of any contingency.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45" w:name="page146"/>
    <w:bookmarkEnd w:id="145"/>
    <w:p>
      <w:pPr>
        <w:ind w:right="80" w:firstLine="456"/>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“Trust Indenture Act” means the Trust Indenture Act of 1939, as amended, as in force at the date as of which this instrument was executed, except as provided in Section 9.5;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Trust Indenture Act of 1939 is amended after such date, “Trust Indenture Act” means, to the extent required by any such amendment, the Trust Indenture Act of 1939 as so amended.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Person” shall have the meaning assigned to such term in Section 7701(a)(30) of the Code.</w:t>
      </w:r>
    </w:p>
    <w:p>
      <w:pPr>
        <w:spacing w:after="0" w:line="17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“U.S. Government Obligations” means securities which are (a) direct obligations of the United States for the payment of which its full faith and credit is pledged, or (b) obligations of a Person controlled or supervised by and acting as an agency or instrumentality of the United States, the payment of which is unconditionally guaranteed as a full faith and credit obligation by the United States, each of which are not callable or redeemable at the option of the issuer thereof.</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“Vice President”, when used with respect to the Company, the Guarantor or the Trustee, means any vice president, regardless of whether designated by a number or a word or words added before or after the title “vice president.”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Incorporation by Reference of Trust Indenture Act</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Whenever this Indenture refers to a provision of the Trust Indenture Act, the provision is incorporated by reference in and made a part of this Indenture.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Trust Indenture Act terms used in this Indenture have the following meanings:</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“commission” means the SEC.</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“indenture securities” means the Securities.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“indenture security holder” means a Holder.</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“indenture to be qualified” means this Indenture.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“indenture trustee” or “institutional trustee” means the Trustee.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“obligor” on the indenture securities means the Company, the Guarantor (if applicable) or any other obligor on the indenture securities.</w:t>
      </w:r>
    </w:p>
    <w:p>
      <w:pPr>
        <w:spacing w:after="0" w:line="19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All terms used in this Indenture that are defined by the Trust Indenture Act, defined by a Trust Indenture Act reference to another statute or defined by an SEC rule under the Trust Indenture Act have the meanings so assigned to them.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Compliance Certificates and Opinions</w:t>
      </w:r>
      <w:r>
        <w:rPr>
          <w:rFonts w:ascii="Arial" w:cs="Arial" w:eastAsia="Arial" w:hAnsi="Arial"/>
          <w:sz w:val="18"/>
          <w:szCs w:val="18"/>
          <w:color w:val="auto"/>
        </w:rPr>
        <w:t>.</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Upon any application or request by the Company or a Guarantor to the Trustee to take any action under any provision of this Indenture, the Company or such Guarantor, as the case may be, shall furnish to the Trustee an Officer’s Certificate stating that all conditions precedent, if any, provided for in this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46" w:name="page147"/>
    <w:bookmarkEnd w:id="146"/>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 except as required under Section 314(c) of the Trust Indenture Act.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Every certificate or opinion with respect to compliance with a condition or covenant provided for in this Indenture (except for certificates provided for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10.5) shall include:</w:t>
      </w:r>
    </w:p>
    <w:p>
      <w:pPr>
        <w:spacing w:after="0" w:line="84" w:lineRule="exact"/>
        <w:rPr>
          <w:sz w:val="20"/>
          <w:szCs w:val="20"/>
          <w:color w:val="auto"/>
        </w:rPr>
      </w:pPr>
    </w:p>
    <w:p>
      <w:pPr>
        <w:ind w:left="1140" w:hanging="237"/>
        <w:spacing w:after="0"/>
        <w:tabs>
          <w:tab w:leader="none" w:pos="11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a statement that each individual signing such certificate or opinion has read such covenant or condition and the definitions herein relating thereto;</w:t>
      </w:r>
    </w:p>
    <w:p>
      <w:pPr>
        <w:spacing w:after="0" w:line="124" w:lineRule="exact"/>
        <w:rPr>
          <w:rFonts w:ascii="Arial" w:cs="Arial" w:eastAsia="Arial" w:hAnsi="Arial"/>
          <w:sz w:val="15"/>
          <w:szCs w:val="15"/>
          <w:color w:val="auto"/>
        </w:rPr>
      </w:pPr>
    </w:p>
    <w:p>
      <w:pPr>
        <w:ind w:left="460" w:right="700" w:firstLine="443"/>
        <w:spacing w:after="0" w:line="268" w:lineRule="auto"/>
        <w:tabs>
          <w:tab w:leader="none" w:pos="11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50" w:lineRule="exact"/>
        <w:rPr>
          <w:rFonts w:ascii="Arial" w:cs="Arial" w:eastAsia="Arial" w:hAnsi="Arial"/>
          <w:sz w:val="18"/>
          <w:szCs w:val="18"/>
          <w:color w:val="auto"/>
        </w:rPr>
      </w:pPr>
    </w:p>
    <w:p>
      <w:pPr>
        <w:ind w:left="460" w:firstLine="443"/>
        <w:spacing w:after="0" w:line="268" w:lineRule="auto"/>
        <w:tabs>
          <w:tab w:leader="none" w:pos="113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regardless of whether such covenant or condition has been complied with;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Form of Documents Delivered to Trustee</w:t>
      </w:r>
      <w:r>
        <w:rPr>
          <w:rFonts w:ascii="Arial" w:cs="Arial" w:eastAsia="Arial" w:hAnsi="Arial"/>
          <w:sz w:val="18"/>
          <w:szCs w:val="18"/>
          <w:color w:val="auto"/>
        </w:rPr>
        <w:t>.</w:t>
      </w:r>
    </w:p>
    <w:p>
      <w:pPr>
        <w:spacing w:after="0" w:line="9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Any certificate or opinion of an officer of the Company or a Guarantor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or the Guarantor, as the case may be, stating that the information with respect to such factual matters is in the possession of the Company or the Guarantor, as the case may be, unless such counsel knows that the certificate or opinion or representations with respect to such matters are erroneous.</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Acts of Holders; Record Dates</w:t>
      </w:r>
      <w:r>
        <w:rPr>
          <w:rFonts w:ascii="Arial" w:cs="Arial" w:eastAsia="Arial" w:hAnsi="Arial"/>
          <w:sz w:val="18"/>
          <w:szCs w:val="18"/>
          <w:color w:val="auto"/>
        </w:rPr>
        <w:t>.</w:t>
      </w:r>
    </w:p>
    <w:p>
      <w:pPr>
        <w:spacing w:after="0" w:line="90" w:lineRule="exact"/>
        <w:rPr>
          <w:sz w:val="20"/>
          <w:szCs w:val="20"/>
          <w:color w:val="auto"/>
        </w:rPr>
      </w:pPr>
    </w:p>
    <w:p>
      <w:pPr>
        <w:ind w:left="460" w:right="100" w:firstLine="443"/>
        <w:spacing w:after="0" w:line="332" w:lineRule="auto"/>
        <w:tabs>
          <w:tab w:leader="none" w:pos="113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Any request, demand, authorization, direction, notice, consent, waiver or other action provided by this Indenture to be given or taken by Holders may be embodied in and evidenced by one or more instruments of substantially similar tenor signed (either physically or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47" w:name="page148"/>
    <w:bookmarkEnd w:id="147"/>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by means of a facsimile or an electronic transmission,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electronic transmission is transmitted through the facilities of a Depositary) by such Holders in person or by agent duly appointed in writing; and, except as herein otherwise expressly provided, such action shall become effective when such instrument or instruments are delivered to the Trustee and, where it is hereby expressly required, to the Company or the Guarantors.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315 of the Trust Indenture Act) conclusive in favor of the Trustee, the Company and, if applicable, the Guarantors, if made in the manner provided in this Section.</w:t>
      </w:r>
    </w:p>
    <w:p>
      <w:pPr>
        <w:spacing w:after="0" w:line="37" w:lineRule="exact"/>
        <w:rPr>
          <w:sz w:val="20"/>
          <w:szCs w:val="20"/>
          <w:color w:val="auto"/>
        </w:rPr>
      </w:pPr>
    </w:p>
    <w:p>
      <w:pPr>
        <w:ind w:right="80" w:firstLine="443"/>
        <w:spacing w:after="0" w:line="294" w:lineRule="auto"/>
        <w:tabs>
          <w:tab w:leader="none" w:pos="68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34" w:lineRule="exact"/>
        <w:rPr>
          <w:rFonts w:ascii="Arial" w:cs="Arial" w:eastAsia="Arial" w:hAnsi="Arial"/>
          <w:sz w:val="16"/>
          <w:szCs w:val="16"/>
          <w:color w:val="auto"/>
        </w:rPr>
      </w:pPr>
    </w:p>
    <w:p>
      <w:pPr>
        <w:ind w:right="20" w:firstLine="443"/>
        <w:spacing w:after="0" w:line="268" w:lineRule="auto"/>
        <w:tabs>
          <w:tab w:leader="none" w:pos="67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ownership, principal amount and serial numbers of Securities held by any Person, and the date of commencement of such Person’s holding of same, shall be proved by the Security Register.</w:t>
      </w:r>
    </w:p>
    <w:p>
      <w:pPr>
        <w:spacing w:after="0" w:line="50" w:lineRule="exact"/>
        <w:rPr>
          <w:rFonts w:ascii="Arial" w:cs="Arial" w:eastAsia="Arial" w:hAnsi="Arial"/>
          <w:sz w:val="18"/>
          <w:szCs w:val="18"/>
          <w:color w:val="auto"/>
        </w:rPr>
      </w:pPr>
    </w:p>
    <w:p>
      <w:pPr>
        <w:ind w:firstLine="443"/>
        <w:spacing w:after="0" w:line="256" w:lineRule="auto"/>
        <w:tabs>
          <w:tab w:leader="none" w:pos="68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the Company or, if applicable, the Guarantors in reliance thereon, regardless of whether notation of such action is made upon such Security.</w:t>
      </w:r>
    </w:p>
    <w:p>
      <w:pPr>
        <w:spacing w:after="0" w:line="62" w:lineRule="exact"/>
        <w:rPr>
          <w:rFonts w:ascii="Arial" w:cs="Arial" w:eastAsia="Arial" w:hAnsi="Arial"/>
          <w:sz w:val="18"/>
          <w:szCs w:val="18"/>
          <w:color w:val="auto"/>
        </w:rPr>
      </w:pPr>
    </w:p>
    <w:p>
      <w:pPr>
        <w:ind w:firstLine="443"/>
        <w:spacing w:after="0" w:line="259" w:lineRule="auto"/>
        <w:tabs>
          <w:tab w:leader="none" w:pos="67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Without limiting the foregoing, a Holder entitled to give or take any action hereunder with regard to any particular Security may do so with regard to all or any part of the principal amount of such Security or by one or more duly appointed agents each of which may do so pursuant to such appointment with regard to all or any different part of such principal amount.</w:t>
      </w:r>
    </w:p>
    <w:p>
      <w:pPr>
        <w:spacing w:after="0" w:line="59" w:lineRule="exact"/>
        <w:rPr>
          <w:rFonts w:ascii="Arial" w:cs="Arial" w:eastAsia="Arial" w:hAnsi="Arial"/>
          <w:sz w:val="18"/>
          <w:szCs w:val="18"/>
          <w:color w:val="auto"/>
        </w:rPr>
      </w:pPr>
    </w:p>
    <w:p>
      <w:pPr>
        <w:ind w:right="60" w:firstLine="443"/>
        <w:spacing w:after="0" w:line="294" w:lineRule="auto"/>
        <w:tabs>
          <w:tab w:leader="none" w:pos="65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Company may set any day as the record date for the purpose of determining the Holders of Outstanding Securities of any series entitled to give or take any request, demand, authorization, direction, notice, consent, waiver or other Act provided or permitted by this Indenture to be given or taken by Holders of Securities of such series, but the Company shall have no obligation to do so. With regard to any record date set pursuant to this paragraph, the Holders of Outstanding Securities of the relevant series on such record date (or their duly appointed agents), and only such Persons, shall be entitled to give or take the relevant action, regardless of whether such Holders remain Holders after such record date.</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148" w:name="page149"/>
    <w:bookmarkEnd w:id="148"/>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1.6. </w:t>
      </w:r>
      <w:r>
        <w:rPr>
          <w:rFonts w:ascii="Arial" w:cs="Arial" w:eastAsia="Arial" w:hAnsi="Arial"/>
          <w:sz w:val="18"/>
          <w:szCs w:val="18"/>
          <w:u w:val="single" w:color="auto"/>
          <w:color w:val="auto"/>
        </w:rPr>
        <w:t>Notices, Etc., to Trustee, Company and Guarantors</w:t>
      </w:r>
      <w:r>
        <w:rPr>
          <w:rFonts w:ascii="Arial" w:cs="Arial" w:eastAsia="Arial" w:hAnsi="Arial"/>
          <w:sz w:val="18"/>
          <w:szCs w:val="18"/>
          <w:color w:val="auto"/>
        </w:rPr>
        <w:t xml:space="preserve"> Any request, demand, authorization, direction, notice, consent, waiver or Act of Holders or other document provided or permitted by this Indenture to be made upon, given or furnished to, or filed with,</w:t>
      </w:r>
    </w:p>
    <w:p>
      <w:pPr>
        <w:spacing w:after="0" w:line="132" w:lineRule="exact"/>
        <w:rPr>
          <w:sz w:val="20"/>
          <w:szCs w:val="20"/>
          <w:color w:val="auto"/>
        </w:rPr>
      </w:pPr>
    </w:p>
    <w:p>
      <w:pPr>
        <w:ind w:left="460" w:right="240" w:firstLine="443"/>
        <w:spacing w:after="0" w:line="268" w:lineRule="auto"/>
        <w:tabs>
          <w:tab w:leader="none" w:pos="113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the Trustee by any Holder, a Guarantor or by the Company shall be sufficient for every purpose hereunder if made, given, furnished or filed in writing to or with the Trustee at its Corporate Trust Office, Attention: </w:t>
      </w:r>
      <w:r>
        <w:rPr>
          <w:rFonts w:ascii="Arial" w:cs="Arial" w:eastAsia="Arial" w:hAnsi="Arial"/>
          <w:sz w:val="18"/>
          <w:szCs w:val="18"/>
          <w:b w:val="1"/>
          <w:bCs w:val="1"/>
          <w:color w:val="auto"/>
        </w:rPr>
        <w:t>[Corporate Trust Department]</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right="320" w:firstLine="443"/>
        <w:spacing w:after="0" w:line="256" w:lineRule="auto"/>
        <w:tabs>
          <w:tab w:leader="none" w:pos="114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Company by the Trustee, a Guarantor or by any Holder shall be sufficient for every purpose hereunder (unless otherwise herein expressly provided) if in writing and mailed, first-class postage prepaid, to the Company addressed to it at the address of its principal office specified in the first paragraph of this instrument to the attention of the Corporate Secretary, or at any other address previously furnished in writing to the Trustee by the Company, or</w:t>
      </w:r>
    </w:p>
    <w:p>
      <w:pPr>
        <w:spacing w:after="0" w:line="62" w:lineRule="exact"/>
        <w:rPr>
          <w:rFonts w:ascii="Arial" w:cs="Arial" w:eastAsia="Arial" w:hAnsi="Arial"/>
          <w:sz w:val="18"/>
          <w:szCs w:val="18"/>
          <w:color w:val="auto"/>
        </w:rPr>
      </w:pPr>
    </w:p>
    <w:p>
      <w:pPr>
        <w:jc w:val="both"/>
        <w:ind w:left="460" w:right="280" w:firstLine="443"/>
        <w:spacing w:after="0" w:line="306" w:lineRule="auto"/>
        <w:tabs>
          <w:tab w:leader="none" w:pos="113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 Guarantor by the Company, the Trustee or by any Holder shall be sufficient for every purpose hereunder (unless otherwise herein expressly provided) if in writing and mailed, first-class postage prepaid, to such Guarantor addressed to it at 700 Milam, Suite 3100, Houston, Texas 77002 to the attention of the Corporate Secretary, or at any other address previously furnished in writing to the Trustee by the Guarantor.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Notice to Holders; Waiver</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Where this Indenture provides for notice to Holders of any event, such notice shall be sufficiently given (unless otherwise herein expressly provided) if in writing and mailed, first-class postage prepaid, to each Holder affected by such event, at his address as it appears in the Security Register, not later than the latest date, and not earlier than the earliest date, prescribed for the giving of such notice. In any case where notice to Holders is given by mail, neither the failure to mail such notice, nor any defect in any notice so mailed, to any particular Holder shall affect the sufficiency of such notice with respect to other Holders. Any notice mailed to a Holder in the manner herein prescribed shall be conclusively deemed to have been received by such Holder, regardless of whether such Holder actually receives such notice.</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w:t>
      </w:r>
    </w:p>
    <w:p>
      <w:pPr>
        <w:spacing w:after="0" w:line="9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If any provision hereof limits, qualifies or conflicts with a provision of the Trust Indenture Act that is required under such Act to be a part of and govern this Indenture, the latter provision shall control. If any provision of this Indenture modifies or excludes any provision of the Trust Indenture Act that may be so modified or excluded, the latter provision shall be deemed to apply to this Indenture as so modified or excluded, as the case may be.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1.9. </w:t>
      </w:r>
      <w:r>
        <w:rPr>
          <w:rFonts w:ascii="Arial" w:cs="Arial" w:eastAsia="Arial" w:hAnsi="Arial"/>
          <w:sz w:val="18"/>
          <w:szCs w:val="18"/>
          <w:u w:val="single" w:color="auto"/>
          <w:color w:val="auto"/>
        </w:rPr>
        <w:t>Effect of Headings and Table of Contents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 and Section headings herein and the Table of Contents are for convenience only and shall not affect the construction hereof.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All covenants and agreements in this Indenture by each of the Company and the Guarantors shall bind their respective successors and assigns, whether so expressed or not.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Separability Clause</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case any provision in this Indenture or in the Securities or, if applicable, the Guarantee shall be invalid, illegal or unenforceable, the validity, legality and enforceability of the remaining provisions shall not in any way be affected or impaired thereby.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Nothing in this Indenture or in the Securities or, if applicable, the Guarantee, express or implied, shall give to any Person, other than the parties hereto and their successors hereunder, the holders of Senior Debt and the Holders, any benefit or any legal or equitable right, remedy or claim under this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84"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b w:val="1"/>
          <w:bCs w:val="1"/>
          <w:color w:val="auto"/>
        </w:rPr>
        <w:t>THIS INDENTURE, THE SECURITIES AND THE GUARANTEE SHALL BE GOVERNED BY AND CONSTRUED IN ACCORDANCE WITH THE LAWS OF THE STATE OF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Legal Holidays</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In any case where any Interest Payment Date, Redemption Date or Stated Maturity of any Security shall not be a Business Day at any Place of Payment, then (notwithstanding any other provision of this Indenture or of the Securities or, if applicable, the Guarantee (other than a provision of the Securities of any series or, if applicable, the Guarantee that specifically states that such provision shall apply in lieu of this Section 1.14)) payment of interest or principal and any premium need not be made at such Place of Payment on such date, but may be made on the next succeeding Business Day at such Place of Payment with the same force and effect as if made on the Interest Payment Date or Redemption Date, or at the Stated Maturity,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interest shall accrue for the period from and after such Interest Payment Date, Redemption Date or Stated Maturity, as the case may be.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Securities in a Composite Currency, Currency Unit or Foreign Currency</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Unless otherwise specified in an Officer’s Certificate delivered pursuant to Section 3.1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currency or currencies other than Dollars (including, but not limited to, any composite currency, currency units or Foreign Currency), then the principal amount of Securities of such series which shall be deemed to be Outstanding for the purpose of taking such action shall be that amount of Dollars that could be obtained for such amount at the Market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150" w:name="page151"/>
    <w:bookmarkEnd w:id="150"/>
    <w:p>
      <w:pPr>
        <w:ind w:right="4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Exchange Rate. For purposes of this Section 1.15, the term “Market Exchange Rate” shall mean the noon Dollar buying rate in The City of New York for cable transfers of such currency or currencies as published by the Federal Reserve Bank of New York, as of the most recent available date. If such Market Exchange Rate is not so available for any reason with respect to such currency, the Trustee shall use, in its sole discretion and without liability on its part, such quotation of the Federal Reserve Bank of New York as of the most recent available date, or quotations or rates of exchange from one or more major banks in The City of New York or in the country of issue of the currency in question, which for purposes of euros shall be Brussels, Belgium, or such other quotations or rates of exchange as the Trustee shall deem appropriate. The provisions of this paragraph shall apply in determining the equivalent principal amount in respect of Securities of a series denominated in a currency other than Dollars in connection with any action taken by Holders of Securities pursuant to the terms of this Indenture.</w:t>
      </w:r>
    </w:p>
    <w:p>
      <w:pPr>
        <w:spacing w:after="0" w:line="10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All decisions and determinations of the Trustee regarding the Market Exchange Rate or any alternative determination provided for in the preceding paragraph shall be in its sole discretion and shall, in the absence of manifest error, be conclusive to the extent permitted by law for all purposes and irrevocably binding upon the Issuer and all 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Payment in Required Currency; Judgment Currency</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Each of the Company and the Guarantors agrees, to the fullest extent that it may effectively do so under applicable law, that (a) if for the purpose of obtaining judgment in any court it is necessary to convert the sum due in respect of the principal of or interest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Banking Day, then, to the extent permitted by applicable law, the rate of exchange used shall be the rate at which in accordance with normal banking procedures the Trustee could purchase in The City of New York the Required Currency with the Judgment Currency on the Banking Day next preceding the day on which final unappealable judgment is entered and (b) its obligations under this Indenture to make payments in the Required Currency (i) shall not be discharged or satisfied by any tender, or any recovery pursuant to any judgment (regardless of whether entered in accordance with subclause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1.17. </w:t>
      </w:r>
      <w:r>
        <w:rPr>
          <w:rFonts w:ascii="Arial" w:cs="Arial" w:eastAsia="Arial" w:hAnsi="Arial"/>
          <w:sz w:val="18"/>
          <w:szCs w:val="18"/>
          <w:u w:val="single" w:color="auto"/>
          <w:color w:val="auto"/>
        </w:rPr>
        <w:t>Language of Notices, Etc</w:t>
      </w:r>
      <w:r>
        <w:rPr>
          <w:rFonts w:ascii="Arial" w:cs="Arial" w:eastAsia="Arial" w:hAnsi="Arial"/>
          <w:sz w:val="18"/>
          <w:szCs w:val="18"/>
          <w:color w:val="auto"/>
        </w:rPr>
        <w:t>.</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Any request, demand, authorization, direction, notice, consent, waiver or Act required or permitted under this Indenture shall be in the English language, except that any published notice may be in an official language of the country of publication.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u w:val="single" w:color="auto"/>
          <w:color w:val="auto"/>
        </w:rPr>
        <w:t>Incorporators, Shareholders, Officers and Directors of the Company and the Guarantors Exempt from Individual Liability</w:t>
      </w:r>
      <w:r>
        <w:rPr>
          <w:rFonts w:ascii="Arial" w:cs="Arial" w:eastAsia="Arial" w:hAnsi="Arial"/>
          <w:sz w:val="18"/>
          <w:szCs w:val="18"/>
          <w:color w:val="auto"/>
        </w:rPr>
        <w:t>.</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No recourse under or upon any obligation, covenant or agreement of or contained in this Indenture or of or contained in any Security or, if applicable, the Guarantee, or for any claim based thereon or otherwise in respect thereof, or in any Security or, if applicable, the Guarantee, or because of</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51" w:name="page152"/>
    <w:bookmarkEnd w:id="151"/>
    <w:p>
      <w:pPr>
        <w:ind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creation of any indebtedness represented thereby, shall be had against any incorporator, shareholder, member, officer, manager or director, as such, past, present or future, of the Company, any Guarantor or any successor Person, either directly or through the Company, any Guarantor or any successor Person, whether by virtue of any constitution, statute or rule of law, or by the enforcement of any assessment or penalty or otherwise, it being expressly understood that all such liability is hereby expressly waived and released as a condition of, and as a part of the consideration for, the execution of this Indenture and the issue of the Securities.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TWO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SECURITY FORMS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Forms Generally</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Securities of each series and, if applicable, the notation thereon relating to the Guarantee, shall be in substantially the form set forth in this Article Two, or in such other form or forms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executing such Securities and, if applicable, the Guarantee, as evidenced by their execution thereof.</w:t>
      </w:r>
    </w:p>
    <w:p>
      <w:pPr>
        <w:spacing w:after="0" w:line="11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definitive Securities shall be printed, lithographed or engraved on steel engraved borders or may be produced in any other manner, all as determined by the officers executing such Securities, as evidenced by their execution thereof. If the form of Securities of any series is established by action taken pursuant to a Board Resolution, a copy of an appropriate record of such action shall be certified by an authorized officer or other authorized person on behalf of the Company and delivered to the Trustee at or prior to the delivery of the Company Order contemplated by Section 3.3 for the authentication and delivery of such Securities.</w:t>
      </w:r>
    </w:p>
    <w:p>
      <w:pPr>
        <w:spacing w:after="0" w:line="9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forms of Global Securities of any series shall have such provisions and legends as are customary for Securities of such series in global form, including without limitation any legend required by the Depositary for the Securities of such series.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Form of Face of Security</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 the Security is an Original Issue Discount Security, insert—</w:t>
      </w:r>
      <w:r>
        <w:rPr>
          <w:rFonts w:ascii="Arial" w:cs="Arial" w:eastAsia="Arial" w:hAnsi="Arial"/>
          <w:sz w:val="16"/>
          <w:szCs w:val="16"/>
          <w:color w:val="auto"/>
        </w:rPr>
        <w:t>FOR PURPOSES OF SECTION 1275 OF THE UNITED STATES INTERNAL REVENUE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gridSpan w:val="5"/>
          </w:tcPr>
          <w:p>
            <w:pPr>
              <w:spacing w:after="0"/>
              <w:rPr>
                <w:sz w:val="20"/>
                <w:szCs w:val="20"/>
                <w:color w:val="auto"/>
              </w:rPr>
            </w:pPr>
            <w:r>
              <w:rPr>
                <w:rFonts w:ascii="Arial" w:cs="Arial" w:eastAsia="Arial" w:hAnsi="Arial"/>
                <w:sz w:val="18"/>
                <w:szCs w:val="18"/>
                <w:color w:val="auto"/>
                <w:w w:val="93"/>
              </w:rPr>
              <w:t>CODE OF 1986, AS AMENDED, THE AMOUNT OF THE ORIGINAL ISSUE DISCOUNT IS</w:t>
            </w:r>
          </w:p>
        </w:tc>
        <w:tc>
          <w:tcPr>
            <w:tcW w:w="92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8"/>
                <w:szCs w:val="18"/>
                <w:color w:val="auto"/>
                <w:w w:val="93"/>
              </w:rPr>
              <w:t>, THE ISSUE DATE IS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4"/>
          </w:tcPr>
          <w:p>
            <w:pPr>
              <w:spacing w:after="0"/>
              <w:rPr>
                <w:sz w:val="20"/>
                <w:szCs w:val="20"/>
                <w:color w:val="auto"/>
              </w:rPr>
            </w:pPr>
            <w:r>
              <w:rPr>
                <w:rFonts w:ascii="Arial" w:cs="Arial" w:eastAsia="Arial" w:hAnsi="Arial"/>
                <w:sz w:val="18"/>
                <w:szCs w:val="18"/>
                <w:color w:val="auto"/>
              </w:rPr>
              <w:t>, 20   [AND] [,]</w:t>
            </w:r>
          </w:p>
        </w:tc>
      </w:tr>
      <w:tr>
        <w:trPr>
          <w:trHeight w:val="20"/>
        </w:trPr>
        <w:tc>
          <w:tcPr>
            <w:tcW w:w="2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2380" w:type="dxa"/>
            <w:vAlign w:val="bottom"/>
          </w:tcPr>
          <w:p>
            <w:pPr>
              <w:spacing w:after="0" w:line="196" w:lineRule="exact"/>
              <w:rPr>
                <w:sz w:val="20"/>
                <w:szCs w:val="20"/>
                <w:color w:val="auto"/>
              </w:rPr>
            </w:pPr>
            <w:r>
              <w:rPr>
                <w:rFonts w:ascii="Arial" w:cs="Arial" w:eastAsia="Arial" w:hAnsi="Arial"/>
                <w:sz w:val="18"/>
                <w:szCs w:val="18"/>
                <w:color w:val="auto"/>
                <w:w w:val="97"/>
              </w:rPr>
              <w:t>THE YIELD TO MATURITY IS</w:t>
            </w:r>
          </w:p>
        </w:tc>
        <w:tc>
          <w:tcPr>
            <w:tcW w:w="880" w:type="dxa"/>
            <w:vAlign w:val="bottom"/>
            <w:tcBorders>
              <w:bottom w:val="single" w:sz="8" w:color="auto"/>
            </w:tcBorders>
          </w:tcPr>
          <w:p>
            <w:pPr>
              <w:spacing w:after="0"/>
              <w:rPr>
                <w:sz w:val="17"/>
                <w:szCs w:val="17"/>
                <w:color w:val="auto"/>
              </w:rPr>
            </w:pPr>
          </w:p>
        </w:tc>
        <w:tc>
          <w:tcPr>
            <w:tcW w:w="6620" w:type="dxa"/>
            <w:vAlign w:val="bottom"/>
            <w:gridSpan w:val="6"/>
          </w:tcPr>
          <w:p>
            <w:pPr>
              <w:ind w:left="60"/>
              <w:spacing w:after="0" w:line="196" w:lineRule="exact"/>
              <w:rPr>
                <w:sz w:val="20"/>
                <w:szCs w:val="20"/>
                <w:color w:val="auto"/>
              </w:rPr>
            </w:pPr>
            <w:r>
              <w:rPr>
                <w:rFonts w:ascii="Arial" w:cs="Arial" w:eastAsia="Arial" w:hAnsi="Arial"/>
                <w:sz w:val="18"/>
                <w:szCs w:val="18"/>
                <w:color w:val="auto"/>
                <w:w w:val="94"/>
              </w:rPr>
              <w:t>[,] [AND THE ORIGINAL ISSUE DISCOUNT FOR THE SHORT ACCRUAL PERIOD IS</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20" w:type="dxa"/>
            <w:vAlign w:val="bottom"/>
          </w:tcPr>
          <w:p>
            <w:pPr>
              <w:ind w:left="40"/>
              <w:spacing w:after="0" w:line="196" w:lineRule="exact"/>
              <w:rPr>
                <w:sz w:val="20"/>
                <w:szCs w:val="20"/>
                <w:color w:val="auto"/>
              </w:rPr>
            </w:pPr>
            <w:r>
              <w:rPr>
                <w:rFonts w:ascii="Arial" w:cs="Arial" w:eastAsia="Arial" w:hAnsi="Arial"/>
                <w:sz w:val="18"/>
                <w:szCs w:val="18"/>
                <w:color w:val="auto"/>
                <w:w w:val="94"/>
              </w:rPr>
              <w:t>AND</w:t>
            </w:r>
          </w:p>
        </w:tc>
      </w:tr>
      <w:tr>
        <w:trPr>
          <w:trHeight w:val="196"/>
        </w:trPr>
        <w:tc>
          <w:tcPr>
            <w:tcW w:w="5120" w:type="dxa"/>
            <w:vAlign w:val="bottom"/>
            <w:gridSpan w:val="3"/>
          </w:tcPr>
          <w:p>
            <w:pPr>
              <w:spacing w:after="0" w:line="196" w:lineRule="exact"/>
              <w:rPr>
                <w:sz w:val="20"/>
                <w:szCs w:val="20"/>
                <w:color w:val="auto"/>
              </w:rPr>
            </w:pPr>
            <w:r>
              <w:rPr>
                <w:rFonts w:ascii="Arial" w:cs="Arial" w:eastAsia="Arial" w:hAnsi="Arial"/>
                <w:sz w:val="18"/>
                <w:szCs w:val="18"/>
                <w:color w:val="auto"/>
                <w:w w:val="94"/>
              </w:rPr>
              <w:t>THE METHOD USED TO DETERMINE THE YIELD THEREFOR IS</w:t>
            </w:r>
          </w:p>
        </w:tc>
        <w:tc>
          <w:tcPr>
            <w:tcW w:w="1720" w:type="dxa"/>
            <w:vAlign w:val="bottom"/>
            <w:gridSpan w:val="2"/>
          </w:tcPr>
          <w:p>
            <w:pPr>
              <w:jc w:val="right"/>
              <w:ind w:right="106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
        </w:trPr>
        <w:tc>
          <w:tcPr>
            <w:tcW w:w="2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[Insert any other legend required by the Code or the regulations thereunder.]</w:t>
      </w:r>
    </w:p>
    <w:p>
      <w:pPr>
        <w:spacing w:after="0" w:line="17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 a Global Security,—insert legend required by Section 204 of the Indentur</w:t>
      </w:r>
      <w:r>
        <w:rPr>
          <w:rFonts w:ascii="Arial" w:cs="Arial" w:eastAsia="Arial" w:hAnsi="Arial"/>
          <w:sz w:val="16"/>
          <w:szCs w:val="16"/>
          <w:color w:val="auto"/>
        </w:rPr>
        <w:t>e] [</w:t>
      </w:r>
      <w:r>
        <w:rPr>
          <w:rFonts w:ascii="Arial" w:cs="Arial" w:eastAsia="Arial" w:hAnsi="Arial"/>
          <w:sz w:val="16"/>
          <w:szCs w:val="16"/>
          <w:i w:val="1"/>
          <w:iCs w:val="1"/>
          <w:color w:val="auto"/>
        </w:rPr>
        <w:t>If applicable, insert —</w:t>
      </w:r>
      <w:r>
        <w:rPr>
          <w:rFonts w:ascii="Arial" w:cs="Arial" w:eastAsia="Arial" w:hAnsi="Arial"/>
          <w:sz w:val="16"/>
          <w:szCs w:val="16"/>
          <w:color w:val="auto"/>
        </w:rPr>
        <w:t xml:space="preserve"> UNLESS THIS SECURITY IS PRESENTED BY AN AUTHORIZED REPRESENTATIVE OF THE DEPOSITORY TRUST COMPANY, A NEW YORK CORPORATION, TO THE COMPANY OR ITS AGENT FOR REGISTRATION OF TRANSFER, EXCHANGE OR PAYMENT, AND ANY SECURITY ISSUED IS REGISTERED IN THE NAME OF CEDE &amp; CO. OR SUCH OTHER NAME AS IS REQUESTED BY AN AUTHORIZED REPRESENTATIVE OF THE DEPOSITORY TRUST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9" w:right="259" w:bottom="1440" w:gutter="0" w:footer="0" w:header="0"/>
        </w:sectPr>
      </w:pPr>
    </w:p>
    <w:bookmarkStart w:id="152" w:name="page153"/>
    <w:bookmarkEnd w:id="152"/>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(AND ANY PAYMENT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0" w:type="dxa"/>
            <w:vAlign w:val="bottom"/>
          </w:tcPr>
          <w:p>
            <w:pPr>
              <w:ind w:left="3700"/>
              <w:spacing w:after="0"/>
              <w:rPr>
                <w:sz w:val="20"/>
                <w:szCs w:val="20"/>
                <w:color w:val="auto"/>
              </w:rPr>
            </w:pPr>
            <w:r>
              <w:rPr>
                <w:rFonts w:ascii="Arial" w:cs="Arial" w:eastAsia="Arial" w:hAnsi="Arial"/>
                <w:sz w:val="18"/>
                <w:szCs w:val="18"/>
                <w:color w:val="auto"/>
              </w:rPr>
              <w:t>ACTIVE POWER, INC.</w:t>
            </w:r>
          </w:p>
        </w:tc>
      </w:tr>
      <w:tr>
        <w:trPr>
          <w:trHeight w:val="378"/>
        </w:trPr>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0" w:type="dxa"/>
            <w:vAlign w:val="bottom"/>
          </w:tcPr>
          <w:p>
            <w:pPr>
              <w:ind w:left="3680"/>
              <w:spacing w:after="0"/>
              <w:rPr>
                <w:sz w:val="20"/>
                <w:szCs w:val="20"/>
                <w:color w:val="auto"/>
              </w:rPr>
            </w:pPr>
            <w:r>
              <w:rPr>
                <w:rFonts w:ascii="Arial" w:cs="Arial" w:eastAsia="Arial" w:hAnsi="Arial"/>
                <w:sz w:val="18"/>
                <w:szCs w:val="18"/>
                <w:color w:val="auto"/>
              </w:rPr>
              <w:t>[TITLE OF SECURITY]</w:t>
            </w:r>
          </w:p>
        </w:tc>
      </w:tr>
      <w:tr>
        <w:trPr>
          <w:trHeight w:val="380"/>
        </w:trPr>
        <w:tc>
          <w:tcPr>
            <w:tcW w:w="260" w:type="dxa"/>
            <w:vAlign w:val="bottom"/>
          </w:tcPr>
          <w:p>
            <w:pPr>
              <w:spacing w:after="0"/>
              <w:rPr>
                <w:sz w:val="20"/>
                <w:szCs w:val="20"/>
                <w:color w:val="auto"/>
              </w:rPr>
            </w:pPr>
            <w:r>
              <w:rPr>
                <w:rFonts w:ascii="Arial" w:cs="Arial" w:eastAsia="Arial" w:hAnsi="Arial"/>
                <w:sz w:val="18"/>
                <w:szCs w:val="18"/>
                <w:color w:val="auto"/>
              </w:rPr>
              <w:t>No</w:t>
            </w:r>
          </w:p>
        </w:tc>
        <w:tc>
          <w:tcPr>
            <w:tcW w:w="880" w:type="dxa"/>
            <w:vAlign w:val="bottom"/>
            <w:tcBorders>
              <w:bottom w:val="single" w:sz="8" w:color="auto"/>
            </w:tcBorders>
          </w:tcPr>
          <w:p>
            <w:pPr>
              <w:spacing w:after="0"/>
              <w:rPr>
                <w:sz w:val="24"/>
                <w:szCs w:val="24"/>
                <w:color w:val="auto"/>
              </w:rPr>
            </w:pPr>
          </w:p>
        </w:tc>
        <w:tc>
          <w:tcPr>
            <w:tcW w:w="9400" w:type="dxa"/>
            <w:vAlign w:val="bottom"/>
          </w:tcPr>
          <w:p>
            <w:pPr>
              <w:ind w:left="8960"/>
              <w:spacing w:after="0"/>
              <w:rPr>
                <w:sz w:val="20"/>
                <w:szCs w:val="20"/>
                <w:color w:val="auto"/>
              </w:rPr>
            </w:pPr>
            <w:r>
              <w:rPr>
                <w:rFonts w:ascii="Arial" w:cs="Arial" w:eastAsia="Arial" w:hAnsi="Arial"/>
                <w:sz w:val="18"/>
                <w:szCs w:val="18"/>
                <w:color w:val="auto"/>
                <w:w w:val="83"/>
              </w:rPr>
              <w:t>U.S.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6694170</wp:posOffset>
            </wp:positionH>
            <wp:positionV relativeFrom="paragraph">
              <wp:posOffset>-8255</wp:posOffset>
            </wp:positionV>
            <wp:extent cx="55753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[CUSIP No. ]</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ACTIVE POWER, INC., a company duly incorporated under the laws of the State of Delaware (herein called the “Company”, which term includes any successor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00" w:type="dxa"/>
            <w:vAlign w:val="bottom"/>
            <w:gridSpan w:val="12"/>
          </w:tcPr>
          <w:p>
            <w:pPr>
              <w:spacing w:after="0"/>
              <w:rPr>
                <w:sz w:val="20"/>
                <w:szCs w:val="20"/>
                <w:color w:val="auto"/>
              </w:rPr>
            </w:pPr>
            <w:r>
              <w:rPr>
                <w:rFonts w:ascii="Arial" w:cs="Arial" w:eastAsia="Arial" w:hAnsi="Arial"/>
                <w:sz w:val="18"/>
                <w:szCs w:val="18"/>
                <w:color w:val="auto"/>
                <w:w w:val="88"/>
              </w:rPr>
              <w:t>or resulting Person under the Indenture hereinafter referred to), for value received, hereby promises to pay to</w:t>
            </w:r>
          </w:p>
        </w:tc>
        <w:tc>
          <w:tcPr>
            <w:tcW w:w="1760" w:type="dxa"/>
            <w:vAlign w:val="bottom"/>
            <w:tcBorders>
              <w:bottom w:val="single" w:sz="8" w:color="auto"/>
            </w:tcBorders>
            <w:gridSpan w:val="2"/>
          </w:tcPr>
          <w:p>
            <w:pPr>
              <w:spacing w:after="0"/>
              <w:rPr>
                <w:sz w:val="17"/>
                <w:szCs w:val="17"/>
                <w:color w:val="auto"/>
              </w:rPr>
            </w:pPr>
          </w:p>
        </w:tc>
        <w:tc>
          <w:tcPr>
            <w:tcW w:w="1900" w:type="dxa"/>
            <w:vAlign w:val="bottom"/>
            <w:gridSpan w:val="4"/>
          </w:tcPr>
          <w:p>
            <w:pPr>
              <w:jc w:val="right"/>
              <w:spacing w:after="0"/>
              <w:rPr>
                <w:sz w:val="20"/>
                <w:szCs w:val="20"/>
                <w:color w:val="auto"/>
              </w:rPr>
            </w:pPr>
            <w:r>
              <w:rPr>
                <w:rFonts w:ascii="Arial" w:cs="Arial" w:eastAsia="Arial" w:hAnsi="Arial"/>
                <w:sz w:val="18"/>
                <w:szCs w:val="18"/>
                <w:color w:val="auto"/>
                <w:w w:val="84"/>
              </w:rPr>
              <w:t>, or registered assigns, the</w:t>
            </w:r>
          </w:p>
        </w:tc>
      </w:tr>
      <w:tr>
        <w:trPr>
          <w:trHeight w:val="196"/>
        </w:trPr>
        <w:tc>
          <w:tcPr>
            <w:tcW w:w="1200" w:type="dxa"/>
            <w:vAlign w:val="bottom"/>
            <w:gridSpan w:val="3"/>
          </w:tcPr>
          <w:p>
            <w:pPr>
              <w:spacing w:after="0" w:line="196" w:lineRule="exact"/>
              <w:rPr>
                <w:sz w:val="20"/>
                <w:szCs w:val="20"/>
                <w:color w:val="auto"/>
              </w:rPr>
            </w:pPr>
            <w:r>
              <w:rPr>
                <w:rFonts w:ascii="Arial" w:cs="Arial" w:eastAsia="Arial" w:hAnsi="Arial"/>
                <w:sz w:val="18"/>
                <w:szCs w:val="18"/>
                <w:color w:val="auto"/>
                <w:w w:val="93"/>
              </w:rPr>
              <w:t>principal sum of</w:t>
            </w:r>
          </w:p>
        </w:tc>
        <w:tc>
          <w:tcPr>
            <w:tcW w:w="880" w:type="dxa"/>
            <w:vAlign w:val="bottom"/>
            <w:tcBorders>
              <w:bottom w:val="single" w:sz="8" w:color="auto"/>
            </w:tcBorders>
            <w:gridSpan w:val="3"/>
          </w:tcPr>
          <w:p>
            <w:pPr>
              <w:spacing w:after="0"/>
              <w:rPr>
                <w:sz w:val="17"/>
                <w:szCs w:val="17"/>
                <w:color w:val="auto"/>
              </w:rPr>
            </w:pPr>
          </w:p>
        </w:tc>
        <w:tc>
          <w:tcPr>
            <w:tcW w:w="1800" w:type="dxa"/>
            <w:vAlign w:val="bottom"/>
            <w:gridSpan w:val="4"/>
          </w:tcPr>
          <w:p>
            <w:pPr>
              <w:ind w:left="40"/>
              <w:spacing w:after="0" w:line="196" w:lineRule="exact"/>
              <w:rPr>
                <w:sz w:val="20"/>
                <w:szCs w:val="20"/>
                <w:color w:val="auto"/>
              </w:rPr>
            </w:pPr>
            <w:r>
              <w:rPr>
                <w:rFonts w:ascii="Arial" w:cs="Arial" w:eastAsia="Arial" w:hAnsi="Arial"/>
                <w:sz w:val="18"/>
                <w:szCs w:val="18"/>
                <w:color w:val="auto"/>
                <w:w w:val="89"/>
              </w:rPr>
              <w:t>United States Dollars on</w:t>
            </w:r>
          </w:p>
        </w:tc>
        <w:tc>
          <w:tcPr>
            <w:tcW w:w="880" w:type="dxa"/>
            <w:vAlign w:val="bottom"/>
            <w:tcBorders>
              <w:bottom w:val="single" w:sz="8" w:color="auto"/>
            </w:tcBorders>
          </w:tcPr>
          <w:p>
            <w:pPr>
              <w:spacing w:after="0"/>
              <w:rPr>
                <w:sz w:val="17"/>
                <w:szCs w:val="17"/>
                <w:color w:val="auto"/>
              </w:rPr>
            </w:pPr>
          </w:p>
        </w:tc>
        <w:tc>
          <w:tcPr>
            <w:tcW w:w="6600" w:type="dxa"/>
            <w:vAlign w:val="bottom"/>
            <w:gridSpan w:val="7"/>
          </w:tcPr>
          <w:p>
            <w:pPr>
              <w:jc w:val="right"/>
              <w:spacing w:after="0" w:line="196" w:lineRule="exact"/>
              <w:rPr>
                <w:sz w:val="20"/>
                <w:szCs w:val="20"/>
                <w:color w:val="auto"/>
              </w:rPr>
            </w:pPr>
            <w:r>
              <w:rPr>
                <w:rFonts w:ascii="Arial" w:cs="Arial" w:eastAsia="Arial" w:hAnsi="Arial"/>
                <w:sz w:val="18"/>
                <w:szCs w:val="18"/>
                <w:color w:val="auto"/>
                <w:w w:val="90"/>
              </w:rPr>
              <w:t>[</w:t>
            </w:r>
            <w:r>
              <w:rPr>
                <w:rFonts w:ascii="Arial" w:cs="Arial" w:eastAsia="Arial" w:hAnsi="Arial"/>
                <w:sz w:val="18"/>
                <w:szCs w:val="18"/>
                <w:i w:val="1"/>
                <w:iCs w:val="1"/>
                <w:color w:val="auto"/>
                <w:w w:val="90"/>
              </w:rPr>
              <w:t>If the Security is to bear interest prior to Maturity, insert—</w:t>
            </w:r>
            <w:r>
              <w:rPr>
                <w:rFonts w:ascii="Arial" w:cs="Arial" w:eastAsia="Arial" w:hAnsi="Arial"/>
                <w:sz w:val="18"/>
                <w:szCs w:val="18"/>
                <w:color w:val="auto"/>
                <w:w w:val="90"/>
              </w:rPr>
              <w:t>, and to pay interest thereon from</w:t>
            </w:r>
          </w:p>
        </w:tc>
      </w:tr>
      <w:tr>
        <w:trPr>
          <w:trHeight w:val="196"/>
        </w:trPr>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320" w:type="dxa"/>
            <w:vAlign w:val="bottom"/>
            <w:gridSpan w:val="11"/>
          </w:tcPr>
          <w:p>
            <w:pPr>
              <w:ind w:left="40"/>
              <w:spacing w:after="0" w:line="196" w:lineRule="exact"/>
              <w:rPr>
                <w:sz w:val="20"/>
                <w:szCs w:val="20"/>
                <w:color w:val="auto"/>
              </w:rPr>
            </w:pPr>
            <w:r>
              <w:rPr>
                <w:rFonts w:ascii="Arial" w:cs="Arial" w:eastAsia="Arial" w:hAnsi="Arial"/>
                <w:sz w:val="18"/>
                <w:szCs w:val="18"/>
                <w:color w:val="auto"/>
                <w:w w:val="88"/>
              </w:rPr>
              <w:t>or from the most recent Interest Payment Date to which interest has been paid or duly provided for, semi-annually on</w:t>
            </w: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 w:type="dxa"/>
            <w:vAlign w:val="bottom"/>
          </w:tcPr>
          <w:p>
            <w:pPr>
              <w:ind w:left="40"/>
              <w:spacing w:after="0" w:line="196" w:lineRule="exact"/>
              <w:rPr>
                <w:sz w:val="20"/>
                <w:szCs w:val="20"/>
                <w:color w:val="auto"/>
              </w:rPr>
            </w:pPr>
            <w:r>
              <w:rPr>
                <w:rFonts w:ascii="Arial" w:cs="Arial" w:eastAsia="Arial" w:hAnsi="Arial"/>
                <w:sz w:val="18"/>
                <w:szCs w:val="18"/>
                <w:color w:val="auto"/>
                <w:w w:val="93"/>
              </w:rPr>
              <w:t>and</w:t>
            </w:r>
          </w:p>
        </w:tc>
        <w:tc>
          <w:tcPr>
            <w:tcW w:w="540" w:type="dxa"/>
            <w:vAlign w:val="bottom"/>
            <w:tcBorders>
              <w:bottom w:val="single" w:sz="8" w:color="auto"/>
            </w:tcBorders>
          </w:tcPr>
          <w:p>
            <w:pPr>
              <w:spacing w:after="0"/>
              <w:rPr>
                <w:sz w:val="17"/>
                <w:szCs w:val="17"/>
                <w:color w:val="auto"/>
              </w:rPr>
            </w:pPr>
          </w:p>
        </w:tc>
        <w:tc>
          <w:tcPr>
            <w:tcW w:w="760" w:type="dxa"/>
            <w:vAlign w:val="bottom"/>
          </w:tcPr>
          <w:p>
            <w:pPr>
              <w:jc w:val="right"/>
              <w:ind w:right="132"/>
              <w:spacing w:after="0" w:line="196" w:lineRule="exact"/>
              <w:rPr>
                <w:sz w:val="20"/>
                <w:szCs w:val="20"/>
                <w:color w:val="auto"/>
              </w:rPr>
            </w:pPr>
            <w:r>
              <w:rPr>
                <w:rFonts w:ascii="Arial" w:cs="Arial" w:eastAsia="Arial" w:hAnsi="Arial"/>
                <w:sz w:val="18"/>
                <w:szCs w:val="18"/>
                <w:color w:val="auto"/>
                <w:w w:val="89"/>
              </w:rPr>
              <w:t>in each</w:t>
            </w:r>
          </w:p>
        </w:tc>
      </w:tr>
      <w:tr>
        <w:trPr>
          <w:trHeight w:val="196"/>
        </w:trPr>
        <w:tc>
          <w:tcPr>
            <w:tcW w:w="1340" w:type="dxa"/>
            <w:vAlign w:val="bottom"/>
            <w:gridSpan w:val="5"/>
          </w:tcPr>
          <w:p>
            <w:pPr>
              <w:spacing w:after="0" w:line="196" w:lineRule="exact"/>
              <w:rPr>
                <w:sz w:val="20"/>
                <w:szCs w:val="20"/>
                <w:color w:val="auto"/>
              </w:rPr>
            </w:pPr>
            <w:r>
              <w:rPr>
                <w:rFonts w:ascii="Arial" w:cs="Arial" w:eastAsia="Arial" w:hAnsi="Arial"/>
                <w:sz w:val="18"/>
                <w:szCs w:val="18"/>
                <w:color w:val="auto"/>
                <w:w w:val="89"/>
              </w:rPr>
              <w:t>year, commencing</w:t>
            </w: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Pr>
          <w:p>
            <w:pPr>
              <w:spacing w:after="0" w:line="196" w:lineRule="exact"/>
              <w:rPr>
                <w:sz w:val="20"/>
                <w:szCs w:val="20"/>
                <w:color w:val="auto"/>
              </w:rPr>
            </w:pPr>
            <w:r>
              <w:rPr>
                <w:rFonts w:ascii="Arial" w:cs="Arial" w:eastAsia="Arial" w:hAnsi="Arial"/>
                <w:sz w:val="18"/>
                <w:szCs w:val="18"/>
                <w:color w:val="auto"/>
                <w:w w:val="89"/>
              </w:rPr>
              <w:t>, at the rate of</w:t>
            </w:r>
          </w:p>
        </w:tc>
        <w:tc>
          <w:tcPr>
            <w:tcW w:w="520" w:type="dxa"/>
            <w:vAlign w:val="bottom"/>
            <w:tcBorders>
              <w:bottom w:val="single" w:sz="8" w:color="auto"/>
            </w:tcBorders>
          </w:tcPr>
          <w:p>
            <w:pPr>
              <w:spacing w:after="0"/>
              <w:rPr>
                <w:sz w:val="17"/>
                <w:szCs w:val="17"/>
                <w:color w:val="auto"/>
              </w:rPr>
            </w:pPr>
          </w:p>
        </w:tc>
        <w:tc>
          <w:tcPr>
            <w:tcW w:w="7600" w:type="dxa"/>
            <w:vAlign w:val="bottom"/>
            <w:gridSpan w:val="9"/>
          </w:tcPr>
          <w:p>
            <w:pPr>
              <w:jc w:val="right"/>
              <w:spacing w:after="0" w:line="196" w:lineRule="exact"/>
              <w:rPr>
                <w:sz w:val="20"/>
                <w:szCs w:val="20"/>
                <w:color w:val="auto"/>
              </w:rPr>
            </w:pPr>
            <w:r>
              <w:rPr>
                <w:rFonts w:ascii="Arial" w:cs="Arial" w:eastAsia="Arial" w:hAnsi="Arial"/>
                <w:sz w:val="18"/>
                <w:szCs w:val="18"/>
                <w:color w:val="auto"/>
                <w:w w:val="89"/>
              </w:rPr>
              <w:t>% per annum, until the principal hereof is paid or made available for payment [</w:t>
            </w:r>
            <w:r>
              <w:rPr>
                <w:rFonts w:ascii="Arial" w:cs="Arial" w:eastAsia="Arial" w:hAnsi="Arial"/>
                <w:sz w:val="18"/>
                <w:szCs w:val="18"/>
                <w:i w:val="1"/>
                <w:iCs w:val="1"/>
                <w:color w:val="auto"/>
                <w:w w:val="89"/>
              </w:rPr>
              <w:t>if applicable, insert—</w:t>
            </w:r>
            <w:r>
              <w:rPr>
                <w:rFonts w:ascii="Arial" w:cs="Arial" w:eastAsia="Arial" w:hAnsi="Arial"/>
                <w:sz w:val="18"/>
                <w:szCs w:val="18"/>
                <w:color w:val="auto"/>
                <w:w w:val="89"/>
              </w:rPr>
              <w:t>, and at</w:t>
            </w: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w w:val="91"/>
              </w:rPr>
              <w:t>the rate of</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60" w:type="dxa"/>
            <w:vAlign w:val="bottom"/>
            <w:gridSpan w:val="14"/>
          </w:tcPr>
          <w:p>
            <w:pPr>
              <w:jc w:val="right"/>
              <w:spacing w:after="0" w:line="196" w:lineRule="exact"/>
              <w:rPr>
                <w:sz w:val="20"/>
                <w:szCs w:val="20"/>
                <w:color w:val="auto"/>
              </w:rPr>
            </w:pPr>
            <w:r>
              <w:rPr>
                <w:rFonts w:ascii="Arial" w:cs="Arial" w:eastAsia="Arial" w:hAnsi="Arial"/>
                <w:sz w:val="18"/>
                <w:szCs w:val="18"/>
                <w:color w:val="auto"/>
                <w:w w:val="88"/>
              </w:rPr>
              <w:t>% per annum on any overdue principal and premium and on any installment of interest (to the extent that the payment of such interest shall be</w:t>
            </w:r>
          </w:p>
        </w:tc>
      </w:tr>
    </w:tbl>
    <w:p>
      <w:pPr>
        <w:spacing w:after="0" w:line="1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legally enforceable)].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w:t>
      </w:r>
    </w:p>
    <w:p>
      <w:pPr>
        <w:spacing w:after="0"/>
        <w:tabs>
          <w:tab w:leader="none" w:pos="2480" w:val="left"/>
          <w:tab w:leader="none" w:pos="3240" w:val="left"/>
        </w:tabs>
        <w:rPr>
          <w:sz w:val="20"/>
          <w:szCs w:val="20"/>
          <w:color w:val="auto"/>
        </w:rPr>
      </w:pPr>
      <w:r>
        <w:rPr>
          <w:rFonts w:ascii="Arial" w:cs="Arial" w:eastAsia="Arial" w:hAnsi="Arial"/>
          <w:sz w:val="18"/>
          <w:szCs w:val="18"/>
          <w:color w:val="auto"/>
        </w:rPr>
        <w:t>interest, which shall be the</w:t>
      </w:r>
      <w:r>
        <w:rPr>
          <w:sz w:val="20"/>
          <w:szCs w:val="20"/>
          <w:color w:val="auto"/>
        </w:rPr>
        <w:tab/>
      </w:r>
      <w:r>
        <w:rPr>
          <w:rFonts w:ascii="Arial" w:cs="Arial" w:eastAsia="Arial" w:hAnsi="Arial"/>
          <w:sz w:val="18"/>
          <w:szCs w:val="18"/>
          <w:color w:val="auto"/>
        </w:rPr>
        <w:t>or</w:t>
      </w:r>
      <w:r>
        <w:rPr>
          <w:sz w:val="20"/>
          <w:szCs w:val="20"/>
          <w:color w:val="auto"/>
        </w:rPr>
        <w:tab/>
      </w:r>
      <w:r>
        <w:rPr>
          <w:rFonts w:ascii="Arial" w:cs="Arial" w:eastAsia="Arial" w:hAnsi="Arial"/>
          <w:sz w:val="15"/>
          <w:szCs w:val="15"/>
          <w:color w:val="auto"/>
        </w:rPr>
        <w:t>(regardless of whether a Business Day), as the case may be, next preceding such Interest Payment Date. Any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1224915</wp:posOffset>
            </wp:positionH>
            <wp:positionV relativeFrom="paragraph">
              <wp:posOffset>-17780</wp:posOffset>
            </wp:positionV>
            <wp:extent cx="81724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ind w:right="120"/>
        <w:spacing w:after="0" w:line="292" w:lineRule="auto"/>
        <w:rPr>
          <w:sz w:val="20"/>
          <w:szCs w:val="20"/>
          <w:color w:val="auto"/>
        </w:rPr>
      </w:pPr>
      <w:r>
        <w:rPr>
          <w:rFonts w:ascii="Arial" w:cs="Arial" w:eastAsia="Arial" w:hAnsi="Arial"/>
          <w:sz w:val="16"/>
          <w:szCs w:val="16"/>
          <w:color w:val="auto"/>
        </w:rPr>
        <w:t>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 the Security is not to bear interest prior to Maturity, insert—</w:t>
      </w:r>
      <w:r>
        <w:rPr>
          <w:rFonts w:ascii="Arial" w:cs="Arial" w:eastAsia="Arial" w:hAnsi="Arial"/>
          <w:sz w:val="16"/>
          <w:szCs w:val="16"/>
          <w:color w:val="auto"/>
        </w:rPr>
        <w:t>The principal of this Security shall not bear interest except in the case of a default in payment of principal upon acceleration, upon redemption or at Stated Maturity and in such case the overdue principal of this Security shall bear interest at the rate of</w:t>
      </w:r>
    </w:p>
    <w:p>
      <w:pPr>
        <w:ind w:right="100" w:firstLine="535"/>
        <w:spacing w:after="0" w:line="300" w:lineRule="auto"/>
        <w:tabs>
          <w:tab w:leader="none" w:pos="717" w:val="left"/>
        </w:tabs>
        <w:numPr>
          <w:ilvl w:val="0"/>
          <w:numId w:val="114"/>
        </w:numPr>
        <w:rPr>
          <w:rFonts w:ascii="Arial" w:cs="Arial" w:eastAsia="Arial" w:hAnsi="Arial"/>
          <w:sz w:val="15"/>
          <w:szCs w:val="15"/>
          <w:color w:val="auto"/>
        </w:rPr>
      </w:pPr>
      <w:r>
        <w:rPr>
          <w:rFonts w:ascii="Arial" w:cs="Arial" w:eastAsia="Arial" w:hAnsi="Arial"/>
          <w:sz w:val="15"/>
          <w:szCs w:val="15"/>
          <w:color w:val="auto"/>
        </w:rPr>
        <w:t>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 Any such interest on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33464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tabs>
          <w:tab w:leader="none" w:pos="6100" w:val="left"/>
        </w:tabs>
        <w:rPr>
          <w:sz w:val="20"/>
          <w:szCs w:val="20"/>
          <w:color w:val="auto"/>
        </w:rPr>
      </w:pPr>
      <w:r>
        <w:rPr>
          <w:rFonts w:ascii="Arial" w:cs="Arial" w:eastAsia="Arial" w:hAnsi="Arial"/>
          <w:sz w:val="18"/>
          <w:szCs w:val="18"/>
          <w:color w:val="auto"/>
        </w:rPr>
        <w:t>overdue principal that is not so paid on demand shall bear interest at the rate of</w:t>
      </w:r>
      <w:r>
        <w:rPr>
          <w:sz w:val="20"/>
          <w:szCs w:val="20"/>
          <w:color w:val="auto"/>
        </w:rPr>
        <w:tab/>
      </w:r>
      <w:r>
        <w:rPr>
          <w:rFonts w:ascii="Arial" w:cs="Arial" w:eastAsia="Arial" w:hAnsi="Arial"/>
          <w:sz w:val="15"/>
          <w:szCs w:val="15"/>
          <w:color w:val="auto"/>
        </w:rPr>
        <w:t>% per annum (to the extent that the payment of such interest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3552825</wp:posOffset>
            </wp:positionH>
            <wp:positionV relativeFrom="paragraph">
              <wp:posOffset>-17780</wp:posOffset>
            </wp:positionV>
            <wp:extent cx="33464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right="140"/>
        <w:spacing w:after="0" w:line="261" w:lineRule="auto"/>
        <w:rPr>
          <w:sz w:val="20"/>
          <w:szCs w:val="20"/>
          <w:color w:val="auto"/>
        </w:rPr>
      </w:pPr>
      <w:r>
        <w:rPr>
          <w:rFonts w:ascii="Arial" w:cs="Arial" w:eastAsia="Arial" w:hAnsi="Arial"/>
          <w:sz w:val="18"/>
          <w:szCs w:val="18"/>
          <w:color w:val="auto"/>
        </w:rPr>
        <w:t>legally enforceable), which shall accrue from the date of such demand for payment to the date payment of such interest has been made or duly provided for, and such interest shall also be payable on demand.]</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 a Global Security, insert—</w:t>
      </w:r>
      <w:r>
        <w:rPr>
          <w:rFonts w:ascii="Arial" w:cs="Arial" w:eastAsia="Arial" w:hAnsi="Arial"/>
          <w:sz w:val="16"/>
          <w:szCs w:val="16"/>
          <w:color w:val="auto"/>
        </w:rPr>
        <w:t>Payment of the principal of (and premium, if any) and [</w:t>
      </w:r>
      <w:r>
        <w:rPr>
          <w:rFonts w:ascii="Arial" w:cs="Arial" w:eastAsia="Arial" w:hAnsi="Arial"/>
          <w:sz w:val="16"/>
          <w:szCs w:val="16"/>
          <w:i w:val="1"/>
          <w:iCs w:val="1"/>
          <w:color w:val="auto"/>
        </w:rPr>
        <w:t>if applicable, insert—any such</w:t>
      </w:r>
      <w:r>
        <w:rPr>
          <w:rFonts w:ascii="Arial" w:cs="Arial" w:eastAsia="Arial" w:hAnsi="Arial"/>
          <w:sz w:val="16"/>
          <w:szCs w:val="16"/>
          <w:color w:val="auto"/>
        </w:rPr>
        <w:t>] interest on this Security will be made by</w:t>
      </w:r>
    </w:p>
    <w:p>
      <w:pPr>
        <w:spacing w:after="0" w:line="3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transfer of immediately available funds to a bank account in designated by the Holder in such coin or currency of the United States of America as at the time of payment is legal tender for payment of public and private debts [state other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2710815</wp:posOffset>
            </wp:positionH>
            <wp:positionV relativeFrom="paragraph">
              <wp:posOffset>-172720</wp:posOffset>
            </wp:positionV>
            <wp:extent cx="55753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53" w:name="page154"/>
    <w:bookmarkEnd w:id="15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i w:val="1"/>
          <w:iCs w:val="1"/>
          <w:color w:val="auto"/>
        </w:rPr>
        <w:t>If a Definitive Security, insert—</w:t>
      </w:r>
      <w:r>
        <w:rPr>
          <w:rFonts w:ascii="Arial" w:cs="Arial" w:eastAsia="Arial" w:hAnsi="Arial"/>
          <w:sz w:val="16"/>
          <w:szCs w:val="16"/>
          <w:color w:val="auto"/>
        </w:rPr>
        <w:t>Payment of the principal of (and premium, if any) and [</w:t>
      </w:r>
      <w:r>
        <w:rPr>
          <w:rFonts w:ascii="Arial" w:cs="Arial" w:eastAsia="Arial" w:hAnsi="Arial"/>
          <w:sz w:val="16"/>
          <w:szCs w:val="16"/>
          <w:i w:val="1"/>
          <w:iCs w:val="1"/>
          <w:color w:val="auto"/>
        </w:rPr>
        <w:t>if applicable, insert—</w:t>
      </w:r>
      <w:r>
        <w:rPr>
          <w:rFonts w:ascii="Arial" w:cs="Arial" w:eastAsia="Arial" w:hAnsi="Arial"/>
          <w:sz w:val="16"/>
          <w:szCs w:val="16"/>
          <w:color w:val="auto"/>
        </w:rPr>
        <w:t>any such] interest on this Security will be made at</w:t>
      </w:r>
    </w:p>
    <w:p>
      <w:pPr>
        <w:spacing w:after="0" w:line="38"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the office or agency of the Company maintained for that purpose in</w:t>
      </w:r>
      <w:r>
        <w:rPr>
          <w:sz w:val="20"/>
          <w:szCs w:val="20"/>
          <w:color w:val="auto"/>
        </w:rPr>
        <w:tab/>
      </w:r>
      <w:r>
        <w:rPr>
          <w:rFonts w:ascii="Arial" w:cs="Arial" w:eastAsia="Arial" w:hAnsi="Arial"/>
          <w:sz w:val="15"/>
          <w:szCs w:val="15"/>
          <w:color w:val="auto"/>
        </w:rPr>
        <w:t>, in such coin or currency of the United States of America as at the time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-17780</wp:posOffset>
            </wp:positionV>
            <wp:extent cx="55753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payment is legal tender for payment of public and private debts] [state other currency] [or subject to any laws or regulations applicable thereto and to the right of</w:t>
      </w:r>
    </w:p>
    <w:p>
      <w:pPr>
        <w:spacing w:after="0" w:line="32" w:lineRule="exact"/>
        <w:rPr>
          <w:sz w:val="20"/>
          <w:szCs w:val="20"/>
          <w:color w:val="auto"/>
        </w:rPr>
      </w:pPr>
    </w:p>
    <w:p>
      <w:pPr>
        <w:spacing w:after="0"/>
        <w:tabs>
          <w:tab w:leader="none" w:pos="9420" w:val="left"/>
          <w:tab w:leader="none" w:pos="10480" w:val="left"/>
        </w:tabs>
        <w:rPr>
          <w:sz w:val="20"/>
          <w:szCs w:val="20"/>
          <w:color w:val="auto"/>
        </w:rPr>
      </w:pPr>
      <w:r>
        <w:rPr>
          <w:rFonts w:ascii="Arial" w:cs="Arial" w:eastAsia="Arial" w:hAnsi="Arial"/>
          <w:sz w:val="18"/>
          <w:szCs w:val="18"/>
          <w:color w:val="auto"/>
        </w:rPr>
        <w:t>the Company (as provided in the Indenture) to rescind the designation of any such Paying Agent, at the [main] offices of</w:t>
      </w:r>
      <w:r>
        <w:rPr>
          <w:sz w:val="20"/>
          <w:szCs w:val="20"/>
          <w:color w:val="auto"/>
        </w:rPr>
        <w:tab/>
      </w:r>
      <w:r>
        <w:rPr>
          <w:rFonts w:ascii="Arial" w:cs="Arial" w:eastAsia="Arial" w:hAnsi="Arial"/>
          <w:sz w:val="18"/>
          <w:szCs w:val="18"/>
          <w:color w:val="auto"/>
        </w:rPr>
        <w:t>in</w:t>
      </w:r>
      <w:r>
        <w:rPr>
          <w:sz w:val="20"/>
          <w:szCs w:val="20"/>
          <w:color w:val="auto"/>
        </w:rPr>
        <w:tab/>
      </w:r>
      <w:r>
        <w:rPr>
          <w:rFonts w:ascii="Arial" w:cs="Arial" w:eastAsia="Arial" w:hAnsi="Arial"/>
          <w:sz w:val="15"/>
          <w:szCs w:val="15"/>
          <w:color w:val="auto"/>
        </w:rPr>
        <w:t>, or at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5408930</wp:posOffset>
            </wp:positionH>
            <wp:positionV relativeFrom="paragraph">
              <wp:posOffset>-17780</wp:posOffset>
            </wp:positionV>
            <wp:extent cx="12573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ind w:right="160"/>
        <w:spacing w:after="0" w:line="300" w:lineRule="auto"/>
        <w:rPr>
          <w:sz w:val="20"/>
          <w:szCs w:val="20"/>
          <w:color w:val="auto"/>
        </w:rPr>
      </w:pPr>
      <w:r>
        <w:rPr>
          <w:rFonts w:ascii="Arial" w:cs="Arial" w:eastAsia="Arial" w:hAnsi="Arial"/>
          <w:sz w:val="15"/>
          <w:szCs w:val="15"/>
          <w:color w:val="auto"/>
        </w:rPr>
        <w:t>other offices or agencies as the Company may designate, by [United States Dollar] [state other currency] check drawn on, or transfer to a [United States Dollar] account maintained by the payee with, a bank in The City of New York (so long as the applicable Paying Agency has received proper transfer instructions in writing at least days prior to the payment date)] [</w:t>
      </w:r>
      <w:r>
        <w:rPr>
          <w:rFonts w:ascii="Arial" w:cs="Arial" w:eastAsia="Arial" w:hAnsi="Arial"/>
          <w:sz w:val="15"/>
          <w:szCs w:val="15"/>
          <w:i w:val="1"/>
          <w:iCs w:val="1"/>
          <w:color w:val="auto"/>
        </w:rPr>
        <w:t>if applicable, insert—</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payment of interest may be made at the option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-22860</wp:posOffset>
            </wp:positionV>
            <wp:extent cx="16700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67005" cy="8890"/>
                    </a:xfrm>
                    <a:prstGeom prst="rect">
                      <a:avLst/>
                    </a:prstGeom>
                    <a:noFill/>
                  </pic:spPr>
                </pic:pic>
              </a:graphicData>
            </a:graphic>
          </wp:anchor>
        </w:drawing>
      </w:r>
    </w:p>
    <w:p>
      <w:pPr>
        <w:ind w:right="180"/>
        <w:spacing w:after="0" w:line="254" w:lineRule="auto"/>
        <w:rPr>
          <w:sz w:val="20"/>
          <w:szCs w:val="20"/>
          <w:color w:val="auto"/>
        </w:rPr>
      </w:pPr>
      <w:r>
        <w:rPr>
          <w:rFonts w:ascii="Arial" w:cs="Arial" w:eastAsia="Arial" w:hAnsi="Arial"/>
          <w:sz w:val="18"/>
          <w:szCs w:val="18"/>
          <w:color w:val="auto"/>
        </w:rPr>
        <w:t>Company by [United States Dollar] [state other currency] check mailed to the addresses of the Persons entitled thereto as such addresses shall appear in the Security Register] [or by transfer to a [United States Dollar] [state other currency] account maintained by the payee with a bank in The City of New York [state other Place of Payment] (so long as the applicable Paying Agent has received proper transfer instructions in writing by the Record Date prior to the applicable Interest Payment Date)].]</w:t>
      </w:r>
    </w:p>
    <w:p>
      <w:pPr>
        <w:spacing w:after="0" w:line="14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Form of Reverse of Security</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This Security is one of a duly authorized issue of subordinated securities of the Company (herein called the “Securities”), issued and to be issued in one or more</w:t>
      </w:r>
    </w:p>
    <w:p>
      <w:pPr>
        <w:spacing w:after="0" w:line="38" w:lineRule="exact"/>
        <w:rPr>
          <w:sz w:val="20"/>
          <w:szCs w:val="20"/>
          <w:color w:val="auto"/>
        </w:rPr>
      </w:pPr>
    </w:p>
    <w:p>
      <w:pPr>
        <w:spacing w:after="0"/>
        <w:tabs>
          <w:tab w:leader="none" w:pos="3580" w:val="left"/>
          <w:tab w:leader="none" w:pos="3920" w:val="left"/>
          <w:tab w:leader="none" w:pos="10320" w:val="left"/>
        </w:tabs>
        <w:rPr>
          <w:sz w:val="20"/>
          <w:szCs w:val="20"/>
          <w:color w:val="auto"/>
        </w:rPr>
      </w:pPr>
      <w:r>
        <w:rPr>
          <w:rFonts w:ascii="Arial" w:cs="Arial" w:eastAsia="Arial" w:hAnsi="Arial"/>
          <w:sz w:val="18"/>
          <w:szCs w:val="18"/>
          <w:color w:val="auto"/>
        </w:rPr>
        <w:t>series under an Indenture, dated as of [</w:t>
      </w:r>
      <w:r>
        <w:rPr>
          <w:sz w:val="20"/>
          <w:szCs w:val="20"/>
          <w:color w:val="auto"/>
        </w:rPr>
        <w:tab/>
      </w:r>
      <w:r>
        <w:rPr>
          <w:rFonts w:ascii="Arial" w:cs="Arial" w:eastAsia="Arial" w:hAnsi="Arial"/>
          <w:sz w:val="18"/>
          <w:szCs w:val="18"/>
          <w:color w:val="auto"/>
        </w:rPr>
        <w:t>] [</w:t>
        <w:tab/>
        <w:t xml:space="preserve">], 2006 (herein called the “Indenture”), between the Company, the Guarantors and </w:t>
      </w:r>
      <w:r>
        <w:rPr>
          <w:rFonts w:ascii="Arial" w:cs="Arial" w:eastAsia="Arial" w:hAnsi="Arial"/>
          <w:sz w:val="18"/>
          <w:szCs w:val="18"/>
          <w:b w:val="1"/>
          <w:bCs w:val="1"/>
          <w:color w:val="auto"/>
        </w:rPr>
        <w:t>[</w:t>
      </w:r>
      <w:r>
        <w:rPr>
          <w:sz w:val="20"/>
          <w:szCs w:val="20"/>
          <w:color w:val="auto"/>
        </w:rPr>
        <w:tab/>
      </w:r>
      <w:r>
        <w:rPr>
          <w:rFonts w:ascii="Arial" w:cs="Arial" w:eastAsia="Arial" w:hAnsi="Arial"/>
          <w:sz w:val="14"/>
          <w:szCs w:val="14"/>
          <w:b w:val="1"/>
          <w:bCs w:val="1"/>
          <w:color w:val="auto"/>
        </w:rPr>
        <w:t>]</w:t>
      </w:r>
      <w:r>
        <w:rPr>
          <w:rFonts w:ascii="Arial" w:cs="Arial" w:eastAsia="Arial" w:hAnsi="Arial"/>
          <w:sz w:val="14"/>
          <w:szCs w:val="14"/>
          <w:color w:val="auto"/>
        </w:rPr>
        <w:t>,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1732280</wp:posOffset>
            </wp:positionH>
            <wp:positionV relativeFrom="paragraph">
              <wp:posOffset>-17780</wp:posOffset>
            </wp:positionV>
            <wp:extent cx="7708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0890" cy="8890"/>
                    </a:xfrm>
                    <a:prstGeom prst="rect">
                      <a:avLst/>
                    </a:prstGeom>
                    <a:noFill/>
                  </pic:spPr>
                </pic:pic>
              </a:graphicData>
            </a:graphic>
          </wp:anchor>
        </w:drawing>
        <w:drawing>
          <wp:anchor simplePos="0" relativeHeight="251657728" behindDoc="1" locked="0" layoutInCell="0" allowOverlap="1">
            <wp:simplePos x="0" y="0"/>
            <wp:positionH relativeFrom="column">
              <wp:posOffset>6226175</wp:posOffset>
            </wp:positionH>
            <wp:positionV relativeFrom="paragraph">
              <wp:posOffset>-17780</wp:posOffset>
            </wp:positionV>
            <wp:extent cx="33464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300" w:lineRule="auto"/>
        <w:rPr>
          <w:sz w:val="20"/>
          <w:szCs w:val="20"/>
          <w:color w:val="auto"/>
        </w:rPr>
      </w:pPr>
      <w:r>
        <w:rPr>
          <w:rFonts w:ascii="Arial" w:cs="Arial" w:eastAsia="Arial" w:hAnsi="Arial"/>
          <w:sz w:val="15"/>
          <w:szCs w:val="15"/>
          <w:color w:val="auto"/>
        </w:rPr>
        <w:t>(herein called the “Trustee”, which term includes any successor trustee under the Indenture), to which Indenture and all indentures supplemental thereto reference is hereby made for a statement, of the respective rights, limitations of rights, duties and immunities thereunder of the Company, the Guarantors, the Trustee and the Holders of the Securities and of the terms upon which the Securities are, and are to be, authenticated and delivered. As provided in the Indenture, the Securities may be issued in one or more series, which different series may be issued in various aggregate principal amounts, may mature at different times, may bear interest, if any, at different rates, may be subject to different redemption provisions, if any, may be subject to different sinking, purchase or analogous funds, if any, may be subject to different covenants and Events of Default and may otherwise vary as in the Indenture provided or permitted. This Security is one of the</w:t>
      </w:r>
    </w:p>
    <w:tbl>
      <w:tblPr>
        <w:tblLayout w:type="fixed"/>
        <w:tblInd w:w="0" w:type="dxa"/>
        <w:tblCellMar>
          <w:top w:w="0" w:type="dxa"/>
          <w:left w:w="0" w:type="dxa"/>
          <w:bottom w:w="0" w:type="dxa"/>
          <w:right w:w="0" w:type="dxa"/>
        </w:tblCellMar>
      </w:tblPr>
      <w:tr>
        <w:trPr>
          <w:trHeight w:val="180"/>
        </w:trPr>
        <w:tc>
          <w:tcPr>
            <w:tcW w:w="5700" w:type="dxa"/>
            <w:vAlign w:val="bottom"/>
          </w:tcPr>
          <w:p>
            <w:pPr>
              <w:spacing w:after="0" w:line="181" w:lineRule="exact"/>
              <w:rPr>
                <w:sz w:val="20"/>
                <w:szCs w:val="20"/>
                <w:color w:val="auto"/>
              </w:rPr>
            </w:pPr>
            <w:r>
              <w:rPr>
                <w:rFonts w:ascii="Arial" w:cs="Arial" w:eastAsia="Arial" w:hAnsi="Arial"/>
                <w:sz w:val="18"/>
                <w:szCs w:val="18"/>
                <w:color w:val="auto"/>
                <w:w w:val="88"/>
              </w:rPr>
              <w:t>series designated on the face hereof [, limited in aggregate principal amount to $</w:t>
            </w:r>
          </w:p>
        </w:tc>
        <w:tc>
          <w:tcPr>
            <w:tcW w:w="880" w:type="dxa"/>
            <w:vAlign w:val="bottom"/>
            <w:tcBorders>
              <w:bottom w:val="single" w:sz="8" w:color="auto"/>
            </w:tcBorders>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w w:val="79"/>
              </w:rPr>
              <w:t>].</w:t>
            </w:r>
          </w:p>
        </w:tc>
      </w:tr>
      <w:tr>
        <w:trPr>
          <w:trHeight w:val="383"/>
        </w:trPr>
        <w:tc>
          <w:tcPr>
            <w:tcW w:w="6580" w:type="dxa"/>
            <w:vAlign w:val="bottom"/>
            <w:gridSpan w:val="2"/>
          </w:tcPr>
          <w:p>
            <w:pPr>
              <w:jc w:val="right"/>
              <w:ind w:right="78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r>
    </w:tbl>
    <w:p>
      <w:pPr>
        <w:sectPr>
          <w:pgSz w:w="11900" w:h="16838" w:orient="portrait"/>
          <w:cols w:equalWidth="0" w:num="1">
            <w:col w:w="11380"/>
          </w:cols>
          <w:pgMar w:left="240" w:top="280" w:right="279" w:bottom="1440" w:gutter="0" w:footer="0" w:header="0"/>
        </w:sectPr>
      </w:pPr>
    </w:p>
    <w:bookmarkStart w:id="154" w:name="page155"/>
    <w:bookmarkEnd w:id="154"/>
    <w:p>
      <w:pPr>
        <w:ind w:right="48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security is the general, unsecured, subordinated obligation of the Company [</w:t>
      </w:r>
      <w:r>
        <w:rPr>
          <w:rFonts w:ascii="Arial" w:cs="Arial" w:eastAsia="Arial" w:hAnsi="Arial"/>
          <w:sz w:val="15"/>
          <w:szCs w:val="15"/>
          <w:i w:val="1"/>
          <w:iCs w:val="1"/>
          <w:color w:val="auto"/>
        </w:rPr>
        <w:t>if applicable, insert—</w:t>
      </w:r>
      <w:r>
        <w:rPr>
          <w:rFonts w:ascii="Arial" w:cs="Arial" w:eastAsia="Arial" w:hAnsi="Arial"/>
          <w:sz w:val="15"/>
          <w:szCs w:val="15"/>
          <w:color w:val="auto"/>
        </w:rPr>
        <w:t>and is guaranteed pursuant to a guarantee (the “Guarantee”) by [</w:t>
      </w:r>
      <w:r>
        <w:rPr>
          <w:rFonts w:ascii="Arial" w:cs="Arial" w:eastAsia="Arial" w:hAnsi="Arial"/>
          <w:sz w:val="15"/>
          <w:szCs w:val="15"/>
          <w:i w:val="1"/>
          <w:iCs w:val="1"/>
          <w:color w:val="auto"/>
        </w:rPr>
        <w:t>insert name of each Guarantor</w:t>
      </w:r>
      <w:r>
        <w:rPr>
          <w:rFonts w:ascii="Arial" w:cs="Arial" w:eastAsia="Arial" w:hAnsi="Arial"/>
          <w:sz w:val="15"/>
          <w:szCs w:val="15"/>
          <w:color w:val="auto"/>
        </w:rPr>
        <w:t>] (the “Guarantors”). The Guarantee is the general, unsecured, subordinated obligation of each Guarantor.]</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20" w:type="dxa"/>
            <w:vAlign w:val="bottom"/>
            <w:gridSpan w:val="19"/>
          </w:tcPr>
          <w:p>
            <w:pP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i w:val="1"/>
                <w:iCs w:val="1"/>
                <w:color w:val="auto"/>
                <w:w w:val="88"/>
              </w:rPr>
              <w:t>If applicable, insert—</w:t>
            </w:r>
            <w:r>
              <w:rPr>
                <w:rFonts w:ascii="Arial" w:cs="Arial" w:eastAsia="Arial" w:hAnsi="Arial"/>
                <w:sz w:val="18"/>
                <w:szCs w:val="18"/>
                <w:color w:val="auto"/>
                <w:w w:val="88"/>
              </w:rPr>
              <w:t>The Securities of this series are subject to redemption upon not less than</w:t>
            </w:r>
          </w:p>
        </w:tc>
        <w:tc>
          <w:tcPr>
            <w:tcW w:w="180" w:type="dxa"/>
            <w:vAlign w:val="bottom"/>
            <w:tcBorders>
              <w:bottom w:val="single" w:sz="8" w:color="auto"/>
            </w:tcBorders>
          </w:tcPr>
          <w:p>
            <w:pPr>
              <w:spacing w:after="0"/>
              <w:rPr>
                <w:sz w:val="17"/>
                <w:szCs w:val="17"/>
                <w:color w:val="auto"/>
              </w:rPr>
            </w:pPr>
          </w:p>
        </w:tc>
        <w:tc>
          <w:tcPr>
            <w:tcW w:w="4500" w:type="dxa"/>
            <w:vAlign w:val="bottom"/>
            <w:gridSpan w:val="6"/>
          </w:tcPr>
          <w:p>
            <w:pPr>
              <w:ind w:left="40"/>
              <w:spacing w:after="0"/>
              <w:rPr>
                <w:sz w:val="20"/>
                <w:szCs w:val="20"/>
                <w:color w:val="auto"/>
              </w:rPr>
            </w:pPr>
            <w:r>
              <w:rPr>
                <w:rFonts w:ascii="Arial" w:cs="Arial" w:eastAsia="Arial" w:hAnsi="Arial"/>
                <w:sz w:val="18"/>
                <w:szCs w:val="18"/>
                <w:color w:val="auto"/>
              </w:rPr>
              <w:t>days’ notice by mail, [</w:t>
            </w:r>
            <w:r>
              <w:rPr>
                <w:rFonts w:ascii="Arial" w:cs="Arial" w:eastAsia="Arial" w:hAnsi="Arial"/>
                <w:sz w:val="18"/>
                <w:szCs w:val="18"/>
                <w:i w:val="1"/>
                <w:iCs w:val="1"/>
                <w:color w:val="auto"/>
              </w:rPr>
              <w:t>if applicable, insert</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(1) on</w:t>
            </w:r>
          </w:p>
        </w:tc>
      </w:tr>
      <w:tr>
        <w:trPr>
          <w:trHeight w:val="196"/>
        </w:trPr>
        <w:tc>
          <w:tcPr>
            <w:tcW w:w="4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780" w:type="dxa"/>
            <w:vAlign w:val="bottom"/>
            <w:gridSpan w:val="6"/>
          </w:tcPr>
          <w:p>
            <w:pPr>
              <w:ind w:left="40"/>
              <w:spacing w:after="0" w:line="196" w:lineRule="exact"/>
              <w:rPr>
                <w:sz w:val="20"/>
                <w:szCs w:val="20"/>
                <w:color w:val="auto"/>
              </w:rPr>
            </w:pPr>
            <w:r>
              <w:rPr>
                <w:rFonts w:ascii="Arial" w:cs="Arial" w:eastAsia="Arial" w:hAnsi="Arial"/>
                <w:sz w:val="18"/>
                <w:szCs w:val="18"/>
                <w:color w:val="auto"/>
                <w:w w:val="90"/>
              </w:rPr>
              <w:t>in any year commencing with the year</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2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89"/>
              </w:rPr>
              <w:t>and ending with the year</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860" w:type="dxa"/>
            <w:vAlign w:val="bottom"/>
            <w:gridSpan w:val="8"/>
          </w:tcPr>
          <w:p>
            <w:pPr>
              <w:ind w:left="40"/>
              <w:spacing w:after="0" w:line="196" w:lineRule="exact"/>
              <w:rPr>
                <w:sz w:val="20"/>
                <w:szCs w:val="20"/>
                <w:color w:val="auto"/>
              </w:rPr>
            </w:pPr>
            <w:r>
              <w:rPr>
                <w:rFonts w:ascii="Arial" w:cs="Arial" w:eastAsia="Arial" w:hAnsi="Arial"/>
                <w:sz w:val="18"/>
                <w:szCs w:val="18"/>
                <w:color w:val="auto"/>
                <w:w w:val="88"/>
              </w:rPr>
              <w:t>through operation of the sinking fund for this series at a Redemption</w:t>
            </w:r>
          </w:p>
        </w:tc>
      </w:tr>
      <w:tr>
        <w:trPr>
          <w:trHeight w:val="196"/>
        </w:trPr>
        <w:tc>
          <w:tcPr>
            <w:tcW w:w="5500" w:type="dxa"/>
            <w:vAlign w:val="bottom"/>
            <w:gridSpan w:val="11"/>
          </w:tcPr>
          <w:p>
            <w:pPr>
              <w:spacing w:after="0" w:line="196" w:lineRule="exact"/>
              <w:rPr>
                <w:sz w:val="20"/>
                <w:szCs w:val="20"/>
                <w:color w:val="auto"/>
              </w:rPr>
            </w:pPr>
            <w:r>
              <w:rPr>
                <w:rFonts w:ascii="Arial" w:cs="Arial" w:eastAsia="Arial" w:hAnsi="Arial"/>
                <w:sz w:val="18"/>
                <w:szCs w:val="18"/>
                <w:color w:val="auto"/>
                <w:w w:val="89"/>
              </w:rPr>
              <w:t>Price equal to 100% of the principal amount, and (2) ] at any time [on or after</w:t>
            </w:r>
          </w:p>
        </w:tc>
        <w:tc>
          <w:tcPr>
            <w:tcW w:w="5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12"/>
          </w:tcPr>
          <w:p>
            <w:pPr>
              <w:spacing w:after="0" w:line="196" w:lineRule="exact"/>
              <w:rPr>
                <w:sz w:val="20"/>
                <w:szCs w:val="20"/>
                <w:color w:val="auto"/>
              </w:rPr>
            </w:pPr>
            <w:r>
              <w:rPr>
                <w:rFonts w:ascii="Arial" w:cs="Arial" w:eastAsia="Arial" w:hAnsi="Arial"/>
                <w:sz w:val="18"/>
                <w:szCs w:val="18"/>
                <w:color w:val="auto"/>
              </w:rPr>
              <w:t>, 20  ], as a whole or in part, at the election of the Company, at the</w:t>
            </w:r>
          </w:p>
        </w:tc>
      </w:tr>
      <w:tr>
        <w:trPr>
          <w:trHeight w:val="20"/>
        </w:trPr>
        <w:tc>
          <w:tcPr>
            <w:tcW w:w="2120" w:type="dxa"/>
            <w:vAlign w:val="bottom"/>
            <w:gridSpan w:val="4"/>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r>
      <w:tr>
        <w:trPr>
          <w:trHeight w:val="196"/>
        </w:trPr>
        <w:tc>
          <w:tcPr>
            <w:tcW w:w="7600" w:type="dxa"/>
            <w:vAlign w:val="bottom"/>
            <w:gridSpan w:val="21"/>
          </w:tcPr>
          <w:p>
            <w:pPr>
              <w:spacing w:after="0" w:line="196" w:lineRule="exact"/>
              <w:rPr>
                <w:sz w:val="20"/>
                <w:szCs w:val="20"/>
                <w:color w:val="auto"/>
              </w:rPr>
            </w:pPr>
            <w:r>
              <w:rPr>
                <w:rFonts w:ascii="Arial" w:cs="Arial" w:eastAsia="Arial" w:hAnsi="Arial"/>
                <w:sz w:val="18"/>
                <w:szCs w:val="18"/>
                <w:color w:val="auto"/>
                <w:w w:val="88"/>
              </w:rPr>
              <w:t>following Redemption Prices (expressed as percentages of the principal amount): If redeemed [on or before</w:t>
            </w:r>
          </w:p>
        </w:tc>
        <w:tc>
          <w:tcPr>
            <w:tcW w:w="3800" w:type="dxa"/>
            <w:vAlign w:val="bottom"/>
            <w:gridSpan w:val="5"/>
          </w:tcPr>
          <w:p>
            <w:pPr>
              <w:ind w:left="540"/>
              <w:spacing w:after="0" w:line="196" w:lineRule="exact"/>
              <w:rPr>
                <w:sz w:val="20"/>
                <w:szCs w:val="20"/>
                <w:color w:val="auto"/>
              </w:rPr>
            </w:pPr>
            <w:r>
              <w:rPr>
                <w:rFonts w:ascii="Arial" w:cs="Arial" w:eastAsia="Arial" w:hAnsi="Arial"/>
                <w:sz w:val="18"/>
                <w:szCs w:val="18"/>
                <w:color w:val="auto"/>
                <w:w w:val="99"/>
              </w:rPr>
              <w:t>%, and if redeemed] during the 12-month</w:t>
            </w:r>
          </w:p>
        </w:tc>
      </w:tr>
      <w:tr>
        <w:trPr>
          <w:trHeight w:val="196"/>
        </w:trPr>
        <w:tc>
          <w:tcPr>
            <w:tcW w:w="1240" w:type="dxa"/>
            <w:vAlign w:val="bottom"/>
            <w:gridSpan w:val="3"/>
          </w:tcPr>
          <w:p>
            <w:pPr>
              <w:spacing w:after="0" w:line="196" w:lineRule="exact"/>
              <w:rPr>
                <w:sz w:val="20"/>
                <w:szCs w:val="20"/>
                <w:color w:val="auto"/>
              </w:rPr>
            </w:pPr>
            <w:r>
              <w:rPr>
                <w:rFonts w:ascii="Arial" w:cs="Arial" w:eastAsia="Arial" w:hAnsi="Arial"/>
                <w:sz w:val="18"/>
                <w:szCs w:val="18"/>
                <w:color w:val="auto"/>
                <w:w w:val="91"/>
              </w:rPr>
              <w:t>period beginning</w:t>
            </w:r>
          </w:p>
        </w:tc>
        <w:tc>
          <w:tcPr>
            <w:tcW w:w="880" w:type="dxa"/>
            <w:vAlign w:val="bottom"/>
            <w:tcBorders>
              <w:bottom w:val="single" w:sz="8" w:color="auto"/>
            </w:tcBorders>
          </w:tcPr>
          <w:p>
            <w:pPr>
              <w:spacing w:after="0"/>
              <w:rPr>
                <w:sz w:val="17"/>
                <w:szCs w:val="17"/>
                <w:color w:val="auto"/>
              </w:rPr>
            </w:pPr>
          </w:p>
        </w:tc>
        <w:tc>
          <w:tcPr>
            <w:tcW w:w="198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of the years indicated,</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379"/>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17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Redemption Price</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Year</w:t>
            </w: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Redemption Price</w:t>
            </w:r>
          </w:p>
        </w:tc>
        <w:tc>
          <w:tcPr>
            <w:tcW w:w="440" w:type="dxa"/>
            <w:vAlign w:val="bottom"/>
          </w:tcPr>
          <w:p>
            <w:pPr>
              <w:spacing w:after="0"/>
              <w:rPr>
                <w:sz w:val="24"/>
                <w:szCs w:val="24"/>
                <w:color w:val="auto"/>
              </w:rPr>
            </w:pPr>
          </w:p>
        </w:tc>
      </w:tr>
      <w:tr>
        <w:trPr>
          <w:trHeight w:val="338"/>
        </w:trPr>
        <w:tc>
          <w:tcPr>
            <w:tcW w:w="3220" w:type="dxa"/>
            <w:vAlign w:val="bottom"/>
            <w:gridSpan w:val="6"/>
          </w:tcPr>
          <w:p>
            <w:pPr>
              <w:spacing w:after="0"/>
              <w:rPr>
                <w:sz w:val="20"/>
                <w:szCs w:val="20"/>
                <w:color w:val="auto"/>
              </w:rPr>
            </w:pPr>
            <w:r>
              <w:rPr>
                <w:rFonts w:ascii="Arial" w:cs="Arial" w:eastAsia="Arial" w:hAnsi="Arial"/>
                <w:sz w:val="18"/>
                <w:szCs w:val="18"/>
                <w:color w:val="auto"/>
                <w:w w:val="87"/>
              </w:rPr>
              <w:t>and thereafter at a Redemption Price equal to</w:t>
            </w:r>
          </w:p>
        </w:tc>
        <w:tc>
          <w:tcPr>
            <w:tcW w:w="880" w:type="dxa"/>
            <w:vAlign w:val="bottom"/>
            <w:tcBorders>
              <w:bottom w:val="single" w:sz="8" w:color="auto"/>
            </w:tcBorders>
            <w:gridSpan w:val="3"/>
          </w:tcPr>
          <w:p>
            <w:pPr>
              <w:spacing w:after="0"/>
              <w:rPr>
                <w:sz w:val="24"/>
                <w:szCs w:val="24"/>
                <w:color w:val="auto"/>
              </w:rPr>
            </w:pPr>
          </w:p>
        </w:tc>
        <w:tc>
          <w:tcPr>
            <w:tcW w:w="7300" w:type="dxa"/>
            <w:vAlign w:val="bottom"/>
            <w:gridSpan w:val="17"/>
          </w:tcPr>
          <w:p>
            <w:pPr>
              <w:spacing w:after="0"/>
              <w:rPr>
                <w:sz w:val="20"/>
                <w:szCs w:val="20"/>
                <w:color w:val="auto"/>
              </w:rPr>
            </w:pPr>
            <w:r>
              <w:rPr>
                <w:rFonts w:ascii="Arial" w:cs="Arial" w:eastAsia="Arial" w:hAnsi="Arial"/>
                <w:sz w:val="18"/>
                <w:szCs w:val="18"/>
                <w:color w:val="auto"/>
                <w:w w:val="89"/>
              </w:rPr>
              <w:t>% of the principal amount, together in the case of any such redemption [</w:t>
            </w:r>
            <w:r>
              <w:rPr>
                <w:rFonts w:ascii="Arial" w:cs="Arial" w:eastAsia="Arial" w:hAnsi="Arial"/>
                <w:sz w:val="18"/>
                <w:szCs w:val="18"/>
                <w:i w:val="1"/>
                <w:iCs w:val="1"/>
                <w:color w:val="auto"/>
                <w:w w:val="89"/>
              </w:rPr>
              <w:t>if applicable, insert—</w:t>
            </w:r>
            <w:r>
              <w:rPr>
                <w:rFonts w:ascii="Arial" w:cs="Arial" w:eastAsia="Arial" w:hAnsi="Arial"/>
                <w:sz w:val="18"/>
                <w:szCs w:val="18"/>
                <w:color w:val="auto"/>
                <w:w w:val="89"/>
              </w:rPr>
              <w:t>(whether</w:t>
            </w:r>
          </w:p>
        </w:tc>
      </w:tr>
    </w:tbl>
    <w:p>
      <w:pPr>
        <w:spacing w:after="0" w:line="1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gridSpan w:val="7"/>
          </w:tcPr>
          <w:p>
            <w:pP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i w:val="1"/>
                <w:iCs w:val="1"/>
                <w:color w:val="auto"/>
                <w:w w:val="90"/>
              </w:rPr>
              <w:t>If applicable, insert—</w:t>
            </w:r>
            <w:r>
              <w:rPr>
                <w:rFonts w:ascii="Arial" w:cs="Arial" w:eastAsia="Arial" w:hAnsi="Arial"/>
                <w:sz w:val="18"/>
                <w:szCs w:val="18"/>
                <w:color w:val="auto"/>
                <w:w w:val="90"/>
              </w:rPr>
              <w:t>The Securities of this series are subject to redemption upon not less than   nor more than</w:t>
            </w:r>
          </w:p>
        </w:tc>
        <w:tc>
          <w:tcPr>
            <w:tcW w:w="18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w w:val="91"/>
              </w:rPr>
              <w:t>days’ notice by mail, (1) on</w:t>
            </w:r>
          </w:p>
        </w:tc>
        <w:tc>
          <w:tcPr>
            <w:tcW w:w="520" w:type="dxa"/>
            <w:vAlign w:val="bottom"/>
          </w:tcPr>
          <w:p>
            <w:pPr>
              <w:spacing w:after="0"/>
              <w:rPr>
                <w:sz w:val="17"/>
                <w:szCs w:val="17"/>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w w:val="87"/>
              </w:rPr>
              <w:t>in any</w:t>
            </w:r>
          </w:p>
        </w:tc>
      </w:tr>
      <w:tr>
        <w:trPr>
          <w:trHeight w:val="20"/>
        </w:trPr>
        <w:tc>
          <w:tcPr>
            <w:tcW w:w="2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2260" w:type="dxa"/>
            <w:vAlign w:val="bottom"/>
          </w:tcPr>
          <w:p>
            <w:pPr>
              <w:spacing w:after="0" w:line="196" w:lineRule="exact"/>
              <w:rPr>
                <w:sz w:val="20"/>
                <w:szCs w:val="20"/>
                <w:color w:val="auto"/>
              </w:rPr>
            </w:pPr>
            <w:r>
              <w:rPr>
                <w:rFonts w:ascii="Arial" w:cs="Arial" w:eastAsia="Arial" w:hAnsi="Arial"/>
                <w:sz w:val="18"/>
                <w:szCs w:val="18"/>
                <w:color w:val="auto"/>
                <w:w w:val="89"/>
              </w:rPr>
              <w:t>year commencing with the year</w:t>
            </w:r>
          </w:p>
        </w:tc>
        <w:tc>
          <w:tcPr>
            <w:tcW w:w="540" w:type="dxa"/>
            <w:vAlign w:val="bottom"/>
            <w:tcBorders>
              <w:bottom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w w:val="89"/>
              </w:rPr>
              <w:t>and ending with the year</w:t>
            </w:r>
          </w:p>
        </w:tc>
        <w:tc>
          <w:tcPr>
            <w:tcW w:w="520" w:type="dxa"/>
            <w:vAlign w:val="bottom"/>
            <w:tcBorders>
              <w:bottom w:val="single" w:sz="8" w:color="auto"/>
            </w:tcBorders>
          </w:tcPr>
          <w:p>
            <w:pPr>
              <w:spacing w:after="0"/>
              <w:rPr>
                <w:sz w:val="17"/>
                <w:szCs w:val="17"/>
                <w:color w:val="auto"/>
              </w:rPr>
            </w:pPr>
          </w:p>
        </w:tc>
        <w:tc>
          <w:tcPr>
            <w:tcW w:w="5040" w:type="dxa"/>
            <w:vAlign w:val="bottom"/>
            <w:gridSpan w:val="5"/>
          </w:tcPr>
          <w:p>
            <w:pPr>
              <w:jc w:val="right"/>
              <w:spacing w:after="0" w:line="196" w:lineRule="exact"/>
              <w:rPr>
                <w:sz w:val="20"/>
                <w:szCs w:val="20"/>
                <w:color w:val="auto"/>
              </w:rPr>
            </w:pPr>
            <w:r>
              <w:rPr>
                <w:rFonts w:ascii="Arial" w:cs="Arial" w:eastAsia="Arial" w:hAnsi="Arial"/>
                <w:sz w:val="18"/>
                <w:szCs w:val="18"/>
                <w:color w:val="auto"/>
                <w:w w:val="89"/>
              </w:rPr>
              <w:t>through operation of the sinking fund for this series at the Redemption</w:t>
            </w:r>
          </w:p>
        </w:tc>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Prices for</w:t>
            </w:r>
          </w:p>
        </w:tc>
      </w:tr>
    </w:tbl>
    <w:p>
      <w:pPr>
        <w:spacing w:after="0" w:line="19" w:lineRule="exact"/>
        <w:rPr>
          <w:sz w:val="20"/>
          <w:szCs w:val="20"/>
          <w:color w:val="auto"/>
        </w:rPr>
      </w:pPr>
    </w:p>
    <w:p>
      <w:pPr>
        <w:ind w:left="880" w:right="20" w:hanging="877"/>
        <w:spacing w:after="0" w:line="286" w:lineRule="auto"/>
        <w:rPr>
          <w:sz w:val="20"/>
          <w:szCs w:val="20"/>
          <w:color w:val="auto"/>
        </w:rPr>
      </w:pPr>
      <w:r>
        <w:rPr>
          <w:rFonts w:ascii="Arial" w:cs="Arial" w:eastAsia="Arial" w:hAnsi="Arial"/>
          <w:sz w:val="16"/>
          <w:szCs w:val="16"/>
          <w:color w:val="auto"/>
        </w:rPr>
        <w:t>redemption through operation of the sinking fund (expressed as percentages of the principal amount) set forth in the table below, and (2) at anytime [on or after ], as a whole or in part, at the election of the Company, at the Redemption Prices for redemption otherwise than through operation of the sinking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5753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8"/>
        </w:trPr>
        <w:tc>
          <w:tcPr>
            <w:tcW w:w="10080" w:type="dxa"/>
            <w:vAlign w:val="bottom"/>
            <w:gridSpan w:val="7"/>
          </w:tcPr>
          <w:p>
            <w:pPr>
              <w:spacing w:after="0" w:line="177" w:lineRule="exact"/>
              <w:rPr>
                <w:sz w:val="20"/>
                <w:szCs w:val="20"/>
                <w:color w:val="auto"/>
              </w:rPr>
            </w:pPr>
            <w:r>
              <w:rPr>
                <w:rFonts w:ascii="Arial" w:cs="Arial" w:eastAsia="Arial" w:hAnsi="Arial"/>
                <w:sz w:val="18"/>
                <w:szCs w:val="18"/>
                <w:color w:val="auto"/>
                <w:w w:val="97"/>
              </w:rPr>
              <w:t>(expressed as percentages of the principal amount) set forth in the table below: If redeemed during the 12-month period beginning</w:t>
            </w:r>
          </w:p>
        </w:tc>
        <w:tc>
          <w:tcPr>
            <w:tcW w:w="860" w:type="dxa"/>
            <w:vAlign w:val="bottom"/>
            <w:gridSpan w:val="2"/>
          </w:tcPr>
          <w:p>
            <w:pPr>
              <w:ind w:left="40"/>
              <w:spacing w:after="0" w:line="177" w:lineRule="exact"/>
              <w:rPr>
                <w:sz w:val="20"/>
                <w:szCs w:val="20"/>
                <w:color w:val="auto"/>
              </w:rPr>
            </w:pPr>
            <w:r>
              <w:rPr>
                <w:rFonts w:ascii="Arial" w:cs="Arial" w:eastAsia="Arial" w:hAnsi="Arial"/>
                <w:sz w:val="18"/>
                <w:szCs w:val="18"/>
                <w:color w:val="auto"/>
                <w:w w:val="85"/>
              </w:rPr>
              <w:t>of the years</w:t>
            </w:r>
          </w:p>
        </w:tc>
      </w:tr>
      <w:tr>
        <w:trPr>
          <w:trHeight w:val="235"/>
        </w:trPr>
        <w:tc>
          <w:tcPr>
            <w:tcW w:w="4280" w:type="dxa"/>
            <w:vAlign w:val="bottom"/>
            <w:gridSpan w:val="2"/>
          </w:tcPr>
          <w:p>
            <w:pPr>
              <w:spacing w:after="0"/>
              <w:rPr>
                <w:sz w:val="20"/>
                <w:szCs w:val="20"/>
                <w:color w:val="auto"/>
              </w:rPr>
            </w:pPr>
            <w:r>
              <w:rPr>
                <w:rFonts w:ascii="Arial" w:cs="Arial" w:eastAsia="Arial" w:hAnsi="Arial"/>
                <w:sz w:val="18"/>
                <w:szCs w:val="18"/>
                <w:color w:val="auto"/>
              </w:rPr>
              <w:t>indicated,</w:t>
            </w: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40"/>
        </w:trPr>
        <w:tc>
          <w:tcPr>
            <w:tcW w:w="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2"/>
          </w:tcPr>
          <w:p>
            <w:pPr>
              <w:jc w:val="center"/>
              <w:ind w:left="352"/>
              <w:spacing w:after="0"/>
              <w:rPr>
                <w:sz w:val="20"/>
                <w:szCs w:val="20"/>
                <w:color w:val="auto"/>
              </w:rPr>
            </w:pPr>
            <w:r>
              <w:rPr>
                <w:rFonts w:ascii="Arial" w:cs="Arial" w:eastAsia="Arial" w:hAnsi="Arial"/>
                <w:sz w:val="14"/>
                <w:szCs w:val="14"/>
                <w:b w:val="1"/>
                <w:bCs w:val="1"/>
                <w:color w:val="auto"/>
                <w:w w:val="88"/>
              </w:rPr>
              <w:t>Redemption Price for</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49"/>
        </w:trPr>
        <w:tc>
          <w:tcPr>
            <w:tcW w:w="9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Redemption Price For</w:t>
            </w:r>
          </w:p>
        </w:tc>
        <w:tc>
          <w:tcPr>
            <w:tcW w:w="200" w:type="dxa"/>
            <w:vAlign w:val="bottom"/>
          </w:tcPr>
          <w:p>
            <w:pPr>
              <w:spacing w:after="0"/>
              <w:rPr>
                <w:sz w:val="12"/>
                <w:szCs w:val="12"/>
                <w:color w:val="auto"/>
              </w:rPr>
            </w:pPr>
          </w:p>
        </w:tc>
        <w:tc>
          <w:tcPr>
            <w:tcW w:w="2440" w:type="dxa"/>
            <w:vAlign w:val="bottom"/>
            <w:gridSpan w:val="2"/>
          </w:tcPr>
          <w:p>
            <w:pPr>
              <w:jc w:val="center"/>
              <w:ind w:left="352"/>
              <w:spacing w:after="0" w:line="149" w:lineRule="exact"/>
              <w:rPr>
                <w:sz w:val="20"/>
                <w:szCs w:val="20"/>
                <w:color w:val="auto"/>
              </w:rPr>
            </w:pPr>
            <w:r>
              <w:rPr>
                <w:rFonts w:ascii="Arial" w:cs="Arial" w:eastAsia="Arial" w:hAnsi="Arial"/>
                <w:sz w:val="14"/>
                <w:szCs w:val="14"/>
                <w:b w:val="1"/>
                <w:bCs w:val="1"/>
                <w:color w:val="auto"/>
                <w:w w:val="87"/>
              </w:rPr>
              <w:t>Redemption Otherwise Than</w:t>
            </w: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 Through</w:t>
            </w:r>
          </w:p>
        </w:tc>
        <w:tc>
          <w:tcPr>
            <w:tcW w:w="200" w:type="dxa"/>
            <w:vAlign w:val="bottom"/>
          </w:tcPr>
          <w:p>
            <w:pPr>
              <w:spacing w:after="0"/>
              <w:rPr>
                <w:sz w:val="12"/>
                <w:szCs w:val="12"/>
                <w:color w:val="auto"/>
              </w:rPr>
            </w:pPr>
          </w:p>
        </w:tc>
        <w:tc>
          <w:tcPr>
            <w:tcW w:w="2440" w:type="dxa"/>
            <w:vAlign w:val="bottom"/>
            <w:gridSpan w:val="2"/>
          </w:tcPr>
          <w:p>
            <w:pPr>
              <w:jc w:val="center"/>
              <w:ind w:left="352"/>
              <w:spacing w:after="0" w:line="149" w:lineRule="exact"/>
              <w:rPr>
                <w:sz w:val="20"/>
                <w:szCs w:val="20"/>
                <w:color w:val="auto"/>
              </w:rPr>
            </w:pPr>
            <w:r>
              <w:rPr>
                <w:rFonts w:ascii="Arial" w:cs="Arial" w:eastAsia="Arial" w:hAnsi="Arial"/>
                <w:sz w:val="14"/>
                <w:szCs w:val="14"/>
                <w:b w:val="1"/>
                <w:bCs w:val="1"/>
                <w:color w:val="auto"/>
                <w:w w:val="88"/>
              </w:rPr>
              <w:t>Through Operation of the</w:t>
            </w: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68"/>
        </w:trPr>
        <w:tc>
          <w:tcPr>
            <w:tcW w:w="920" w:type="dxa"/>
            <w:vAlign w:val="bottom"/>
          </w:tcPr>
          <w:p>
            <w:pPr>
              <w:spacing w:after="0"/>
              <w:rPr>
                <w:sz w:val="14"/>
                <w:szCs w:val="14"/>
                <w:color w:val="auto"/>
              </w:rPr>
            </w:pPr>
          </w:p>
        </w:tc>
        <w:tc>
          <w:tcPr>
            <w:tcW w:w="336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4"/>
                <w:szCs w:val="14"/>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Operation of the Sinking Fund</w:t>
            </w:r>
          </w:p>
        </w:tc>
        <w:tc>
          <w:tcPr>
            <w:tcW w:w="200" w:type="dxa"/>
            <w:vAlign w:val="bottom"/>
          </w:tcPr>
          <w:p>
            <w:pPr>
              <w:spacing w:after="0"/>
              <w:rPr>
                <w:sz w:val="14"/>
                <w:szCs w:val="14"/>
                <w:color w:val="auto"/>
              </w:rPr>
            </w:pPr>
          </w:p>
        </w:tc>
        <w:tc>
          <w:tcPr>
            <w:tcW w:w="2440" w:type="dxa"/>
            <w:vAlign w:val="bottom"/>
            <w:tcBorders>
              <w:bottom w:val="single" w:sz="8" w:color="auto"/>
            </w:tcBorders>
            <w:gridSpan w:val="2"/>
          </w:tcPr>
          <w:p>
            <w:pPr>
              <w:jc w:val="center"/>
              <w:ind w:left="352"/>
              <w:spacing w:after="0"/>
              <w:rPr>
                <w:sz w:val="20"/>
                <w:szCs w:val="20"/>
                <w:color w:val="auto"/>
              </w:rPr>
            </w:pPr>
            <w:r>
              <w:rPr>
                <w:rFonts w:ascii="Arial" w:cs="Arial" w:eastAsia="Arial" w:hAnsi="Arial"/>
                <w:sz w:val="14"/>
                <w:szCs w:val="14"/>
                <w:b w:val="1"/>
                <w:bCs w:val="1"/>
                <w:color w:val="auto"/>
                <w:w w:val="87"/>
              </w:rPr>
              <w:t>Sinking Fund</w:t>
            </w:r>
          </w:p>
        </w:tc>
        <w:tc>
          <w:tcPr>
            <w:tcW w:w="4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r>
      <w:tr>
        <w:trPr>
          <w:trHeight w:val="363"/>
        </w:trPr>
        <w:tc>
          <w:tcPr>
            <w:tcW w:w="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160" w:type="dxa"/>
            <w:vAlign w:val="bottom"/>
            <w:gridSpan w:val="2"/>
          </w:tcPr>
          <w:p>
            <w:pPr>
              <w:jc w:val="right"/>
              <w:ind w:right="1572"/>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400"/>
          </w:cols>
          <w:pgMar w:left="240" w:top="280" w:right="259" w:bottom="1440" w:gutter="0" w:footer="0" w:header="0"/>
        </w:sectPr>
      </w:pPr>
    </w:p>
    <w:bookmarkStart w:id="155" w:name="page156"/>
    <w:bookmarkEnd w:id="155"/>
    <w:p>
      <w:pPr>
        <w:spacing w:after="0"/>
        <w:tabs>
          <w:tab w:leader="none" w:pos="3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thereafter at a Redemption Price equal to</w:t>
      </w:r>
      <w:r>
        <w:rPr>
          <w:sz w:val="20"/>
          <w:szCs w:val="20"/>
          <w:color w:val="auto"/>
        </w:rPr>
        <w:tab/>
      </w:r>
      <w:r>
        <w:rPr>
          <w:rFonts w:ascii="Arial" w:cs="Arial" w:eastAsia="Arial" w:hAnsi="Arial"/>
          <w:sz w:val="15"/>
          <w:szCs w:val="15"/>
          <w:color w:val="auto"/>
        </w:rPr>
        <w:t>% of the principal amount, together in the case of any such redemption (whether through operation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2047875</wp:posOffset>
            </wp:positionH>
            <wp:positionV relativeFrom="paragraph">
              <wp:posOffset>-13970</wp:posOffset>
            </wp:positionV>
            <wp:extent cx="22288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55" w:lineRule="auto"/>
        <w:rPr>
          <w:sz w:val="20"/>
          <w:szCs w:val="20"/>
          <w:color w:val="auto"/>
        </w:rPr>
      </w:pPr>
      <w:r>
        <w:rPr>
          <w:rFonts w:ascii="Arial" w:cs="Arial" w:eastAsia="Arial" w:hAnsi="Arial"/>
          <w:sz w:val="18"/>
          <w:szCs w:val="18"/>
          <w:color w:val="auto"/>
        </w:rPr>
        <w:t>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44" w:lineRule="exact"/>
        <w:rPr>
          <w:sz w:val="20"/>
          <w:szCs w:val="20"/>
          <w:color w:val="auto"/>
        </w:rPr>
      </w:pPr>
    </w:p>
    <w:p>
      <w:pPr>
        <w:spacing w:after="0"/>
        <w:tabs>
          <w:tab w:leader="none" w:pos="692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applicable, insert—</w:t>
      </w:r>
      <w:r>
        <w:rPr>
          <w:rFonts w:ascii="Arial" w:cs="Arial" w:eastAsia="Arial" w:hAnsi="Arial"/>
          <w:sz w:val="18"/>
          <w:szCs w:val="18"/>
          <w:color w:val="auto"/>
        </w:rPr>
        <w:t>Notwithstanding the foregoing, the Company may not, prior to</w:t>
      </w:r>
      <w:r>
        <w:rPr>
          <w:sz w:val="20"/>
          <w:szCs w:val="20"/>
          <w:color w:val="auto"/>
        </w:rPr>
        <w:tab/>
      </w:r>
      <w:r>
        <w:rPr>
          <w:rFonts w:ascii="Arial" w:cs="Arial" w:eastAsia="Arial" w:hAnsi="Arial"/>
          <w:sz w:val="15"/>
          <w:szCs w:val="15"/>
          <w:color w:val="auto"/>
        </w:rPr>
        <w:t>, redeem any Securities of this series as contemplated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-13970</wp:posOffset>
            </wp:positionV>
            <wp:extent cx="55753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[clause (2) of] the preceding paragraph as a part of, or in anticipation of, any refunding operation by the application, directly or indirectly, of moneys borrowed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00" w:type="dxa"/>
            <w:vAlign w:val="bottom"/>
            <w:gridSpan w:val="9"/>
          </w:tcPr>
          <w:p>
            <w:pPr>
              <w:spacing w:after="0"/>
              <w:rPr>
                <w:sz w:val="20"/>
                <w:szCs w:val="20"/>
                <w:color w:val="auto"/>
              </w:rPr>
            </w:pPr>
            <w:r>
              <w:rPr>
                <w:rFonts w:ascii="Arial" w:cs="Arial" w:eastAsia="Arial" w:hAnsi="Arial"/>
                <w:sz w:val="18"/>
                <w:szCs w:val="18"/>
                <w:color w:val="auto"/>
                <w:w w:val="88"/>
              </w:rPr>
              <w:t>having an interest cost to the Company (calculated in accordance with generally accepted financial practice) of less than</w:t>
            </w:r>
          </w:p>
        </w:tc>
        <w:tc>
          <w:tcPr>
            <w:tcW w:w="340" w:type="dxa"/>
            <w:vAlign w:val="bottom"/>
            <w:tcBorders>
              <w:bottom w:val="single" w:sz="8" w:color="auto"/>
            </w:tcBorders>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 per annum.]</w:t>
            </w:r>
          </w:p>
        </w:tc>
        <w:tc>
          <w:tcPr>
            <w:tcW w:w="1180" w:type="dxa"/>
            <w:vAlign w:val="bottom"/>
          </w:tcPr>
          <w:p>
            <w:pPr>
              <w:spacing w:after="0"/>
              <w:rPr>
                <w:sz w:val="17"/>
                <w:szCs w:val="17"/>
                <w:color w:val="auto"/>
              </w:rPr>
            </w:pPr>
          </w:p>
        </w:tc>
      </w:tr>
      <w:tr>
        <w:trPr>
          <w:trHeight w:val="358"/>
        </w:trPr>
        <w:tc>
          <w:tcPr>
            <w:tcW w:w="6060" w:type="dxa"/>
            <w:vAlign w:val="bottom"/>
            <w:gridSpan w:val="5"/>
          </w:tcPr>
          <w:p>
            <w:pP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i w:val="1"/>
                <w:iCs w:val="1"/>
                <w:color w:val="auto"/>
                <w:w w:val="90"/>
              </w:rPr>
              <w:t>If applicable, insert—</w:t>
            </w:r>
            <w:r>
              <w:rPr>
                <w:rFonts w:ascii="Arial" w:cs="Arial" w:eastAsia="Arial" w:hAnsi="Arial"/>
                <w:sz w:val="18"/>
                <w:szCs w:val="18"/>
                <w:color w:val="auto"/>
                <w:w w:val="90"/>
              </w:rPr>
              <w:t>The sinking fund for this series provides for the redemption on</w:t>
            </w: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600" w:type="dxa"/>
            <w:vAlign w:val="bottom"/>
            <w:gridSpan w:val="4"/>
          </w:tcPr>
          <w:p>
            <w:pPr>
              <w:spacing w:after="0"/>
              <w:rPr>
                <w:sz w:val="20"/>
                <w:szCs w:val="20"/>
                <w:color w:val="auto"/>
              </w:rPr>
            </w:pPr>
            <w:r>
              <w:rPr>
                <w:rFonts w:ascii="Arial" w:cs="Arial" w:eastAsia="Arial" w:hAnsi="Arial"/>
                <w:sz w:val="18"/>
                <w:szCs w:val="18"/>
                <w:color w:val="auto"/>
                <w:w w:val="89"/>
              </w:rPr>
              <w:t>in each year beginning with the year</w:t>
            </w:r>
          </w:p>
        </w:tc>
        <w:tc>
          <w:tcPr>
            <w:tcW w:w="520" w:type="dxa"/>
            <w:vAlign w:val="bottom"/>
            <w:tcBorders>
              <w:bottom w:val="single" w:sz="8" w:color="auto"/>
            </w:tcBorders>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w w:val="91"/>
              </w:rPr>
              <w:t>and ending with</w:t>
            </w:r>
          </w:p>
        </w:tc>
      </w:tr>
      <w:tr>
        <w:trPr>
          <w:trHeight w:val="196"/>
        </w:trPr>
        <w:tc>
          <w:tcPr>
            <w:tcW w:w="620" w:type="dxa"/>
            <w:vAlign w:val="bottom"/>
          </w:tcPr>
          <w:p>
            <w:pPr>
              <w:spacing w:after="0" w:line="196" w:lineRule="exact"/>
              <w:rPr>
                <w:sz w:val="20"/>
                <w:szCs w:val="20"/>
                <w:color w:val="auto"/>
              </w:rPr>
            </w:pPr>
            <w:r>
              <w:rPr>
                <w:rFonts w:ascii="Arial" w:cs="Arial" w:eastAsia="Arial" w:hAnsi="Arial"/>
                <w:sz w:val="18"/>
                <w:szCs w:val="18"/>
                <w:color w:val="auto"/>
                <w:w w:val="92"/>
              </w:rPr>
              <w:t>the year</w:t>
            </w:r>
          </w:p>
        </w:tc>
        <w:tc>
          <w:tcPr>
            <w:tcW w:w="520" w:type="dxa"/>
            <w:vAlign w:val="bottom"/>
          </w:tcPr>
          <w:p>
            <w:pPr>
              <w:spacing w:after="0"/>
              <w:rPr>
                <w:sz w:val="17"/>
                <w:szCs w:val="17"/>
                <w:color w:val="auto"/>
              </w:rPr>
            </w:pPr>
          </w:p>
        </w:tc>
        <w:tc>
          <w:tcPr>
            <w:tcW w:w="1400" w:type="dxa"/>
            <w:vAlign w:val="bottom"/>
          </w:tcPr>
          <w:p>
            <w:pPr>
              <w:ind w:left="40"/>
              <w:spacing w:after="0" w:line="196" w:lineRule="exact"/>
              <w:rPr>
                <w:sz w:val="20"/>
                <w:szCs w:val="20"/>
                <w:color w:val="auto"/>
              </w:rPr>
            </w:pPr>
            <w:r>
              <w:rPr>
                <w:rFonts w:ascii="Arial" w:cs="Arial" w:eastAsia="Arial" w:hAnsi="Arial"/>
                <w:sz w:val="18"/>
                <w:szCs w:val="18"/>
                <w:color w:val="auto"/>
                <w:w w:val="91"/>
              </w:rPr>
              <w:t>of [not less than] $</w:t>
            </w:r>
          </w:p>
        </w:tc>
        <w:tc>
          <w:tcPr>
            <w:tcW w:w="880" w:type="dxa"/>
            <w:vAlign w:val="bottom"/>
          </w:tcPr>
          <w:p>
            <w:pPr>
              <w:spacing w:after="0"/>
              <w:rPr>
                <w:sz w:val="17"/>
                <w:szCs w:val="17"/>
                <w:color w:val="auto"/>
              </w:rPr>
            </w:pPr>
          </w:p>
        </w:tc>
        <w:tc>
          <w:tcPr>
            <w:tcW w:w="356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0"/>
              </w:rPr>
              <w:t>[ (“mandatory sinking fund”) and not more than $</w:t>
            </w:r>
          </w:p>
        </w:tc>
        <w:tc>
          <w:tcPr>
            <w:tcW w:w="860" w:type="dxa"/>
            <w:vAlign w:val="bottom"/>
          </w:tcPr>
          <w:p>
            <w:pPr>
              <w:spacing w:after="0"/>
              <w:rPr>
                <w:sz w:val="17"/>
                <w:szCs w:val="17"/>
                <w:color w:val="auto"/>
              </w:rPr>
            </w:pPr>
          </w:p>
        </w:tc>
        <w:tc>
          <w:tcPr>
            <w:tcW w:w="3440" w:type="dxa"/>
            <w:vAlign w:val="bottom"/>
            <w:gridSpan w:val="5"/>
          </w:tcPr>
          <w:p>
            <w:pPr>
              <w:jc w:val="right"/>
              <w:spacing w:after="0" w:line="196" w:lineRule="exact"/>
              <w:rPr>
                <w:sz w:val="20"/>
                <w:szCs w:val="20"/>
                <w:color w:val="auto"/>
              </w:rPr>
            </w:pPr>
            <w:r>
              <w:rPr>
                <w:rFonts w:ascii="Arial" w:cs="Arial" w:eastAsia="Arial" w:hAnsi="Arial"/>
                <w:sz w:val="18"/>
                <w:szCs w:val="18"/>
                <w:color w:val="auto"/>
                <w:w w:val="88"/>
              </w:rPr>
              <w:t>] aggregate principal amount of Securities of this</w:t>
            </w:r>
          </w:p>
        </w:tc>
      </w:tr>
      <w:tr>
        <w:trPr>
          <w:trHeight w:val="20"/>
        </w:trPr>
        <w:tc>
          <w:tcPr>
            <w:tcW w:w="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9" w:lineRule="exact"/>
        <w:rPr>
          <w:sz w:val="20"/>
          <w:szCs w:val="20"/>
          <w:color w:val="auto"/>
        </w:rPr>
      </w:pPr>
    </w:p>
    <w:p>
      <w:pPr>
        <w:ind w:right="520"/>
        <w:spacing w:after="0" w:line="370" w:lineRule="auto"/>
        <w:rPr>
          <w:sz w:val="20"/>
          <w:szCs w:val="20"/>
          <w:color w:val="auto"/>
        </w:rPr>
      </w:pPr>
      <w:r>
        <w:rPr>
          <w:rFonts w:ascii="Arial" w:cs="Arial" w:eastAsia="Arial" w:hAnsi="Arial"/>
          <w:sz w:val="15"/>
          <w:szCs w:val="15"/>
          <w:color w:val="auto"/>
        </w:rPr>
        <w:t>series. [Securities of this series acquired or redeemed by the Company otherwise than through [mandatory] sinking fund payments may be credited against subsequent [mandatory] sinking fund payments otherwise required to be made [</w:t>
      </w:r>
      <w:r>
        <w:rPr>
          <w:rFonts w:ascii="Arial" w:cs="Arial" w:eastAsia="Arial" w:hAnsi="Arial"/>
          <w:sz w:val="15"/>
          <w:szCs w:val="15"/>
          <w:i w:val="1"/>
          <w:iCs w:val="1"/>
          <w:color w:val="auto"/>
        </w:rPr>
        <w:t>If applicable, insert—</w:t>
      </w:r>
      <w:r>
        <w:rPr>
          <w:rFonts w:ascii="Arial" w:cs="Arial" w:eastAsia="Arial" w:hAnsi="Arial"/>
          <w:sz w:val="15"/>
          <w:szCs w:val="15"/>
          <w:color w:val="auto"/>
        </w:rPr>
        <w:t xml:space="preserve"> in the inverse order in which they become due].]</w:t>
      </w:r>
    </w:p>
    <w:p>
      <w:pPr>
        <w:spacing w:after="0" w:line="62"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 the Securities are subject to redemption in part of any kind, insert—</w:t>
      </w:r>
      <w:r>
        <w:rPr>
          <w:rFonts w:ascii="Arial" w:cs="Arial" w:eastAsia="Arial" w:hAnsi="Arial"/>
          <w:sz w:val="16"/>
          <w:szCs w:val="16"/>
          <w:color w:val="auto"/>
        </w:rPr>
        <w:t>In the event of redemption of this Security in part only, a new Security or Securities of this series and of like tenor for the unredeemed portion hereof will be issued in the name of the Holder hereof upon the cancellation hereof.]</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applicable, insert—</w:t>
      </w:r>
      <w:r>
        <w:rPr>
          <w:rFonts w:ascii="Arial" w:cs="Arial" w:eastAsia="Arial" w:hAnsi="Arial"/>
          <w:sz w:val="18"/>
          <w:szCs w:val="18"/>
          <w:color w:val="auto"/>
        </w:rPr>
        <w:t>The Securities of this series are not redeemable prior to Stated Maturity.]</w:t>
      </w:r>
    </w:p>
    <w:p>
      <w:pPr>
        <w:spacing w:after="0" w:line="171"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 the Security is not an Original Issue Discount Security</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8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 the Security is an Original Issue Discount Security</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If an Event of Default with respect to Securities of this series shall occur and be continuing, an amount of principal of the Securities of this series may be declared due and payable in the manner and with the effect provided in the Indenture. Such amount shall be equal to </w:t>
      </w:r>
      <w:r>
        <w:rPr>
          <w:rFonts w:ascii="Arial" w:cs="Arial" w:eastAsia="Arial" w:hAnsi="Arial"/>
          <w:sz w:val="16"/>
          <w:szCs w:val="16"/>
          <w:i w:val="1"/>
          <w:iCs w:val="1"/>
          <w:color w:val="auto"/>
        </w:rPr>
        <w:t>—insert formula for determining the amount</w:t>
      </w:r>
      <w:r>
        <w:rPr>
          <w:rFonts w:ascii="Arial" w:cs="Arial" w:eastAsia="Arial" w:hAnsi="Arial"/>
          <w:sz w:val="16"/>
          <w:szCs w:val="16"/>
          <w:color w:val="auto"/>
        </w:rPr>
        <w:t>. Upon payment (i) of the amount of principal so declared due and payable and (ii) of interest on any overdue principal and overdue interest (in each case to the extent that the payment of such interest shall be legally enforceable), all of the Company’s obligations in respect of the payment of the principal of and interest, if any, on the Securities of this series shall terminate.]</w:t>
      </w:r>
    </w:p>
    <w:p>
      <w:pPr>
        <w:spacing w:after="0" w:line="11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Indenture permits, with certain exceptions as therein provided, the amendment thereof and the modification of the rights and obligations of the Company [</w:t>
      </w:r>
      <w:r>
        <w:rPr>
          <w:rFonts w:ascii="Arial" w:cs="Arial" w:eastAsia="Arial" w:hAnsi="Arial"/>
          <w:sz w:val="16"/>
          <w:szCs w:val="16"/>
          <w:i w:val="1"/>
          <w:iCs w:val="1"/>
          <w:color w:val="auto"/>
        </w:rPr>
        <w:t>If</w:t>
      </w:r>
      <w:r>
        <w:rPr>
          <w:rFonts w:ascii="Arial" w:cs="Arial" w:eastAsia="Arial" w:hAnsi="Arial"/>
          <w:sz w:val="16"/>
          <w:szCs w:val="16"/>
          <w:color w:val="auto"/>
        </w:rPr>
        <w:t xml:space="preserve"> </w:t>
      </w:r>
      <w:r>
        <w:rPr>
          <w:rFonts w:ascii="Arial" w:cs="Arial" w:eastAsia="Arial" w:hAnsi="Arial"/>
          <w:sz w:val="16"/>
          <w:szCs w:val="16"/>
          <w:i w:val="1"/>
          <w:iCs w:val="1"/>
          <w:color w:val="auto"/>
        </w:rPr>
        <w:t>applicable, insert—</w:t>
      </w:r>
      <w:r>
        <w:rPr>
          <w:rFonts w:ascii="Arial" w:cs="Arial" w:eastAsia="Arial" w:hAnsi="Arial"/>
          <w:sz w:val="16"/>
          <w:szCs w:val="16"/>
          <w:color w:val="auto"/>
        </w:rPr>
        <w:t>and the Guarantors] and the rights of the Holders of the Securities of each series to be affected under the Indenture at any time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t>
      </w:r>
      <w:r>
        <w:rPr>
          <w:rFonts w:ascii="Arial" w:cs="Arial" w:eastAsia="Arial" w:hAnsi="Arial"/>
          <w:sz w:val="16"/>
          <w:szCs w:val="16"/>
          <w:i w:val="1"/>
          <w:iCs w:val="1"/>
          <w:color w:val="auto"/>
        </w:rPr>
        <w:t>If applicable, insert—</w:t>
      </w:r>
      <w:r>
        <w:rPr>
          <w:rFonts w:ascii="Arial" w:cs="Arial" w:eastAsia="Arial" w:hAnsi="Arial"/>
          <w:sz w:val="16"/>
          <w:szCs w:val="16"/>
          <w:color w:val="auto"/>
        </w:rPr>
        <w:t>and the Guarantors]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t>
      </w:r>
      <w:r>
        <w:rPr>
          <w:rFonts w:ascii="Arial" w:cs="Arial" w:eastAsia="Arial" w:hAnsi="Arial"/>
          <w:sz w:val="16"/>
          <w:szCs w:val="16"/>
          <w:i w:val="1"/>
          <w:iCs w:val="1"/>
          <w:color w:val="auto"/>
        </w:rPr>
        <w:t>If applicable,</w:t>
      </w:r>
      <w:r>
        <w:rPr>
          <w:rFonts w:ascii="Arial" w:cs="Arial" w:eastAsia="Arial" w:hAnsi="Arial"/>
          <w:sz w:val="16"/>
          <w:szCs w:val="16"/>
          <w:color w:val="auto"/>
        </w:rPr>
        <w:t xml:space="preserve"> </w:t>
      </w:r>
      <w:r>
        <w:rPr>
          <w:rFonts w:ascii="Arial" w:cs="Arial" w:eastAsia="Arial" w:hAnsi="Arial"/>
          <w:sz w:val="16"/>
          <w:szCs w:val="16"/>
          <w:i w:val="1"/>
          <w:iCs w:val="1"/>
          <w:color w:val="auto"/>
        </w:rPr>
        <w:t>insert—</w:t>
      </w:r>
      <w:r>
        <w:rPr>
          <w:rFonts w:ascii="Arial" w:cs="Arial" w:eastAsia="Arial" w:hAnsi="Arial"/>
          <w:sz w:val="16"/>
          <w:szCs w:val="16"/>
          <w:color w:val="auto"/>
        </w:rPr>
        <w:t>and the Guarantors] with certain provisions of the Indenture and certain past defaults under the Indenture and their consequences. Any such consent or</w:t>
      </w:r>
      <w:r>
        <w:rPr>
          <w:rFonts w:ascii="Arial" w:cs="Arial" w:eastAsia="Arial" w:hAnsi="Arial"/>
          <w:sz w:val="16"/>
          <w:szCs w:val="16"/>
          <w:i w:val="1"/>
          <w:iCs w:val="1"/>
          <w:color w:val="auto"/>
        </w:rPr>
        <w:t xml:space="preserve"> </w:t>
      </w:r>
      <w:r>
        <w:rPr>
          <w:rFonts w:ascii="Arial" w:cs="Arial" w:eastAsia="Arial" w:hAnsi="Arial"/>
          <w:sz w:val="16"/>
          <w:szCs w:val="16"/>
          <w:color w:val="auto"/>
        </w:rPr>
        <w:t>waiver by the Holder of this Security shall be conclusive and binding upon such Holder and upon all future Holders of this Security and of any Security issued upon the registration of transfer hereof or in exchange herefor or in lieu hereof, regardless of whether notation of such consent or waiver is made upon this Security.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56" w:name="page157"/>
    <w:bookmarkEnd w:id="156"/>
    <w:p>
      <w:pPr>
        <w:jc w:val="both"/>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reference herein to the Indenture and no provision of this Security or of the Indenture shall alter or impair the obligation of the Company, which is absolute and unconditional, to pay the principal of (and premium, if any) and interest on this Security at the times, place(s) and rate, and in the coin or currency, herein prescribed.</w:t>
      </w:r>
    </w:p>
    <w:p>
      <w:pPr>
        <w:spacing w:after="0" w:line="14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 a Global Security, insert—</w:t>
      </w:r>
      <w:r>
        <w:rPr>
          <w:rFonts w:ascii="Arial" w:cs="Arial" w:eastAsia="Arial" w:hAnsi="Arial"/>
          <w:sz w:val="16"/>
          <w:szCs w:val="16"/>
          <w:color w:val="auto"/>
        </w:rPr>
        <w:t>This Global Security or portion hereof may not be exchanged for Definitive Securities of this series except in the limited circumstances provided in the Indenture. The holders of beneficial interests in this Global Security will not be entitled to receive physical delivery of Definitive Securities except as described in the Indenture and will not be considered the Holders thereof for any purpose under the Indenture.]</w:t>
      </w:r>
    </w:p>
    <w:p>
      <w:pPr>
        <w:spacing w:after="0" w:line="10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 a Definitive Security, insert—</w:t>
      </w:r>
      <w:r>
        <w:rPr>
          <w:rFonts w:ascii="Arial" w:cs="Arial" w:eastAsia="Arial" w:hAnsi="Arial"/>
          <w:sz w:val="16"/>
          <w:szCs w:val="16"/>
          <w:color w:val="auto"/>
        </w:rPr>
        <w:t>As provided in the Indenture and subject to certain limitations therein set forth, the transfer of this Security is registerable in the Security Register, upon surrender of this Security for registration of transfer at the office or agency of the Company in [</w:t>
      </w:r>
      <w:r>
        <w:rPr>
          <w:rFonts w:ascii="Arial" w:cs="Arial" w:eastAsia="Arial" w:hAnsi="Arial"/>
          <w:sz w:val="16"/>
          <w:szCs w:val="16"/>
          <w:i w:val="1"/>
          <w:iCs w:val="1"/>
          <w:color w:val="auto"/>
        </w:rPr>
        <w:t>if applicable, insert—</w:t>
      </w:r>
      <w:r>
        <w:rPr>
          <w:rFonts w:ascii="Arial" w:cs="Arial" w:eastAsia="Arial" w:hAnsi="Arial"/>
          <w:sz w:val="16"/>
          <w:szCs w:val="16"/>
          <w:color w:val="auto"/>
        </w:rPr>
        <w:t>any place where the principal of and any premium and interest on this Security are payable] [</w:t>
      </w:r>
      <w:r>
        <w:rPr>
          <w:rFonts w:ascii="Arial" w:cs="Arial" w:eastAsia="Arial" w:hAnsi="Arial"/>
          <w:sz w:val="16"/>
          <w:szCs w:val="16"/>
          <w:i w:val="1"/>
          <w:iCs w:val="1"/>
          <w:color w:val="auto"/>
        </w:rPr>
        <w:t>if applicable, insert—</w:t>
      </w:r>
      <w:r>
        <w:rPr>
          <w:rFonts w:ascii="Arial" w:cs="Arial" w:eastAsia="Arial" w:hAnsi="Arial"/>
          <w:sz w:val="16"/>
          <w:szCs w:val="16"/>
          <w:color w:val="auto"/>
        </w:rPr>
        <w:t>The City of New York [, or, subject to any laws or regulations applicable thereto and to the right of the Company (limited as provided in the Indenture) to rescind the designation of any such transfer agent, at the [main]</w:t>
      </w:r>
    </w:p>
    <w:p>
      <w:pPr>
        <w:spacing w:after="0" w:line="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offices of in or at such other offices or agencies as the Company may designate]],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-443230</wp:posOffset>
            </wp:positionV>
            <wp:extent cx="12573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124" w:lineRule="exact"/>
        <w:rPr>
          <w:sz w:val="20"/>
          <w:szCs w:val="20"/>
          <w:color w:val="auto"/>
        </w:rPr>
      </w:pPr>
    </w:p>
    <w:p>
      <w:pPr>
        <w:spacing w:after="0"/>
        <w:tabs>
          <w:tab w:leader="none" w:pos="8520" w:val="left"/>
        </w:tabs>
        <w:rPr>
          <w:sz w:val="20"/>
          <w:szCs w:val="20"/>
          <w:color w:val="auto"/>
        </w:rPr>
      </w:pPr>
      <w:r>
        <w:rPr>
          <w:rFonts w:ascii="Arial" w:cs="Arial" w:eastAsia="Arial" w:hAnsi="Arial"/>
          <w:sz w:val="18"/>
          <w:szCs w:val="18"/>
          <w:color w:val="auto"/>
        </w:rPr>
        <w:t>The Securities of this series are issuable only in registered form without coupons in denominations of U.S. $</w:t>
      </w:r>
      <w:r>
        <w:rPr>
          <w:sz w:val="20"/>
          <w:szCs w:val="20"/>
          <w:color w:val="auto"/>
        </w:rPr>
        <w:tab/>
      </w:r>
      <w:r>
        <w:rPr>
          <w:rFonts w:ascii="Arial" w:cs="Arial" w:eastAsia="Arial" w:hAnsi="Arial"/>
          <w:sz w:val="16"/>
          <w:szCs w:val="16"/>
          <w:color w:val="auto"/>
        </w:rPr>
        <w:t>and any integral multiple thereof.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4838065</wp:posOffset>
            </wp:positionH>
            <wp:positionV relativeFrom="paragraph">
              <wp:posOffset>-13970</wp:posOffset>
            </wp:positionV>
            <wp:extent cx="55753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right="280"/>
        <w:spacing w:after="0" w:line="323" w:lineRule="auto"/>
        <w:rPr>
          <w:sz w:val="20"/>
          <w:szCs w:val="20"/>
          <w:color w:val="auto"/>
        </w:rPr>
      </w:pPr>
      <w:r>
        <w:rPr>
          <w:rFonts w:ascii="Arial" w:cs="Arial" w:eastAsia="Arial" w:hAnsi="Arial"/>
          <w:sz w:val="16"/>
          <w:szCs w:val="16"/>
          <w:color w:val="auto"/>
        </w:rPr>
        <w:t>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9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Prior to due presentment of this Security for registration of transfer, the Company, [</w:t>
      </w:r>
      <w:r>
        <w:rPr>
          <w:rFonts w:ascii="Arial" w:cs="Arial" w:eastAsia="Arial" w:hAnsi="Arial"/>
          <w:sz w:val="18"/>
          <w:szCs w:val="18"/>
          <w:i w:val="1"/>
          <w:iCs w:val="1"/>
          <w:color w:val="auto"/>
        </w:rPr>
        <w:t>If applicable, insert—</w:t>
      </w:r>
      <w:r>
        <w:rPr>
          <w:rFonts w:ascii="Arial" w:cs="Arial" w:eastAsia="Arial" w:hAnsi="Arial"/>
          <w:sz w:val="18"/>
          <w:szCs w:val="18"/>
          <w:color w:val="auto"/>
        </w:rPr>
        <w:t>any Guarantor,] the Trustee and any agent of the Company [</w:t>
      </w:r>
      <w:r>
        <w:rPr>
          <w:rFonts w:ascii="Arial" w:cs="Arial" w:eastAsia="Arial" w:hAnsi="Arial"/>
          <w:sz w:val="18"/>
          <w:szCs w:val="18"/>
          <w:i w:val="1"/>
          <w:iCs w:val="1"/>
          <w:color w:val="auto"/>
        </w:rPr>
        <w:t>If applicable, insert—</w:t>
      </w:r>
      <w:r>
        <w:rPr>
          <w:rFonts w:ascii="Arial" w:cs="Arial" w:eastAsia="Arial" w:hAnsi="Arial"/>
          <w:sz w:val="18"/>
          <w:szCs w:val="18"/>
          <w:color w:val="auto"/>
        </w:rPr>
        <w:t>, a Guarantor] or the Trustee may treat the Person in whose name this Security is registered as the owner hereof for all purposes, regardless of whether this Security be overdue, and none of the Company, [</w:t>
      </w:r>
      <w:r>
        <w:rPr>
          <w:rFonts w:ascii="Arial" w:cs="Arial" w:eastAsia="Arial" w:hAnsi="Arial"/>
          <w:sz w:val="18"/>
          <w:szCs w:val="18"/>
          <w:i w:val="1"/>
          <w:iCs w:val="1"/>
          <w:color w:val="auto"/>
        </w:rPr>
        <w:t>If applicable, insert—</w:t>
      </w:r>
      <w:r>
        <w:rPr>
          <w:rFonts w:ascii="Arial" w:cs="Arial" w:eastAsia="Arial" w:hAnsi="Arial"/>
          <w:sz w:val="18"/>
          <w:szCs w:val="18"/>
          <w:color w:val="auto"/>
        </w:rPr>
        <w:t>the Guarantors,] the Trustee nor any such agent shall be affected by notice to the contrary.</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This Security is subordinated in right of payment to Senior Debt [</w:t>
      </w:r>
      <w:r>
        <w:rPr>
          <w:rFonts w:ascii="Arial" w:cs="Arial" w:eastAsia="Arial" w:hAnsi="Arial"/>
          <w:sz w:val="18"/>
          <w:szCs w:val="18"/>
          <w:i w:val="1"/>
          <w:iCs w:val="1"/>
          <w:color w:val="auto"/>
        </w:rPr>
        <w:t>If applicable, insert-</w:t>
      </w:r>
      <w:r>
        <w:rPr>
          <w:rFonts w:ascii="Arial" w:cs="Arial" w:eastAsia="Arial" w:hAnsi="Arial"/>
          <w:sz w:val="18"/>
          <w:szCs w:val="18"/>
          <w:color w:val="auto"/>
        </w:rPr>
        <w:t>and the Guarantee is subordinated in right of payment to Guarantor Senior Debt], to the extent and in the manner provided in the Indenture.</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 recourse under or upon any obligation, covenant or agreement of or contained in the Indenture or of or contained in any Security, [</w:t>
      </w:r>
      <w:r>
        <w:rPr>
          <w:rFonts w:ascii="Arial" w:cs="Arial" w:eastAsia="Arial" w:hAnsi="Arial"/>
          <w:sz w:val="18"/>
          <w:szCs w:val="18"/>
          <w:i w:val="1"/>
          <w:iCs w:val="1"/>
          <w:color w:val="auto"/>
        </w:rPr>
        <w:t>If applicable, insert—</w:t>
      </w:r>
      <w:r>
        <w:rPr>
          <w:rFonts w:ascii="Arial" w:cs="Arial" w:eastAsia="Arial" w:hAnsi="Arial"/>
          <w:sz w:val="18"/>
          <w:szCs w:val="18"/>
          <w:color w:val="auto"/>
        </w:rPr>
        <w:t>, or the Guarantee endorsed thereon,] or for any claim based thereon or otherwise in respect thereof, or in any Security [</w:t>
      </w:r>
      <w:r>
        <w:rPr>
          <w:rFonts w:ascii="Arial" w:cs="Arial" w:eastAsia="Arial" w:hAnsi="Arial"/>
          <w:sz w:val="18"/>
          <w:szCs w:val="18"/>
          <w:i w:val="1"/>
          <w:iCs w:val="1"/>
          <w:color w:val="auto"/>
        </w:rPr>
        <w:t>If applicable, insert—</w:t>
      </w:r>
      <w:r>
        <w:rPr>
          <w:rFonts w:ascii="Arial" w:cs="Arial" w:eastAsia="Arial" w:hAnsi="Arial"/>
          <w:sz w:val="18"/>
          <w:szCs w:val="18"/>
          <w:color w:val="auto"/>
        </w:rPr>
        <w:t>or in the Guarantee], or because of the creation of any indebtedness represented thereby, shall be had against any</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80" w:right="299" w:bottom="1440" w:gutter="0" w:footer="0" w:header="0"/>
        </w:sectPr>
      </w:pPr>
    </w:p>
    <w:bookmarkStart w:id="157" w:name="page158"/>
    <w:bookmarkEnd w:id="157"/>
    <w:p>
      <w:pPr>
        <w:ind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incorporator, shareholder, member, officer, manager or director, as such, past, present or future, of the Company [</w:t>
      </w:r>
      <w:r>
        <w:rPr>
          <w:rFonts w:ascii="Arial" w:cs="Arial" w:eastAsia="Arial" w:hAnsi="Arial"/>
          <w:sz w:val="18"/>
          <w:szCs w:val="18"/>
          <w:i w:val="1"/>
          <w:iCs w:val="1"/>
          <w:color w:val="auto"/>
        </w:rPr>
        <w:t>If applicable, insert—</w:t>
      </w:r>
      <w:r>
        <w:rPr>
          <w:rFonts w:ascii="Arial" w:cs="Arial" w:eastAsia="Arial" w:hAnsi="Arial"/>
          <w:sz w:val="18"/>
          <w:szCs w:val="18"/>
          <w:color w:val="auto"/>
        </w:rPr>
        <w:t>or any Guarantor] or of any successor Person, either directly or through the Company [</w:t>
      </w:r>
      <w:r>
        <w:rPr>
          <w:rFonts w:ascii="Arial" w:cs="Arial" w:eastAsia="Arial" w:hAnsi="Arial"/>
          <w:sz w:val="18"/>
          <w:szCs w:val="18"/>
          <w:i w:val="1"/>
          <w:iCs w:val="1"/>
          <w:color w:val="auto"/>
        </w:rPr>
        <w:t>If applicable, insert—</w:t>
      </w:r>
      <w:r>
        <w:rPr>
          <w:rFonts w:ascii="Arial" w:cs="Arial" w:eastAsia="Arial" w:hAnsi="Arial"/>
          <w:sz w:val="18"/>
          <w:szCs w:val="18"/>
          <w:color w:val="auto"/>
        </w:rPr>
        <w:t>or any Guarantor] or any successor Person, whether by virtue of any constitution, statute or rule of law, or by the enforcement of any assessment, penalty or otherwise; it being expressly understood that all such liability is hereby expressly waived and released by the acceptance hereof and as a condition of, and as part of the consideration for, the Securities and the execution of the Indenture.</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Indenture provides that the Company [</w:t>
      </w:r>
      <w:r>
        <w:rPr>
          <w:rFonts w:ascii="Arial" w:cs="Arial" w:eastAsia="Arial" w:hAnsi="Arial"/>
          <w:sz w:val="16"/>
          <w:szCs w:val="16"/>
          <w:i w:val="1"/>
          <w:iCs w:val="1"/>
          <w:color w:val="auto"/>
        </w:rPr>
        <w:t>If applicable, insert—</w:t>
      </w:r>
      <w:r>
        <w:rPr>
          <w:rFonts w:ascii="Arial" w:cs="Arial" w:eastAsia="Arial" w:hAnsi="Arial"/>
          <w:sz w:val="16"/>
          <w:szCs w:val="16"/>
          <w:color w:val="auto"/>
        </w:rPr>
        <w:t>and the Guarantors] (a) will be discharged from any and all obligations in respect of the Securities (except for certain obligations described in the Indenture), or (b) need not comply with certain restrictive covenants of the Indenture, in each case if the Company [</w:t>
      </w:r>
      <w:r>
        <w:rPr>
          <w:rFonts w:ascii="Arial" w:cs="Arial" w:eastAsia="Arial" w:hAnsi="Arial"/>
          <w:sz w:val="16"/>
          <w:szCs w:val="16"/>
          <w:i w:val="1"/>
          <w:iCs w:val="1"/>
          <w:color w:val="auto"/>
        </w:rPr>
        <w:t>If applicable, insert—</w:t>
      </w:r>
      <w:r>
        <w:rPr>
          <w:rFonts w:ascii="Arial" w:cs="Arial" w:eastAsia="Arial" w:hAnsi="Arial"/>
          <w:sz w:val="16"/>
          <w:szCs w:val="16"/>
          <w:color w:val="auto"/>
        </w:rPr>
        <w:t>or a Guarantor] deposits, in trust, with the Trustee money or U.S. Government Obligations (or a combination thereof) which through the payment of interest thereon and principal thereof in accordance with their terms will provide money, in an amount sufficient to pay all the principal of and interest on the Securities, but such money need not be segregated from other funds except to the extent required by law.</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Except as otherwise defined herein, all terms used in this Security which are defined in the Indenture shall have the meanings assigned to them in the Indenture.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a Definitive Security, insert as a separate page</w:t>
            </w: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412"/>
        </w:trPr>
        <w:tc>
          <w:tcPr>
            <w:tcW w:w="7140" w:type="dxa"/>
            <w:vAlign w:val="bottom"/>
          </w:tcPr>
          <w:p>
            <w:pPr>
              <w:spacing w:after="0"/>
              <w:rPr>
                <w:sz w:val="20"/>
                <w:szCs w:val="20"/>
                <w:color w:val="auto"/>
              </w:rPr>
            </w:pPr>
            <w:r>
              <w:rPr>
                <w:rFonts w:ascii="Arial" w:cs="Arial" w:eastAsia="Arial" w:hAnsi="Arial"/>
                <w:sz w:val="18"/>
                <w:szCs w:val="18"/>
                <w:color w:val="auto"/>
              </w:rPr>
              <w:t>FOR VALUE RECEIVED, the undersigned hereby sell(s), assign(s) and transfer(s) unto</w:t>
            </w:r>
          </w:p>
        </w:tc>
        <w:tc>
          <w:tcPr>
            <w:tcW w:w="5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________________________________________________________________</w:t>
            </w:r>
          </w:p>
        </w:tc>
        <w:tc>
          <w:tcPr>
            <w:tcW w:w="54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222"/>
        </w:trPr>
        <w:tc>
          <w:tcPr>
            <w:tcW w:w="7140" w:type="dxa"/>
            <w:vAlign w:val="bottom"/>
          </w:tcPr>
          <w:p>
            <w:pPr>
              <w:spacing w:after="0"/>
              <w:rPr>
                <w:sz w:val="20"/>
                <w:szCs w:val="20"/>
                <w:color w:val="auto"/>
              </w:rPr>
            </w:pPr>
            <w:r>
              <w:rPr>
                <w:rFonts w:ascii="Arial" w:cs="Arial" w:eastAsia="Arial" w:hAnsi="Arial"/>
                <w:sz w:val="18"/>
                <w:szCs w:val="18"/>
                <w:color w:val="auto"/>
              </w:rPr>
              <w:t>(Please Print or Typewrite Name and Address of Assignee)</w:t>
            </w:r>
          </w:p>
        </w:tc>
        <w:tc>
          <w:tcPr>
            <w:tcW w:w="54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340"/>
        </w:trPr>
        <w:tc>
          <w:tcPr>
            <w:tcW w:w="7140" w:type="dxa"/>
            <w:vAlign w:val="bottom"/>
          </w:tcPr>
          <w:p>
            <w:pPr>
              <w:spacing w:after="0"/>
              <w:rPr>
                <w:sz w:val="20"/>
                <w:szCs w:val="20"/>
                <w:color w:val="auto"/>
              </w:rPr>
            </w:pPr>
            <w:r>
              <w:rPr>
                <w:rFonts w:ascii="Arial" w:cs="Arial" w:eastAsia="Arial" w:hAnsi="Arial"/>
                <w:sz w:val="18"/>
                <w:szCs w:val="18"/>
                <w:color w:val="auto"/>
                <w:w w:val="90"/>
              </w:rPr>
              <w:t>the within instrument of ACTIVE POWER, INC. and does hereby irrevocably constitute and appoint</w:t>
            </w:r>
          </w:p>
        </w:tc>
        <w:tc>
          <w:tcPr>
            <w:tcW w:w="540" w:type="dxa"/>
            <w:vAlign w:val="bottom"/>
            <w:tcBorders>
              <w:bottom w:val="single" w:sz="8" w:color="auto"/>
            </w:tcBorders>
          </w:tcPr>
          <w:p>
            <w:pPr>
              <w:spacing w:after="0"/>
              <w:rPr>
                <w:sz w:val="24"/>
                <w:szCs w:val="24"/>
                <w:color w:val="auto"/>
              </w:rPr>
            </w:pPr>
          </w:p>
        </w:tc>
        <w:tc>
          <w:tcPr>
            <w:tcW w:w="3680" w:type="dxa"/>
            <w:vAlign w:val="bottom"/>
          </w:tcPr>
          <w:p>
            <w:pPr>
              <w:ind w:left="40"/>
              <w:spacing w:after="0"/>
              <w:rPr>
                <w:sz w:val="20"/>
                <w:szCs w:val="20"/>
                <w:color w:val="auto"/>
              </w:rPr>
            </w:pPr>
            <w:r>
              <w:rPr>
                <w:rFonts w:ascii="Arial" w:cs="Arial" w:eastAsia="Arial" w:hAnsi="Arial"/>
                <w:sz w:val="18"/>
                <w:szCs w:val="18"/>
                <w:color w:val="auto"/>
                <w:w w:val="88"/>
              </w:rPr>
              <w:t>Attorney to transfer said instrument on the books of</w:t>
            </w:r>
          </w:p>
        </w:tc>
      </w:tr>
      <w:tr>
        <w:trPr>
          <w:trHeight w:val="235"/>
        </w:trPr>
        <w:tc>
          <w:tcPr>
            <w:tcW w:w="7140" w:type="dxa"/>
            <w:vAlign w:val="bottom"/>
          </w:tcPr>
          <w:p>
            <w:pPr>
              <w:spacing w:after="0"/>
              <w:rPr>
                <w:sz w:val="20"/>
                <w:szCs w:val="20"/>
                <w:color w:val="auto"/>
              </w:rPr>
            </w:pPr>
            <w:r>
              <w:rPr>
                <w:rFonts w:ascii="Arial" w:cs="Arial" w:eastAsia="Arial" w:hAnsi="Arial"/>
                <w:sz w:val="18"/>
                <w:szCs w:val="18"/>
                <w:color w:val="auto"/>
              </w:rPr>
              <w:t>the within-named Company, with full power of substitution in the premises.</w:t>
            </w:r>
          </w:p>
        </w:tc>
        <w:tc>
          <w:tcPr>
            <w:tcW w:w="54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378"/>
        </w:trPr>
        <w:tc>
          <w:tcPr>
            <w:tcW w:w="7140" w:type="dxa"/>
            <w:vAlign w:val="bottom"/>
          </w:tcPr>
          <w:p>
            <w:pPr>
              <w:spacing w:after="0"/>
              <w:rPr>
                <w:sz w:val="20"/>
                <w:szCs w:val="20"/>
                <w:color w:val="auto"/>
              </w:rPr>
            </w:pPr>
            <w:r>
              <w:rPr>
                <w:rFonts w:ascii="Arial" w:cs="Arial" w:eastAsia="Arial" w:hAnsi="Arial"/>
                <w:sz w:val="18"/>
                <w:szCs w:val="18"/>
                <w:color w:val="auto"/>
              </w:rPr>
              <w:t>Please Insert Social Security or Other Identifying Number of Assignee:</w:t>
            </w:r>
          </w:p>
        </w:tc>
        <w:tc>
          <w:tcPr>
            <w:tcW w:w="540" w:type="dxa"/>
            <w:vAlign w:val="bottom"/>
          </w:tcPr>
          <w:p>
            <w:pPr>
              <w:spacing w:after="0"/>
              <w:rPr>
                <w:sz w:val="24"/>
                <w:szCs w:val="24"/>
                <w:color w:val="auto"/>
              </w:rPr>
            </w:pPr>
          </w:p>
        </w:tc>
        <w:tc>
          <w:tcPr>
            <w:tcW w:w="3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487108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8710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2540</wp:posOffset>
            </wp:positionV>
            <wp:extent cx="20326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032635"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-13970</wp:posOffset>
            </wp:positionV>
            <wp:extent cx="55753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NOTICE: The signature to this assignment must correspond with the name as written upon the face of the within instrument in every particular, without alteration or enlargement or any change whatever.]</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 a Security to which Article Fourteen has been made applicable, insert the following Form of Notation on such Security relating to the Guarantee</w:t>
      </w:r>
      <w:r>
        <w:rPr>
          <w:rFonts w:ascii="Arial" w:cs="Arial" w:eastAsia="Arial" w:hAnsi="Arial"/>
          <w:sz w:val="16"/>
          <w:szCs w:val="16"/>
          <w:color w:val="auto"/>
        </w:rPr>
        <w:t>—</w:t>
      </w:r>
    </w:p>
    <w:p>
      <w:pPr>
        <w:spacing w:after="0" w:line="19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Each of the Guarantors (which term includes any successor Person in such capacity under the Indenture), has fully, unconditionally and absolutely guaranteed, to the extent set forth in the Indenture and subject to the provisions in the Indenture, the due and punctual payment of the principal of, and premium, if any, and interest on the Securities of this series and all other amounts due and payable under the Indenture and the Securities of this series by the Company.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158" w:name="page159"/>
    <w:bookmarkEnd w:id="158"/>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obligations of the Guarantors to the Holders of Securities of this series and to the Trustee pursuant to the Guarantee and the Indenture are expressly set forth in Article Fourteen of the Indenture and reference is hereby made to the Indenture for the precise terms of the Guarantee.</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Guarantors: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EACH GUARANTOR]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__________________________________________]</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Global Securities</w:t>
      </w:r>
      <w:r>
        <w:rPr>
          <w:rFonts w:ascii="Arial" w:cs="Arial" w:eastAsia="Arial" w:hAnsi="Arial"/>
          <w:sz w:val="18"/>
          <w:szCs w:val="18"/>
          <w:color w:val="auto"/>
        </w:rPr>
        <w:t>.</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Every Global Security authenticated and delivered hereunder shall bear a legend in substantially the following form:</w:t>
      </w:r>
    </w:p>
    <w:p>
      <w:pPr>
        <w:spacing w:after="0" w:line="84"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b w:val="1"/>
          <w:bCs w:val="1"/>
          <w:color w:val="auto"/>
        </w:rPr>
        <w:t>THIS SECURITY IS A GLOBAL SECURITY WITHIN THE MEANING OF THE INDENTURE HEREINAFTER REFERRED TO AND IS REGISTERED IN THE NAME OF A DEPOSITARY OR A NOMINEE THEREOF. THIS SECURITY MAY NOT BE TRANSFERRED TO, OR REGISTERED OR EXCHANGED FOR SECURITIES REGISTERED IN THE NAME OF, ANY PERSON OTHER THAN THE DEPOSITARY OR A NOMINEE THEREOF AND NO SUCH TRANSFER MAY BE REGISTERED, EXCEPT IN THE LIMITED CIRCUMSTANCES DESCRIBED IN THE INDENTURE.</w:t>
      </w:r>
    </w:p>
    <w:p>
      <w:pPr>
        <w:spacing w:after="0" w:line="58" w:lineRule="exact"/>
        <w:rPr>
          <w:sz w:val="20"/>
          <w:szCs w:val="20"/>
          <w:color w:val="auto"/>
        </w:rPr>
      </w:pPr>
    </w:p>
    <w:p>
      <w:pPr>
        <w:ind w:left="460" w:right="200"/>
        <w:spacing w:after="0" w:line="262" w:lineRule="auto"/>
        <w:rPr>
          <w:sz w:val="20"/>
          <w:szCs w:val="20"/>
          <w:color w:val="auto"/>
        </w:rPr>
      </w:pPr>
      <w:r>
        <w:rPr>
          <w:rFonts w:ascii="Arial" w:cs="Arial" w:eastAsia="Arial" w:hAnsi="Arial"/>
          <w:sz w:val="18"/>
          <w:szCs w:val="18"/>
          <w:b w:val="1"/>
          <w:bCs w:val="1"/>
          <w:color w:val="auto"/>
        </w:rPr>
        <w:t>EVERY SECURITY AUTHENTICATED AND DELIVERED UPON REGISTRATION OF TRANSFER OF, OR IN EXCHANGE FOR OR IN LIEU OF, THIS SECURITY SHALL BE A GLOBAL SECURITY SUBJECT TO THE FOREGOING, EXCEPT IN SUCH LIMITED CIRCUMSTANCES.</w:t>
      </w:r>
    </w:p>
    <w:p>
      <w:pPr>
        <w:spacing w:after="0" w:line="13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Securities of a series are issuable in whole or in part in the form of one or more Global Securities, as specified as contemplated by Section 3.1, then, notwithstanding clause (i) of Section 3.1 and the provisions of Section 3.2, any Global Security shall represent such of the Outstanding Securities of such series as shall be specified therein and may provide that it shall represent the aggregate amount of Outstanding Securities from time to time endorsed thereon and that the aggregate amount of Outstanding Securities represented thereby may from time to time be reduced or increased, as the case may be, to reflect exchanges. Any endorsement of a Global Security to reflect the amount, or any reduction or increase in the amount, of Outstanding Securities represented thereby shall be made in such manner and upon instructions given by such Person or Persons as shall be specified therein or in a Company Order. Subject to the provisions of Section 3.3, Section 3.4 and Section 3.5, the Trustee shall deliver and redeliver any Global Security in the manner and upon instructions given by the Person or Persons specified therein or in the applicable Company Order. Any instructions by the Company with respect to endorsement or delivery or redelivery of a Global Security shall be in a Company Order (which need not comply with Section 1.3 and need not be accompanied by an Opinion of Counsel).</w:t>
      </w:r>
    </w:p>
    <w:p>
      <w:pPr>
        <w:spacing w:after="0" w:line="12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provisions of the last sentence of Section 3.3 shall apply to any Security represented by a Global Security if such Security was never issued and sold by the Company and the Company delivers to the Trustee the Global Security together with a Company Order (which need not comply with Section 1.3 and need not be accompanied by an Opinion of Counsel) with regard to the reduction or increase, as the case may be, in the principal amount of Securities represented thereby, together with the written statement contemplated by the last sentence of Section 3.3.</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2.5. </w:t>
      </w:r>
      <w:r>
        <w:rPr>
          <w:rFonts w:ascii="Arial" w:cs="Arial" w:eastAsia="Arial" w:hAnsi="Arial"/>
          <w:sz w:val="18"/>
          <w:szCs w:val="18"/>
          <w:u w:val="single" w:color="auto"/>
          <w:color w:val="auto"/>
        </w:rPr>
        <w:t>Form of Trustee’s Certificate of Authentication</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Trustee’s certificate(s) of authentication shall be in substantially the following form: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_____________________________________</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Authorized Officer</w:t>
      </w:r>
    </w:p>
    <w:p>
      <w:pPr>
        <w:spacing w:after="0" w:line="3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THREE</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8"/>
          <w:szCs w:val="18"/>
          <w:b w:val="1"/>
          <w:bCs w:val="1"/>
          <w:u w:val="single" w:color="auto"/>
          <w:color w:val="auto"/>
        </w:rPr>
        <w:t>THE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Amount Unlimited; Issuable in Series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principal amount of Securities which may be authenticated and delivered under this Indenture is unlimited.</w:t>
      </w:r>
    </w:p>
    <w:p>
      <w:pPr>
        <w:spacing w:after="0" w:line="171" w:lineRule="exact"/>
        <w:rPr>
          <w:sz w:val="20"/>
          <w:szCs w:val="20"/>
          <w:color w:val="auto"/>
        </w:rPr>
      </w:pPr>
    </w:p>
    <w:p>
      <w:pPr>
        <w:ind w:right="340" w:firstLine="456"/>
        <w:spacing w:after="0" w:line="357" w:lineRule="auto"/>
        <w:rPr>
          <w:sz w:val="20"/>
          <w:szCs w:val="20"/>
          <w:color w:val="auto"/>
        </w:rPr>
      </w:pPr>
      <w:r>
        <w:rPr>
          <w:rFonts w:ascii="Arial" w:cs="Arial" w:eastAsia="Arial" w:hAnsi="Arial"/>
          <w:sz w:val="15"/>
          <w:szCs w:val="15"/>
          <w:color w:val="auto"/>
        </w:rPr>
        <w:t>The Securities may be issued in one or more series. There shall be established in or pursuant to a Board Resolution, and set forth, or determined in the manner provided, in an Officer’s Certificate, or established in one or more indentures supplemental hereto, prior to the issuance of Securities of any series,</w:t>
      </w:r>
    </w:p>
    <w:p>
      <w:pPr>
        <w:ind w:left="460" w:right="280" w:firstLine="443"/>
        <w:spacing w:after="0" w:line="268" w:lineRule="auto"/>
        <w:tabs>
          <w:tab w:leader="none" w:pos="113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the series from all other Securities and which may be part of a series of Securities previously issued);</w:t>
      </w:r>
    </w:p>
    <w:p>
      <w:pPr>
        <w:spacing w:after="0" w:line="50" w:lineRule="exact"/>
        <w:rPr>
          <w:rFonts w:ascii="Arial" w:cs="Arial" w:eastAsia="Arial" w:hAnsi="Arial"/>
          <w:sz w:val="18"/>
          <w:szCs w:val="18"/>
          <w:color w:val="auto"/>
        </w:rPr>
      </w:pPr>
    </w:p>
    <w:p>
      <w:pPr>
        <w:ind w:left="460" w:right="20" w:firstLine="443"/>
        <w:spacing w:after="0" w:line="256" w:lineRule="auto"/>
        <w:tabs>
          <w:tab w:leader="none" w:pos="114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3.4, Section 3.5, Section 3.6, Section 9.6 or Section 11.7 and except for any Securities which, pursuant to Section 3.3, are deemed never to have been authenticated and delivered hereunder);</w:t>
      </w:r>
    </w:p>
    <w:p>
      <w:pPr>
        <w:spacing w:after="0" w:line="62" w:lineRule="exact"/>
        <w:rPr>
          <w:rFonts w:ascii="Arial" w:cs="Arial" w:eastAsia="Arial" w:hAnsi="Arial"/>
          <w:sz w:val="18"/>
          <w:szCs w:val="18"/>
          <w:color w:val="auto"/>
        </w:rPr>
      </w:pPr>
    </w:p>
    <w:p>
      <w:pPr>
        <w:ind w:left="460" w:firstLine="443"/>
        <w:spacing w:after="0" w:line="268" w:lineRule="auto"/>
        <w:tabs>
          <w:tab w:leader="none" w:pos="113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 or the method of determination thereof;</w:t>
      </w:r>
    </w:p>
    <w:p>
      <w:pPr>
        <w:spacing w:after="0" w:line="90" w:lineRule="exact"/>
        <w:rPr>
          <w:rFonts w:ascii="Arial" w:cs="Arial" w:eastAsia="Arial" w:hAnsi="Arial"/>
          <w:sz w:val="18"/>
          <w:szCs w:val="18"/>
          <w:color w:val="auto"/>
        </w:rPr>
      </w:pPr>
    </w:p>
    <w:p>
      <w:pPr>
        <w:ind w:left="460" w:right="40" w:firstLine="443"/>
        <w:spacing w:after="0" w:line="306" w:lineRule="auto"/>
        <w:tabs>
          <w:tab w:leader="none" w:pos="113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rate or rates at which the Securities of the series shall bear interest, if any, or the formula, method or provision pursuant to which such rate or rates are determined, the date or dates from which such interest shall accrue or the method of determination thereof, the Interest Payment Dates on which such interest shall be payable and the Regular Record Date for the interest payable on any Interest Payment Date;</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280" w:right="319" w:bottom="1440" w:gutter="0" w:footer="0" w:header="0"/>
        </w:sectPr>
      </w:pPr>
    </w:p>
    <w:bookmarkStart w:id="160" w:name="page161"/>
    <w:bookmarkEnd w:id="160"/>
    <w:p>
      <w:pPr>
        <w:ind w:firstLine="443"/>
        <w:spacing w:after="0" w:line="306" w:lineRule="auto"/>
        <w:tabs>
          <w:tab w:leader="none" w:pos="657" w:val="left"/>
        </w:tabs>
        <w:numPr>
          <w:ilvl w:val="0"/>
          <w:numId w:val="1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place or places where, subject to the provisions of Section 10.2, the principal of and any premium and interest on Securities of the series shall be payable, Securities of the series may be surrendered for registration of transfer, Securities of the series may be surrendered for exchange and notices, and demands to or upon the Company in respect of the Securities of the series and this Indenture may be served;</w:t>
      </w:r>
    </w:p>
    <w:p>
      <w:pPr>
        <w:spacing w:after="0" w:line="25" w:lineRule="exact"/>
        <w:rPr>
          <w:rFonts w:ascii="Arial" w:cs="Arial" w:eastAsia="Arial" w:hAnsi="Arial"/>
          <w:sz w:val="16"/>
          <w:szCs w:val="16"/>
          <w:color w:val="auto"/>
        </w:rPr>
      </w:pPr>
    </w:p>
    <w:p>
      <w:pPr>
        <w:ind w:right="740" w:firstLine="443"/>
        <w:spacing w:after="0" w:line="268" w:lineRule="auto"/>
        <w:tabs>
          <w:tab w:leader="none" w:pos="68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Securities of the series may be redeemed, in whole or in part, at the option of the Company;</w:t>
      </w:r>
    </w:p>
    <w:p>
      <w:pPr>
        <w:spacing w:after="0" w:line="50" w:lineRule="exact"/>
        <w:rPr>
          <w:rFonts w:ascii="Arial" w:cs="Arial" w:eastAsia="Arial" w:hAnsi="Arial"/>
          <w:sz w:val="18"/>
          <w:szCs w:val="18"/>
          <w:color w:val="auto"/>
        </w:rPr>
      </w:pPr>
    </w:p>
    <w:p>
      <w:pPr>
        <w:jc w:val="both"/>
        <w:ind w:right="240" w:firstLine="443"/>
        <w:spacing w:after="0" w:line="306" w:lineRule="auto"/>
        <w:tabs>
          <w:tab w:leader="none" w:pos="68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obligation, if any, of the Company to redeem or purchase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25" w:lineRule="exact"/>
        <w:rPr>
          <w:rFonts w:ascii="Arial" w:cs="Arial" w:eastAsia="Arial" w:hAnsi="Arial"/>
          <w:sz w:val="16"/>
          <w:szCs w:val="16"/>
          <w:color w:val="auto"/>
        </w:rPr>
      </w:pPr>
    </w:p>
    <w:p>
      <w:pPr>
        <w:ind w:left="660" w:hanging="217"/>
        <w:spacing w:after="0"/>
        <w:tabs>
          <w:tab w:leader="none" w:pos="6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Securities of the series shall be issuable;</w:t>
      </w:r>
    </w:p>
    <w:p>
      <w:pPr>
        <w:spacing w:after="0" w:line="113" w:lineRule="exact"/>
        <w:rPr>
          <w:rFonts w:ascii="Arial" w:cs="Arial" w:eastAsia="Arial" w:hAnsi="Arial"/>
          <w:sz w:val="16"/>
          <w:szCs w:val="16"/>
          <w:color w:val="auto"/>
        </w:rPr>
      </w:pPr>
    </w:p>
    <w:p>
      <w:pPr>
        <w:ind w:right="460" w:firstLine="443"/>
        <w:spacing w:after="0" w:line="268" w:lineRule="auto"/>
        <w:tabs>
          <w:tab w:leader="none" w:pos="6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whether payment of principal of and premium, if any, and interest, if any, on the Securities of the series shall be without deduction for taxes, assessments or governmental charges paid by Holders of the series;</w:t>
      </w:r>
    </w:p>
    <w:p>
      <w:pPr>
        <w:spacing w:after="0" w:line="50" w:lineRule="exact"/>
        <w:rPr>
          <w:rFonts w:ascii="Arial" w:cs="Arial" w:eastAsia="Arial" w:hAnsi="Arial"/>
          <w:sz w:val="18"/>
          <w:szCs w:val="18"/>
          <w:color w:val="auto"/>
        </w:rPr>
      </w:pPr>
    </w:p>
    <w:p>
      <w:pPr>
        <w:ind w:right="140" w:firstLine="443"/>
        <w:spacing w:after="0" w:line="268" w:lineRule="auto"/>
        <w:tabs>
          <w:tab w:leader="none" w:pos="68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 pursuant to Section 5.2;</w:t>
      </w:r>
    </w:p>
    <w:p>
      <w:pPr>
        <w:spacing w:after="0" w:line="50" w:lineRule="exact"/>
        <w:rPr>
          <w:rFonts w:ascii="Arial" w:cs="Arial" w:eastAsia="Arial" w:hAnsi="Arial"/>
          <w:sz w:val="18"/>
          <w:szCs w:val="18"/>
          <w:color w:val="auto"/>
        </w:rPr>
      </w:pPr>
    </w:p>
    <w:p>
      <w:pPr>
        <w:ind w:right="460" w:firstLine="443"/>
        <w:spacing w:after="0" w:line="268" w:lineRule="auto"/>
        <w:tabs>
          <w:tab w:leader="none" w:pos="6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the amount of payments of principal of and any premium or interest on the Securities of the series may be determined with reference to an index, the manner in which such amounts shall be determined;</w:t>
      </w:r>
    </w:p>
    <w:p>
      <w:pPr>
        <w:spacing w:after="0" w:line="50" w:lineRule="exact"/>
        <w:rPr>
          <w:rFonts w:ascii="Arial" w:cs="Arial" w:eastAsia="Arial" w:hAnsi="Arial"/>
          <w:sz w:val="18"/>
          <w:szCs w:val="18"/>
          <w:color w:val="auto"/>
        </w:rPr>
      </w:pPr>
    </w:p>
    <w:p>
      <w:pPr>
        <w:ind w:right="40" w:firstLine="443"/>
        <w:spacing w:after="0" w:line="298" w:lineRule="auto"/>
        <w:tabs>
          <w:tab w:leader="none" w:pos="736"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if and as applicable, that the Securities of the series shall be issuable in whole or in part in the form of one or more Global Securities and, in such case, the Depositary or Depositaries for such Global Security or Global Securities and any circumstances other than those set forth in Section 3.5 in which any such Global Security may be transferred to, and registered and exchanged for Securities registered in the name of, a Person other than the Depositary for such Global Security or a nominee thereof and in which any such transfer may be registered;</w:t>
      </w:r>
    </w:p>
    <w:p>
      <w:pPr>
        <w:spacing w:after="0" w:line="31" w:lineRule="exact"/>
        <w:rPr>
          <w:rFonts w:ascii="Arial" w:cs="Arial" w:eastAsia="Arial" w:hAnsi="Arial"/>
          <w:sz w:val="16"/>
          <w:szCs w:val="16"/>
          <w:color w:val="auto"/>
        </w:rPr>
      </w:pPr>
    </w:p>
    <w:p>
      <w:pPr>
        <w:ind w:right="300" w:firstLine="443"/>
        <w:spacing w:after="0" w:line="268" w:lineRule="auto"/>
        <w:tabs>
          <w:tab w:leader="none" w:pos="68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deletions from, modifications of or additions to the Events of Default set forth in Section 5.1 or the covenants of the Company set forth in Article Ten with respect to the Securities of such series;</w:t>
      </w:r>
    </w:p>
    <w:p>
      <w:pPr>
        <w:spacing w:after="0" w:line="50" w:lineRule="exact"/>
        <w:rPr>
          <w:rFonts w:ascii="Arial" w:cs="Arial" w:eastAsia="Arial" w:hAnsi="Arial"/>
          <w:sz w:val="18"/>
          <w:szCs w:val="18"/>
          <w:color w:val="auto"/>
        </w:rPr>
      </w:pPr>
    </w:p>
    <w:p>
      <w:pPr>
        <w:ind w:right="40" w:firstLine="443"/>
        <w:spacing w:after="0" w:line="259" w:lineRule="auto"/>
        <w:tabs>
          <w:tab w:leader="none" w:pos="68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whether and under what circumstances the Company will pay additional amounts on the Securities of the series held by a Person who is not a U.S. Person in respect of any tax, assessment or governmental charge withheld or deducted and, if so, whether the Company will have the option to redeem the Securities of the series rather than pay such additional amounts;</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700" w:top="280" w:right="239" w:bottom="1440" w:gutter="0" w:footer="0" w:header="0"/>
        </w:sectPr>
      </w:pPr>
    </w:p>
    <w:bookmarkStart w:id="161" w:name="page162"/>
    <w:bookmarkEnd w:id="161"/>
    <w:p>
      <w:pPr>
        <w:ind w:left="460" w:right="40" w:firstLine="443"/>
        <w:spacing w:after="0" w:line="259" w:lineRule="auto"/>
        <w:tabs>
          <w:tab w:leader="none" w:pos="11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Securities of the series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w:t>
      </w:r>
    </w:p>
    <w:p>
      <w:pPr>
        <w:spacing w:after="0" w:line="59"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the Securities of the series are to be convertible into or exchangeable for any other security or property of the Company, including, without limitation, securities of another Person held by the Company or its Affiliates and, if so, the terms thereof;</w:t>
      </w:r>
    </w:p>
    <w:p>
      <w:pPr>
        <w:spacing w:after="0" w:line="50" w:lineRule="exact"/>
        <w:rPr>
          <w:rFonts w:ascii="Arial" w:cs="Arial" w:eastAsia="Arial" w:hAnsi="Arial"/>
          <w:sz w:val="18"/>
          <w:szCs w:val="18"/>
          <w:color w:val="auto"/>
        </w:rPr>
      </w:pPr>
    </w:p>
    <w:p>
      <w:pPr>
        <w:ind w:left="460" w:right="100" w:firstLine="443"/>
        <w:spacing w:after="0" w:line="268" w:lineRule="auto"/>
        <w:tabs>
          <w:tab w:leader="none" w:pos="111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other than as provided in Section 13.2 and Section 13.3, the means of defeasance or covenant defeasance as may be specified for the Securities of the series;</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other than the Trustee, the identity of the initial Security Registrar and any initial Paying Agent;</w:t>
      </w:r>
    </w:p>
    <w:p>
      <w:pPr>
        <w:spacing w:after="0" w:line="90" w:lineRule="exact"/>
        <w:rPr>
          <w:rFonts w:ascii="Arial" w:cs="Arial" w:eastAsia="Arial" w:hAnsi="Arial"/>
          <w:sz w:val="18"/>
          <w:szCs w:val="18"/>
          <w:color w:val="auto"/>
        </w:rPr>
      </w:pPr>
    </w:p>
    <w:p>
      <w:pPr>
        <w:ind w:left="460" w:right="220" w:firstLine="443"/>
        <w:spacing w:after="0" w:line="332" w:lineRule="auto"/>
        <w:tabs>
          <w:tab w:leader="none" w:pos="110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whether the Securities of the series will be guaranteed pursuant to the Guarantee set forth in Article Fourteen, any modifications to the terms of Article Fourteen applicable to the Securities of such series and the applicability of any other guarantees; and</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other terms of the series (which terms shall not be inconsistent with the provisions of this Indenture).</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the Board Resolution referred to above and (subject to Section 3.3) set forth, or determined in the manner provided, in the Officer’s Certificate referred to above or in any such indenture supplemental hereto.</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All Securities of any one series need not be issued at the same time and, unless otherwise provided, a series may be reopened, without the consent of the Holders, for increases in the aggregate principal amount of such series of Securities and issuances of additional Securities of such series or for the establishment of additional terms with respect to the Securities of such series.</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If any of the terms of the series are established by action taken by or pursuant to a Board Resolution, a copy of an appropriate record of such action shall be certified by an authorized officer or other authorized person on behalf of the Company and, if applicable, the Guarantors and delivered to the Trustee at or prior to the delivery of the Officer’s Certificate setting forth, or providing the manner for determining, the terms of the series.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With respect to Securities of a series subject to a Periodic Offering, such Board Resolution or Officer’s Certificate may provide general terms for Securities of such series and provide either that the specific terms of particular Securities of such series shall be specified in a Company Order or that such terms shall be determined by the Company and, if applicable, the Guarantors or one or more agents thereof designated in an Officer’s Certificate, in accordance with a Company Order.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Denominations</w:t>
      </w:r>
      <w:r>
        <w:rPr>
          <w:rFonts w:ascii="Arial" w:cs="Arial" w:eastAsia="Arial" w:hAnsi="Arial"/>
          <w:sz w:val="18"/>
          <w:szCs w:val="18"/>
          <w:color w:val="auto"/>
        </w:rPr>
        <w:t>.</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Securities of each series shall be issuable in registered form without coupons in such denominations as shall be specified as contemplated by Section 3.1. In the absence of any such provisions with respect to the Securities of any series, the Securities of such series shall be issuable in denominations of $2,000 each and integral multiples of $1,000.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3.3. </w:t>
      </w:r>
      <w:r>
        <w:rPr>
          <w:rFonts w:ascii="Arial" w:cs="Arial" w:eastAsia="Arial" w:hAnsi="Arial"/>
          <w:sz w:val="18"/>
          <w:szCs w:val="18"/>
          <w:u w:val="single" w:color="auto"/>
          <w:color w:val="auto"/>
        </w:rPr>
        <w:t>Execution, Authentication, Delivery and Dating</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Securities shall be executed on behalf of the Company by its Chairman of the Board, its Chief Executive Officer, its President, its Chief Financial Officer or any of its Vice Presidents and need not be attested. The signature of any of these officers on the Securities may be manual or facsimile. Any Guarantee endorsed on the Securities shall be executed on behalf of the applicable Guarantor by its Chairman of the Board, its Chief Executive Officer, its President, its Chief Financial Officer or any of its Vice Presidents and need not be attested.</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Securities and any Guarantee bearing the manual or facsimile signatures of individuals who were at any time the proper officers of the Company or a Guarantor, as the case may be, shall bind the Company or such Guarantor, as the case may be, notwithstanding that such individuals or any of them have ceased to hold such offices prior to the authentication and delivery of such Securities or did not hold such offices at the date of such Securities.</w:t>
      </w:r>
    </w:p>
    <w:p>
      <w:pPr>
        <w:spacing w:after="0" w:line="10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case of Securities offered in a Periodic Offering, the Trustee shall authenticate and deliver such Securities from time to time in accordance with such other procedures (including, without limitation, the receipt by the Trustee of oral or electronic instructions from the Company or its duly authorized agents, thereafter promptly confirmed in writing) acceptable to the Trustee as may be specified by or pursuant to a Company Order delivered to the Trustee prior to the time of the first authentication of Securities of such series. If the forms or terms of the Securities of the series have been established in or pursuant to one or more Board Resolutions as permitted by Section 2.1 and Section 3.1, in authenticating such Securities, and accepting the additional responsibilities under this Indenture in relation to such Securities, the Trustee shall be entitled to receive such documents as it may reasonably request. The Trustee shall also be entitled to receive, and (subject to Section 6.1) shall be fully protected in relying upon, an Opinion of Counsel stating,</w:t>
      </w:r>
    </w:p>
    <w:p>
      <w:pPr>
        <w:spacing w:after="0" w:line="42" w:lineRule="exact"/>
        <w:rPr>
          <w:sz w:val="20"/>
          <w:szCs w:val="20"/>
          <w:color w:val="auto"/>
        </w:rPr>
      </w:pPr>
    </w:p>
    <w:p>
      <w:pPr>
        <w:ind w:left="460" w:right="80" w:firstLine="443"/>
        <w:spacing w:after="0" w:line="268" w:lineRule="auto"/>
        <w:tabs>
          <w:tab w:leader="none" w:pos="113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the form or forms of such Securities has been established in or pursuant to a Board Resolution as permitted by Section 2.1, that each such form has been established in conformity with the provisions of this Indenture;</w:t>
      </w:r>
    </w:p>
    <w:p>
      <w:pPr>
        <w:spacing w:after="0" w:line="50" w:lineRule="exact"/>
        <w:rPr>
          <w:rFonts w:ascii="Arial" w:cs="Arial" w:eastAsia="Arial" w:hAnsi="Arial"/>
          <w:sz w:val="18"/>
          <w:szCs w:val="18"/>
          <w:color w:val="auto"/>
        </w:rPr>
      </w:pPr>
    </w:p>
    <w:p>
      <w:pPr>
        <w:ind w:left="460" w:firstLine="443"/>
        <w:spacing w:after="0" w:line="256" w:lineRule="auto"/>
        <w:tabs>
          <w:tab w:leader="none" w:pos="114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the terms of such Securities have been, or in the case of Securities of a series offered in a Periodic Offering will be, established in or pursuant to a Board Resolution as permitted by Section 3.1, that such terms have been, or in the case of Securities of a series offered in a Periodic Offering will be, established in conformity with the provisions of this Indenture, subject, in the case of Securities of a series offered in a Periodic Offering, to any conditions specified in such Opinion of Counsel; and</w:t>
      </w:r>
    </w:p>
    <w:p>
      <w:pPr>
        <w:spacing w:after="0" w:line="62" w:lineRule="exact"/>
        <w:rPr>
          <w:rFonts w:ascii="Arial" w:cs="Arial" w:eastAsia="Arial" w:hAnsi="Arial"/>
          <w:sz w:val="18"/>
          <w:szCs w:val="18"/>
          <w:color w:val="auto"/>
        </w:rPr>
      </w:pPr>
    </w:p>
    <w:p>
      <w:pPr>
        <w:ind w:left="460" w:right="80" w:firstLine="443"/>
        <w:spacing w:after="0" w:line="291" w:lineRule="auto"/>
        <w:tabs>
          <w:tab w:leader="none" w:pos="113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that such Securities when authenticated and delivered by the Trustee and issued by the Company in the manner and subject to any conditions and assumptions specified in such Opinion of Counsel, will constitute valid and legally binding obligations of the Company and, if applicable, the Guarantors, enforceable in accordance with their terms, subject to the following limitations: (i) bankruptcy, insolvency, moratorium, reorganization, liquidation, fraudulent conveyance or transfer and other similar laws of general applicability relating to or affecting the enforcement of creditors’ rights, or to general equity principles, (ii) the availability of equitable remedies being subject to the discretion of the court to which application therefor is made; and (iii) such other usual and customary matters as shall be specified in such Opinion of Counsel.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163" w:name="page164"/>
    <w:bookmarkEnd w:id="163"/>
    <w:p>
      <w:pPr>
        <w:ind w:right="1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such form or forms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Notwithstanding the provisions of Section 3.1 and of the preceding paragraph, if all Securities of a series are not to be originally issued at one time, it shall not be necessary to deliver the Officer’s Certificate otherwise required pursuant to Section 3.1 or the Company Order and Opinion of Counsel otherwise required pursuant to such preceding paragraph at or prior to the time of authentication of each Security of such series if such documents are delivered at or prior to the authentication upon original issuance of the first Security of such series to be issued.</w:t>
      </w:r>
    </w:p>
    <w:p>
      <w:pPr>
        <w:spacing w:after="0" w:line="143"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With respect to Securities of a series offered in a Periodic Offering, the Trustee may rely, as to the authorization by the Company of any of such Securities, on the form or forms and terms thereof and the legality, validity, binding effect and enforceability thereof, upon the Opinion of Counsel and the other documents delivered pursuant to Section 2.1 and Section 3.1 and this Section, as applicable, in connection with the first authentication of Securities of such series.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Security shall be dated the date of its authentication.</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No Security, nor any Guarantee endorsed thereon, shall be entitled to any benefit under this Indenture or be valid or obligatory for any purpose unless there appears on such Security a certificate of authentication substantially in the form provided for herein executed by the Trustee by manual signature of an authorized officer, and such certificate upon any Security shall be conclusive evidence, and the only evidence, that such Security has been duly authenticated and delivered hereunder and is entitled to the benefits of this Indenture. Notwithstanding the foregoing, if any Security shall have been authenticated and delivered hereunder but never issued and sold by the Company, and the Company shall deliver such Security to the Trustee for cancellation as provided in Section 3.9 for all purposes of this Indenture such Security shall be deemed never to have been authenticated and delivered hereunder and shall never be entitled to the benefits of this Indenture.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13"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a like principal amount of Definitive Securities of the same series and tenor of authorized denominations. Until so exchanged the temporary Securities of any series shall in all respects be entitled to the same benefits under this Indenture as Definitive Securities of such series.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3.5. </w:t>
      </w:r>
      <w:r>
        <w:rPr>
          <w:rFonts w:ascii="Arial" w:cs="Arial" w:eastAsia="Arial" w:hAnsi="Arial"/>
          <w:sz w:val="18"/>
          <w:szCs w:val="18"/>
          <w:u w:val="single" w:color="auto"/>
          <w:color w:val="auto"/>
        </w:rPr>
        <w:t>Registration, Registration of Transfer and Exchange</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Company shall cause to be kept at the office or agency of the Company in the Borough of Manhattan, the City of New York or in any other office or agency of the Company in a Place of Payment required by Section 10.2 a register (the register maintained in such office being herein sometimes referred to as the “Security Register”) in which, subject to such reasonable regulations as it may prescribe, the Company shall provide for the registration of Securities and of transfers of Securities. The Trustee is hereby appointed as the initial “Security Registrar” for the purpose of registering Securities and transfers of Securities as</w:t>
      </w:r>
    </w:p>
    <w:p>
      <w:pPr>
        <w:spacing w:after="0" w:line="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herein provided, and its corporate trust office, which, at the date hereof, is located at </w:t>
      </w:r>
      <w:r>
        <w:rPr>
          <w:rFonts w:ascii="Arial" w:cs="Arial" w:eastAsia="Arial" w:hAnsi="Arial"/>
          <w:sz w:val="18"/>
          <w:szCs w:val="18"/>
          <w:b w:val="1"/>
          <w:bCs w:val="1"/>
          <w:color w:val="auto"/>
        </w:rPr>
        <w:t>[ ], [New York, New York] [ ]</w:t>
      </w:r>
      <w:r>
        <w:rPr>
          <w:rFonts w:ascii="Arial" w:cs="Arial" w:eastAsia="Arial" w:hAnsi="Arial"/>
          <w:sz w:val="18"/>
          <w:szCs w:val="18"/>
          <w:color w:val="auto"/>
        </w:rPr>
        <w:t>, is the initial office or agency in the Borough of Manhattan where the Securities Register will be maintained. The Company may at any time replace such Security Registrar, change such office or agency or act as its own Security Registrar. The Company will give prompt written notice to the Trustee of any change of the Security Registrar or of the location of such office or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-443230</wp:posOffset>
            </wp:positionV>
            <wp:extent cx="55753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5618480</wp:posOffset>
            </wp:positionH>
            <wp:positionV relativeFrom="paragraph">
              <wp:posOffset>-443230</wp:posOffset>
            </wp:positionV>
            <wp:extent cx="55753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2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Upon surrender for registration of transfer of any Security of any series at the office or agency maintained pursuant to Section 10.2 for such purpose, the Company and, if applicable, the Guarantors shall execute, and the Trustee shall authenticate and deliver, in the name of the designated transferee or transferees, one or more new Securities, with an endorsement of the Guarantee, if applicable, executed by the Guarantors, of the same series and tenor, of any authorized denominations and of a like aggregate principal amount.</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At the option of the Holder, Securities of any series (except a Global Security) may be exchanged for other Securities of the same series and tenor, of any authorized denominations and of a like aggregate principal amount, upon surrender of the Securities to be exchanged at such office or agency. Whenever any Securities are so surrendered for exchange, the Company and, if applicable, the Guarantors shall execute and the Trustee shall authenticate and deliver, the Securities, with an endorsement of the Guarantee, if applicable, executed by the Guarantors, which the Holder making the exchange is entitled to receive.</w:t>
      </w:r>
    </w:p>
    <w:p>
      <w:pPr>
        <w:spacing w:after="0" w:line="11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All Securities issued upon any registration of transfer or exchange of Securities shall be the valid obligations of the Company and, if applicable, the Guarantors evidencing the same debt, and entitled to the same benefits under this Indenture, as the Securities surrendered upon such registration of transfer or exchange.</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his attorney duly authorized in writing.</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3.4, Section 9.6 or Section 11.7 not involving any transfer.</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shall not be required (a) to issue, register the transfer of or exchange Securities of any series during a period beginning at, the opening of business 15 days before the day of the mailing of a notice of redemption of Securities of that series selected for redemption under Section 11.3 and ending at the close of business on the day of such mailing, or (b) to register the transfer of or exchange any Security so selected for redemption in whole or in part, except the unredeemed portion of any Security being redeemed in part.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280" w:right="299" w:bottom="1440" w:gutter="0" w:footer="0" w:header="0"/>
        </w:sectPr>
      </w:pPr>
    </w:p>
    <w:bookmarkStart w:id="165" w:name="page166"/>
    <w:bookmarkEnd w:id="165"/>
    <w:p>
      <w:pPr>
        <w:ind w:right="4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 other provisions of this Indenture and except as otherwise specified with respect to any particular series of Securities as contemplated by Section 3.1,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 Every Security authenticated and delivered upon registration of, transfer of, or in exchange for or in lieu of, a Global Security shall be a Global Security except as provided in the two paragraphs immediately following.</w:t>
      </w:r>
    </w:p>
    <w:p>
      <w:pPr>
        <w:spacing w:after="0" w:line="14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at any time the Depositary for any Securities of a series represented by one or more Global Securities notifies the Company that it is unwilling or unable to continue as Depositary for such Securities or if at any time the Depositary for such Securities shall no longer be eligible to continue as Depositary under Section 3.1 or ceases to be a clearing agency registered under the Exchange Act, the Company shall appoint a successor Depositary with respect to such Securities. If a successor Depositary for such Securities is not appointed by the Company within 90 days after the Company receives such notice or becomes aware of such ineligibility, the Company’s election pursuant to Section 3.1 that such Securities be represented by one or more Global Securities shall no longer be effective and the Company and, if applicable, the Guarantors will execute and the Trustee, upon receipt of a Company Order for the authentication and delivery of Definitive Securities of such series, will authenticate and deliver, Securities, with an endorsement of the Guarantee, if applicable, executed by the Guarantors, of such series in definitive registered form without coupons, in any authorized denominations, in an aggregate principal amount equal to the principal amount of the Global Security or Securities representing such Securities in exchange for such Global Security or Securities registered in the names of such Persons as the Depositary shall direct.</w:t>
      </w:r>
    </w:p>
    <w:p>
      <w:pPr>
        <w:spacing w:after="0" w:line="12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may at any time and in its sole discretion determine that the Securities of any series issued in the form of one or more Global Securities shall no longer be represented by a Global Security or Securities. In such event, the Company and, if applicable, the Guarantors will execute and the Trustee, upon receipt of a Company Order for the authentication and delivery of the Definitive Securities of such series, will authenticate and deliver, Securities, with an endorsement of the Guarantee, if applicable, executed by the Guarantors, of such series in definitive registered form without coupons, in any authorized denominations, in an aggregate principal amount equal to the principal amount of the Global Security or Securities representing such Securities in exchange for such Global Security or Securities registered in the names of such Persons as the Depositary shall direct.</w:t>
      </w:r>
    </w:p>
    <w:p>
      <w:pPr>
        <w:spacing w:after="0" w:line="12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If specified by the Company pursuant to Section 3.1 with respect to Securities represented by a Global Security, the Depositary for such Global Security may surrender such Global Security in exchange in whole or in part for Securities of the same series and tenor in definitive registered form on such terms as are acceptable to the Company and such Depositary. Thereupon, the Company and, if applicable, the Guarantors shall execute, and the Trustee, upon receipt of a Company Order for the authentication and delivery of Securities in definitive registered form, shall authenticate and deliver, without service charge,</w:t>
      </w:r>
    </w:p>
    <w:p>
      <w:pPr>
        <w:spacing w:after="0" w:line="32" w:lineRule="exact"/>
        <w:rPr>
          <w:sz w:val="20"/>
          <w:szCs w:val="20"/>
          <w:color w:val="auto"/>
        </w:rPr>
      </w:pPr>
    </w:p>
    <w:p>
      <w:pPr>
        <w:ind w:left="460" w:right="240" w:firstLine="443"/>
        <w:spacing w:after="0" w:line="259" w:lineRule="auto"/>
        <w:tabs>
          <w:tab w:leader="none" w:pos="113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the Person specified by such Depositary a new Security or Securities, with an endorsement of the Guarantee, if applicable, executed by the Guarantors, of the same series and tenor, of any authorized denominations as requested by such Person, in an aggregate principal amount equal to and in exchange for such Person’s beneficial interest in the Global Security; and</w:t>
      </w:r>
    </w:p>
    <w:p>
      <w:pPr>
        <w:spacing w:after="0" w:line="59" w:lineRule="exact"/>
        <w:rPr>
          <w:rFonts w:ascii="Arial" w:cs="Arial" w:eastAsia="Arial" w:hAnsi="Arial"/>
          <w:sz w:val="18"/>
          <w:szCs w:val="18"/>
          <w:color w:val="auto"/>
        </w:rPr>
      </w:pPr>
    </w:p>
    <w:p>
      <w:pPr>
        <w:ind w:left="460" w:right="240" w:firstLine="443"/>
        <w:spacing w:after="0" w:line="259" w:lineRule="auto"/>
        <w:tabs>
          <w:tab w:leader="none" w:pos="114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such Depositary a new Global Security, with an endorsement of the Guarantee, if applicable, executed by the Guarantors, in a denomination equal to the difference, if any, between the principal amount of the surrendered Global Security and the aggregate principal amount of Securities authenticated and delivered pursuant to clause (a) above.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166" w:name="page167"/>
    <w:bookmarkEnd w:id="16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Every Person who takes or holds any beneficial interest in a Global Security agrees that:</w:t>
      </w:r>
    </w:p>
    <w:p>
      <w:pPr>
        <w:spacing w:after="0" w:line="90" w:lineRule="exact"/>
        <w:rPr>
          <w:sz w:val="20"/>
          <w:szCs w:val="20"/>
          <w:color w:val="auto"/>
        </w:rPr>
      </w:pPr>
    </w:p>
    <w:p>
      <w:pPr>
        <w:ind w:left="460" w:right="600" w:firstLine="443"/>
        <w:spacing w:after="0" w:line="268" w:lineRule="auto"/>
        <w:tabs>
          <w:tab w:leader="none" w:pos="113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Company, the Guarantors (if applicable) and the Trustee may deal with the Depositary as sole owner of the Global Security and as the authorized representative of such Person;</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such Person’s rights in the Global Security shall be exercised only through the Depositary and shall be limited to those established by law and agreement between such Person and the Depositary and/or direct and indirect participants of the Depositary;</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13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Depositary and its participants make book-entry transfers of beneficial ownership among, and receive and transmit distributions of principal and interest on the Global Securities to, such Persons in accordance with their own procedures; and</w:t>
      </w:r>
    </w:p>
    <w:p>
      <w:pPr>
        <w:spacing w:after="0" w:line="50" w:lineRule="exact"/>
        <w:rPr>
          <w:rFonts w:ascii="Arial" w:cs="Arial" w:eastAsia="Arial" w:hAnsi="Arial"/>
          <w:sz w:val="18"/>
          <w:szCs w:val="18"/>
          <w:color w:val="auto"/>
        </w:rPr>
      </w:pPr>
    </w:p>
    <w:p>
      <w:pPr>
        <w:ind w:left="460" w:right="280" w:firstLine="443"/>
        <w:spacing w:after="0" w:line="259" w:lineRule="auto"/>
        <w:tabs>
          <w:tab w:leader="none" w:pos="11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none of the Company, the Guarantors (if applicable), the Trustee, nor any agent of any of them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any mutilated Security is surrendered to the Trustee, together with, in proper cases, such security or indemnity as may be required by the Company, the Guarantors (if applicable) or the Trustee to save each of them and any agent of any of them harmless, the Company shall execute and the Trustee shall authenticate and deliver in exchange therefor a new Security, with an endorsement of the Guarantee, if applicable, executed by the Guarantors, of the same series and of like tenor and principal amount and bearing a number not contemporaneously outstanding.</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there shall be delivered to the Company, the Guarantors (if applicable) and the Trustee (a) evidence to their satisfaction of the destruction, loss or theft of any Security and (b) such security or indemnity as may be required by them to save each of them and any agent of either of them harmless, then, in the absence of notice to the Company or the Trustee that such Security has been acquired by a bona fide purchaser, the Company and, if applicable, the Guarantors shall execute and upon its request the Trustee shall authenticate and deliver, in lieu of any such destroyed, lost or stolen Security, a new Security, with an endorsement of the Guarantee, if applicable, executed by the Guarantors, of the same series and of like tenor and principal amount and bearing a number not contemporaneously outstanding.</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32"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6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Every new Security of any series issued pursuant to this Section in lieu of any destroyed, lost or stolen Security shall constitute an original additional contractual obligation of the Company and, if applicable, the Guarantors, regardless of whether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167" w:name="page168"/>
    <w:bookmarkEnd w:id="167"/>
    <w:p>
      <w:pPr>
        <w:ind w:right="5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provisions of this Section are exclusive and shall preclude (to the extent lawful) all other rights and remedies with respect to the replacement or payment of mutilated, destroyed, lost or stolen Securities.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Payment of Interest; Interest Rights Preserved</w:t>
      </w:r>
      <w:r>
        <w:rPr>
          <w:rFonts w:ascii="Arial" w:cs="Arial" w:eastAsia="Arial" w:hAnsi="Arial"/>
          <w:sz w:val="18"/>
          <w:szCs w:val="18"/>
          <w:color w:val="auto"/>
        </w:rPr>
        <w:t>.</w:t>
      </w:r>
    </w:p>
    <w:p>
      <w:pPr>
        <w:spacing w:after="0" w:line="9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Except as otherwise provided as contemplated by Section 3.1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4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(a) or (b) below:</w:t>
      </w:r>
    </w:p>
    <w:p>
      <w:pPr>
        <w:spacing w:after="0" w:line="26" w:lineRule="exact"/>
        <w:rPr>
          <w:sz w:val="20"/>
          <w:szCs w:val="20"/>
          <w:color w:val="auto"/>
        </w:rPr>
      </w:pPr>
    </w:p>
    <w:p>
      <w:pPr>
        <w:ind w:left="460" w:right="20" w:firstLine="443"/>
        <w:spacing w:after="0" w:line="285" w:lineRule="auto"/>
        <w:tabs>
          <w:tab w:leader="none" w:pos="1134"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Securities of such series at his address as it appears in the Security Register,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(b).</w:t>
      </w:r>
    </w:p>
    <w:p>
      <w:pPr>
        <w:spacing w:after="0" w:line="47" w:lineRule="exact"/>
        <w:rPr>
          <w:rFonts w:ascii="Arial" w:cs="Arial" w:eastAsia="Arial" w:hAnsi="Arial"/>
          <w:sz w:val="16"/>
          <w:szCs w:val="16"/>
          <w:color w:val="auto"/>
        </w:rPr>
      </w:pPr>
    </w:p>
    <w:p>
      <w:pPr>
        <w:ind w:left="460" w:right="40" w:firstLine="443"/>
        <w:spacing w:after="0" w:line="335" w:lineRule="auto"/>
        <w:tabs>
          <w:tab w:leader="none" w:pos="1147"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8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3.8. </w:t>
      </w:r>
      <w:r>
        <w:rPr>
          <w:rFonts w:ascii="Arial" w:cs="Arial" w:eastAsia="Arial" w:hAnsi="Arial"/>
          <w:sz w:val="18"/>
          <w:szCs w:val="18"/>
          <w:u w:val="single" w:color="auto"/>
          <w:color w:val="auto"/>
        </w:rPr>
        <w:t>Persons Deemed Owners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Except as otherwise provided as contemplated by Section 3.1 with respect to any series of Securities, prior to due presentment of a Security for registration of transfer, the Company, the Trustee and, if applicable, the Guarantors and any agent thereof may treat the Person in whose name such Security is registered as the owner of such Security for the purpose of receiving payment of principal of and any premium and (subject to Section 3.5 and Section 3.7) any interest on such Security and for all other purposes whatsoever, regardless of whether such Security be overdue, and none of the Company, the Trustee nor, if applicable, the Guarantors nor any agent of any of them shall be affected by notice to the contrary.</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holder of any beneficial interest in any Global Security held on its behalf by a Depositary shall have any rights under this Indenture with respect to such Global Security, and such Depositary may be treated by the Company, the Trustee, and, if applicable, the Guarantors and any agent of thereof as the owner of such Global Security for all purposes whatsoever.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All Securities surrendered for payment, redemption, registration of transfer or exchange or for credit against any sinking fund payment shall, if surrendered to any Person other than the Trustee, be delivered to the Trustee and shall be promptly canceled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canceled by the Trustee. No Securities shall be authenticated in lieu of or in exchange for any Securities canceled as provided in this Section, except as expressly permitted by this Indenture. All canceled Securities held by the Trustee shall be disposed of in accordance with its customary practices, and the Trustee shall thereafter deliver to the Company a certificate with respect to such disposition.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Except as otherwise specified as contemplated by Section 3.1 for Securities of any series, interest on the Securities of each series shall be computed on the basis of a year of twelve 30-day months.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CUSIP or CINS Numbers</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The Company in issuing the Securities may use “CUSIP” or “CINS” numbers (if then generally in use, and in addition to the other identification numbers printed on the Securities), and, if so, the Trustee shall use “CUSIP” or “CINS” numbers in notices of redemption as a convenience to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notice may state that no representation is made as to the correctness of such “CUSIP” or “CINS” numbers either as printed on the Securities or as contained in any notice of a redemption and that reliance may be placed only on the other identification numbers printed on the Securities, and any such redemption shall not be affected by any defect in or omission of such “CUSIP” or “CINS” numbers.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169" w:name="page170"/>
    <w:bookmarkEnd w:id="16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FOUR</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SATISFACTION AND DISCHARGE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This Indenture shall cease to be of further effect with respect to the Securities of any series (except as to any surviving rights of registration of transfer or exchange of Securities herein expressly provided for), and the Trustee, upon Company Request and at the expense of the Company, shall execute proper instruments acknowledging satisfaction and discharge of this Indenture with respect to such Securities, when:</w:t>
      </w:r>
    </w:p>
    <w:p>
      <w:pPr>
        <w:spacing w:after="0" w:line="26" w:lineRule="exact"/>
        <w:rPr>
          <w:sz w:val="20"/>
          <w:szCs w:val="20"/>
          <w:color w:val="auto"/>
        </w:rPr>
      </w:pPr>
    </w:p>
    <w:p>
      <w:pPr>
        <w:ind w:left="1160" w:hanging="239"/>
        <w:spacing w:after="0"/>
        <w:tabs>
          <w:tab w:leader="none" w:pos="11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right="260" w:firstLine="421"/>
        <w:spacing w:after="0" w:line="256" w:lineRule="auto"/>
        <w:tabs>
          <w:tab w:leader="none" w:pos="1549"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all such Securities theretofore authenticated and delivered (other than (A) such Securities which have been destroyed, lost or stolen and which have been replaced or paid as provided in Section 3.6, and (B) such Securities for whose payment money has theretofore been deposited in trust or segregated and held in trust by the Company and thereafter repaid to the Company or discharged from such trust, as provided in Section 10.3) have been delivered to the Trustee for cancellation; or</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all such Securities not theretofore delivered to the Trustee for cancellation</w:t>
      </w:r>
    </w:p>
    <w:p>
      <w:pPr>
        <w:spacing w:after="0" w:line="90" w:lineRule="exact"/>
        <w:rPr>
          <w:rFonts w:ascii="Arial" w:cs="Arial" w:eastAsia="Arial" w:hAnsi="Arial"/>
          <w:sz w:val="18"/>
          <w:szCs w:val="18"/>
          <w:color w:val="auto"/>
        </w:rPr>
      </w:pPr>
    </w:p>
    <w:p>
      <w:pPr>
        <w:ind w:left="2180" w:hanging="291"/>
        <w:spacing w:after="0"/>
        <w:tabs>
          <w:tab w:leader="none" w:pos="218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90" w:lineRule="exact"/>
        <w:rPr>
          <w:rFonts w:ascii="Arial" w:cs="Arial" w:eastAsia="Arial" w:hAnsi="Arial"/>
          <w:sz w:val="18"/>
          <w:szCs w:val="18"/>
          <w:color w:val="auto"/>
        </w:rPr>
      </w:pPr>
    </w:p>
    <w:p>
      <w:pPr>
        <w:ind w:left="2160" w:hanging="271"/>
        <w:spacing w:after="0"/>
        <w:tabs>
          <w:tab w:leader="none" w:pos="216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90" w:lineRule="exact"/>
        <w:rPr>
          <w:rFonts w:ascii="Arial" w:cs="Arial" w:eastAsia="Arial" w:hAnsi="Arial"/>
          <w:sz w:val="18"/>
          <w:szCs w:val="18"/>
          <w:color w:val="auto"/>
        </w:rPr>
      </w:pPr>
    </w:p>
    <w:p>
      <w:pPr>
        <w:ind w:left="1500" w:right="800" w:firstLine="389"/>
        <w:spacing w:after="0" w:line="268" w:lineRule="auto"/>
        <w:tabs>
          <w:tab w:leader="none" w:pos="2175" w:val="left"/>
        </w:tabs>
        <w:numPr>
          <w:ilvl w:val="2"/>
          <w:numId w:val="122"/>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51"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and the Company, in the case of (A), (B) or (C) above, has deposited or caused to be deposited with the Trustee as trust funds in trust for such purpose an amount sufficient to pay and discharge the entire indebtedness on such Securities not theretofore delivered to the Trustee for cancellation, for principal (and premium, if any) and interest to the date of such deposit (in the case of Securities which have become due and payable) or to the Stated Maturity or Redemption Date, as the case may be;</w:t>
      </w:r>
    </w:p>
    <w:p>
      <w:pPr>
        <w:spacing w:after="0" w:line="62" w:lineRule="exact"/>
        <w:rPr>
          <w:sz w:val="20"/>
          <w:szCs w:val="20"/>
          <w:color w:val="auto"/>
        </w:rPr>
      </w:pPr>
    </w:p>
    <w:p>
      <w:pPr>
        <w:ind w:left="1160" w:hanging="257"/>
        <w:spacing w:after="0"/>
        <w:tabs>
          <w:tab w:leader="none" w:pos="11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Company has paid or caused to be paid all other sums payable hereunder by the Company with respect to such Securities; and</w:t>
      </w:r>
    </w:p>
    <w:p>
      <w:pPr>
        <w:spacing w:after="0" w:line="113" w:lineRule="exact"/>
        <w:rPr>
          <w:rFonts w:ascii="Arial" w:cs="Arial" w:eastAsia="Arial" w:hAnsi="Arial"/>
          <w:sz w:val="16"/>
          <w:szCs w:val="16"/>
          <w:color w:val="auto"/>
        </w:rPr>
      </w:pPr>
    </w:p>
    <w:p>
      <w:pPr>
        <w:ind w:left="460" w:right="300" w:firstLine="443"/>
        <w:spacing w:after="0" w:line="332" w:lineRule="auto"/>
        <w:tabs>
          <w:tab w:leader="none" w:pos="1137"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each stating that all conditions precedent herein provided for relating to the satisfaction and discharge of this Indenture with respect to such Securities have been complied with.</w:t>
      </w:r>
    </w:p>
    <w:p>
      <w:pPr>
        <w:spacing w:after="0" w:line="8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Notwithstanding the satisfaction and discharge of this Indenture with respect to the Securities of any series, (x) the obligations of the Company to the Trustee under Section 6.7, the obligations of the Trustee to any Authenticating Agent under Section 6.14 and the right of the Trustee to resign under Section 6.10 shall survive, and (y) if money shall have been deposited with the Trustee pursuant to clause (a) of this Section, the obligations of the Company and the Trustee under Section 4.2, Section 6.6 and Section 10.2 and the last paragraph of Section 10.3 shall survive.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4.2. </w:t>
      </w:r>
      <w:r>
        <w:rPr>
          <w:rFonts w:ascii="Arial" w:cs="Arial" w:eastAsia="Arial" w:hAnsi="Arial"/>
          <w:sz w:val="18"/>
          <w:szCs w:val="18"/>
          <w:u w:val="single" w:color="auto"/>
          <w:color w:val="auto"/>
        </w:rPr>
        <w:t>Application of Trust Money</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Subject to the provisions of the last paragraph of Section 10.3, all money deposited with the Trustee pursuant to Section 4.1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FIVE</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REMEDIES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“Event of Default”,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59" w:lineRule="exact"/>
        <w:rPr>
          <w:sz w:val="20"/>
          <w:szCs w:val="20"/>
          <w:color w:val="auto"/>
        </w:rPr>
      </w:pPr>
    </w:p>
    <w:p>
      <w:pPr>
        <w:ind w:left="460" w:right="180" w:firstLine="443"/>
        <w:spacing w:after="0" w:line="268" w:lineRule="auto"/>
        <w:tabs>
          <w:tab w:leader="none" w:pos="113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when it becomes due and payable, and continuance of such default for a period of 30 days (regardless of whether such payment is prohibited by the provisions of Article Fifteen hereof); or</w:t>
      </w:r>
    </w:p>
    <w:p>
      <w:pPr>
        <w:spacing w:after="0" w:line="5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Security of that series at its Maturity (regardless of whether such payment is prohibited by the provisions of Article Fifteen hereof); or</w:t>
      </w:r>
    </w:p>
    <w:p>
      <w:pPr>
        <w:spacing w:after="0" w:line="50" w:lineRule="exact"/>
        <w:rPr>
          <w:rFonts w:ascii="Arial" w:cs="Arial" w:eastAsia="Arial" w:hAnsi="Arial"/>
          <w:sz w:val="18"/>
          <w:szCs w:val="18"/>
          <w:color w:val="auto"/>
        </w:rPr>
      </w:pPr>
    </w:p>
    <w:p>
      <w:pPr>
        <w:ind w:left="460" w:right="200" w:firstLine="443"/>
        <w:spacing w:after="0" w:line="291" w:lineRule="auto"/>
        <w:tabs>
          <w:tab w:leader="none" w:pos="113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default in the performance, or breach, of any covenant set forth in Article Ten in this Indenture (other than a covenant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39" w:lineRule="exact"/>
        <w:rPr>
          <w:rFonts w:ascii="Arial" w:cs="Arial" w:eastAsia="Arial" w:hAnsi="Arial"/>
          <w:sz w:val="16"/>
          <w:szCs w:val="16"/>
          <w:color w:val="auto"/>
        </w:rPr>
      </w:pPr>
    </w:p>
    <w:p>
      <w:pPr>
        <w:ind w:left="460" w:right="100" w:firstLine="443"/>
        <w:spacing w:after="0" w:line="291" w:lineRule="auto"/>
        <w:tabs>
          <w:tab w:leader="none" w:pos="114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default in the performance, or breach, of any covenant in this Indenture (other than a covenant in Article Ten or any other covenant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180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280" w:right="359" w:bottom="1440" w:gutter="0" w:footer="0" w:header="0"/>
        </w:sectPr>
      </w:pPr>
    </w:p>
    <w:bookmarkStart w:id="171" w:name="page172"/>
    <w:bookmarkEnd w:id="171"/>
    <w:p>
      <w:pPr>
        <w:ind w:left="460" w:firstLine="443"/>
        <w:spacing w:after="0" w:line="259" w:lineRule="auto"/>
        <w:tabs>
          <w:tab w:leader="none" w:pos="1137" w:val="left"/>
        </w:tabs>
        <w:numPr>
          <w:ilvl w:val="0"/>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pursuant to or within the meaning of any Bankruptcy Law (i) commences a voluntary case, (ii) consents to the entry of any order for relief against it in an involuntary case, (iii) consents to the appointment of a Custodian of it or for all or substantially all of its property, or (iv) makes a general assignment for the benefit of its creditors; or</w:t>
      </w:r>
    </w:p>
    <w:p>
      <w:pPr>
        <w:spacing w:after="0" w:line="59" w:lineRule="exact"/>
        <w:rPr>
          <w:rFonts w:ascii="Arial" w:cs="Arial" w:eastAsia="Arial" w:hAnsi="Arial"/>
          <w:sz w:val="18"/>
          <w:szCs w:val="18"/>
          <w:color w:val="auto"/>
        </w:rPr>
      </w:pPr>
    </w:p>
    <w:p>
      <w:pPr>
        <w:jc w:val="both"/>
        <w:ind w:left="460" w:right="160" w:firstLine="443"/>
        <w:spacing w:after="0" w:line="259" w:lineRule="auto"/>
        <w:tabs>
          <w:tab w:leader="none" w:pos="111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 (i) is for relief against the Company in an involuntary case, (ii) appoints a Custodian of the Company or for all or substantially all of its property, or (iii) orders the liquidation of the Company; and the order or decree remains unstayed and in effect for 60 consecutive days; or</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due;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in accordance with Section 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w:t>
      </w:r>
    </w:p>
    <w:p>
      <w:pPr>
        <w:spacing w:after="0" w:line="90"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If an Event of Default with respect to Securities of any series at the time Outstanding occurs and is continuing, then in every such case the Trustee or the Holders of a specified percentage in aggregate principal amount of the Outstanding Securities of that series may declare the principal amount (or, if the Securities of that series are Original Issue Discount Securities, such portion of the principal amount as may be specified in the terms of that series) of all of the Securities of that series to be due and payable immediately, by a notice in writing to the Company (and to the Trustee if given by Holders), and upon any such declaration such principal amount (or specified amount) shall become immediately due and payable. Notwithstanding the foregoing, if an Event of Default specified in clause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(e) or (f) of Section 5.1 occurs, the Securities of any series at the time Outstanding shall be due and payable immediately without further action or notice.</w:t>
      </w:r>
    </w:p>
    <w:p>
      <w:pPr>
        <w:spacing w:after="0" w:line="18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At any time after such a declaration of acceleration with respect to Securities of any series has been made and before a judgment or decree for payment of the money due has been obtained by the Trustee as hereinafter in this Article Five provided, the Holders of a majority in principal amount of the Outstanding Securities of that series, by written notice to the Company and the Trustee, may rescind and annul such declaration and its consequences if:</w:t>
      </w:r>
    </w:p>
    <w:p>
      <w:pPr>
        <w:spacing w:after="0" w:line="26" w:lineRule="exact"/>
        <w:rPr>
          <w:sz w:val="20"/>
          <w:szCs w:val="20"/>
          <w:color w:val="auto"/>
        </w:rPr>
      </w:pPr>
    </w:p>
    <w:p>
      <w:pPr>
        <w:ind w:left="1140" w:hanging="237"/>
        <w:spacing w:after="0"/>
        <w:tabs>
          <w:tab w:leader="none" w:pos="11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Company or, if applicable, one or more of the Guarantors has paid or deposited with the Trustee a sum sufficient to pay:</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all overdue interest on all Securities of that series,</w:t>
      </w:r>
    </w:p>
    <w:p>
      <w:pPr>
        <w:spacing w:after="0" w:line="90" w:lineRule="exact"/>
        <w:rPr>
          <w:rFonts w:ascii="Arial" w:cs="Arial" w:eastAsia="Arial" w:hAnsi="Arial"/>
          <w:sz w:val="18"/>
          <w:szCs w:val="18"/>
          <w:color w:val="auto"/>
        </w:rPr>
      </w:pPr>
    </w:p>
    <w:p>
      <w:pPr>
        <w:ind w:left="920" w:right="520" w:firstLine="421"/>
        <w:spacing w:after="0" w:line="268" w:lineRule="auto"/>
        <w:tabs>
          <w:tab w:leader="none" w:pos="159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1"/>
          <w:numId w:val="126"/>
        </w:numPr>
        <w:rPr>
          <w:rFonts w:ascii="Arial" w:cs="Arial" w:eastAsia="Arial" w:hAnsi="Arial"/>
          <w:sz w:val="15"/>
          <w:szCs w:val="15"/>
          <w:color w:val="auto"/>
        </w:rPr>
      </w:pPr>
      <w:r>
        <w:rPr>
          <w:rFonts w:ascii="Arial" w:cs="Arial" w:eastAsia="Arial" w:hAnsi="Arial"/>
          <w:sz w:val="15"/>
          <w:szCs w:val="15"/>
          <w:color w:val="auto"/>
        </w:rPr>
        <w:t>to the extent that payment of such interest is lawful, interest upon overdue interest at the rate or rates prescribed therefor in such Securities,</w:t>
      </w:r>
    </w:p>
    <w:p>
      <w:pPr>
        <w:spacing w:after="0" w:line="49" w:lineRule="exact"/>
        <w:rPr>
          <w:rFonts w:ascii="Arial" w:cs="Arial" w:eastAsia="Arial" w:hAnsi="Arial"/>
          <w:sz w:val="15"/>
          <w:szCs w:val="15"/>
          <w:color w:val="auto"/>
        </w:rPr>
      </w:pPr>
    </w:p>
    <w:p>
      <w:pPr>
        <w:ind w:left="920"/>
        <w:spacing w:after="0"/>
        <w:rPr>
          <w:rFonts w:ascii="Arial" w:cs="Arial" w:eastAsia="Arial" w:hAnsi="Arial"/>
          <w:sz w:val="15"/>
          <w:szCs w:val="15"/>
          <w:color w:val="auto"/>
        </w:rPr>
      </w:pPr>
      <w:r>
        <w:rPr>
          <w:rFonts w:ascii="Arial" w:cs="Arial" w:eastAsia="Arial" w:hAnsi="Arial"/>
          <w:sz w:val="18"/>
          <w:szCs w:val="18"/>
          <w:color w:val="auto"/>
        </w:rPr>
        <w:t>and</w:t>
      </w:r>
    </w:p>
    <w:p>
      <w:pPr>
        <w:spacing w:after="0" w:line="83" w:lineRule="exact"/>
        <w:rPr>
          <w:rFonts w:ascii="Arial" w:cs="Arial" w:eastAsia="Arial" w:hAnsi="Arial"/>
          <w:sz w:val="15"/>
          <w:szCs w:val="15"/>
          <w:color w:val="auto"/>
        </w:rPr>
      </w:pPr>
    </w:p>
    <w:p>
      <w:pPr>
        <w:ind w:left="920" w:right="560" w:firstLine="421"/>
        <w:spacing w:after="0" w:line="268" w:lineRule="auto"/>
        <w:tabs>
          <w:tab w:leader="none" w:pos="1637"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172" w:name="page173"/>
    <w:bookmarkEnd w:id="172"/>
    <w:p>
      <w:pPr>
        <w:ind w:left="460" w:right="180" w:firstLine="443"/>
        <w:spacing w:after="0" w:line="268" w:lineRule="auto"/>
        <w:tabs>
          <w:tab w:leader="none" w:pos="1147"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Events of Default with respect to Securities of that series, other than the non-payment of the principal of Securities of that series which have become due solely by such declaration of acceleration, have been cured or waived as provided in Section 5.13.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Collection of Debt and Suits for Enforcement by Trustee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covenants that if:</w:t>
      </w:r>
    </w:p>
    <w:p>
      <w:pPr>
        <w:spacing w:after="0" w:line="90" w:lineRule="exact"/>
        <w:rPr>
          <w:sz w:val="20"/>
          <w:szCs w:val="20"/>
          <w:color w:val="auto"/>
        </w:rPr>
      </w:pPr>
    </w:p>
    <w:p>
      <w:pPr>
        <w:ind w:left="460" w:right="500" w:firstLine="443"/>
        <w:spacing w:after="0" w:line="332" w:lineRule="auto"/>
        <w:tabs>
          <w:tab w:leader="none" w:pos="1137" w:val="left"/>
        </w:tabs>
        <w:numPr>
          <w:ilvl w:val="0"/>
          <w:numId w:val="128"/>
        </w:numPr>
        <w:rPr>
          <w:rFonts w:ascii="Arial" w:cs="Arial" w:eastAsia="Arial" w:hAnsi="Arial"/>
          <w:sz w:val="16"/>
          <w:szCs w:val="16"/>
          <w:color w:val="auto"/>
        </w:rPr>
      </w:pPr>
      <w:r>
        <w:rPr>
          <w:rFonts w:ascii="Arial" w:cs="Arial" w:eastAsia="Arial" w:hAnsi="Arial"/>
          <w:sz w:val="16"/>
          <w:szCs w:val="16"/>
          <w:color w:val="auto"/>
        </w:rPr>
        <w:t>default is made in the payment of any installment of interest on any Security when such interest becomes due and payable and such default continues for a period of 60 days (regardless of whether such payment is prohibited by the provisions of Article Fifteen hereof), or</w:t>
      </w:r>
    </w:p>
    <w:p>
      <w:pPr>
        <w:spacing w:after="0" w:line="4" w:lineRule="exact"/>
        <w:rPr>
          <w:rFonts w:ascii="Arial" w:cs="Arial" w:eastAsia="Arial" w:hAnsi="Arial"/>
          <w:sz w:val="16"/>
          <w:szCs w:val="16"/>
          <w:color w:val="auto"/>
        </w:rPr>
      </w:pPr>
    </w:p>
    <w:p>
      <w:pPr>
        <w:ind w:left="460" w:right="520" w:firstLine="443"/>
        <w:spacing w:after="0" w:line="268" w:lineRule="auto"/>
        <w:tabs>
          <w:tab w:leader="none" w:pos="114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on) any Security at the Maturity thereof (regardless of whether such payment is prohibited by the provisions of Article Fifteen hereof),</w:t>
      </w:r>
    </w:p>
    <w:p>
      <w:pPr>
        <w:spacing w:after="0" w:line="13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any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if applicable, the Guarantors or any other obligor upon such Securities and collect the moneys adjudged or decreed to be payable in the manner provided by law out of the property of the Company or, if applicable, the Guarantors or any other obligor upon such Securities, wherever situated.</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w:t>
      </w:r>
    </w:p>
    <w:p>
      <w:pPr>
        <w:spacing w:after="0" w:line="90"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In case of the pendency of any receivership, insolvency, liquidation, bankruptcy, reorganization, arrangement, adjustment, composition or other judicial proceeding relative to the Company or, if applicable, any Guarantor or any other obligor upon the Securities, their property or their creditors, the Trustee (irrespective of whether the principal of the Securities shall then be due and payable as therein expressed or by declaration or otherwise and irrespective of whether the Trustee shall have made any demand on the Company or, if applicable, the Guarantors for the payment of overdue principal or interest) shall be entitled and empowered, by intervention in such proceeding or otherwise,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173" w:name="page174"/>
    <w:bookmarkEnd w:id="173"/>
    <w:p>
      <w:pPr>
        <w:ind w:left="460" w:right="20" w:firstLine="443"/>
        <w:spacing w:after="0" w:line="306" w:lineRule="auto"/>
        <w:tabs>
          <w:tab w:leader="none" w:pos="1137" w:val="left"/>
        </w:tabs>
        <w:numPr>
          <w:ilvl w:val="0"/>
          <w:numId w:val="1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file and prove a claim for the whole amount of principal (and premium, if any)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Holder to make such payments to the Trustee and, if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6.7.</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No provision of this Indenture shall be deemed to authorize the Trustee to authorize or consent to or accept or adopt on behalf of any Holder any plan of reorganization, compromise, arrangement, adjustment or composition affecting the Securities or, if applicable, the Guarantee or the rights of any Holder thereof or to authorize the Trustee to vote in respect of the claim of any Holder in any such proceeding;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Trustee may, on behalf of the Holders, vote for the election of a trustee in bankruptcy or similar official and be a member of a creditors’ or other similar committee.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Trustee May Enforce Claims Without Possession of Securities</w:t>
      </w:r>
      <w:r>
        <w:rPr>
          <w:rFonts w:ascii="Arial" w:cs="Arial" w:eastAsia="Arial" w:hAnsi="Arial"/>
          <w:sz w:val="18"/>
          <w:szCs w:val="18"/>
          <w:color w:val="auto"/>
        </w:rPr>
        <w:t>.</w:t>
      </w:r>
    </w:p>
    <w:p>
      <w:pPr>
        <w:spacing w:after="0" w:line="90"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Any money collected by the Trustee pursuant to this Article Five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FIRST: To the payment of all amounts due the Trustee under Section 6.7;</w:t>
      </w:r>
    </w:p>
    <w:p>
      <w:pPr>
        <w:spacing w:after="0" w:line="90" w:lineRule="exact"/>
        <w:rPr>
          <w:sz w:val="20"/>
          <w:szCs w:val="20"/>
          <w:color w:val="auto"/>
        </w:rPr>
      </w:pPr>
    </w:p>
    <w:p>
      <w:pPr>
        <w:ind w:left="460" w:right="240" w:firstLine="438"/>
        <w:spacing w:after="0" w:line="306" w:lineRule="auto"/>
        <w:rPr>
          <w:sz w:val="20"/>
          <w:szCs w:val="20"/>
          <w:color w:val="auto"/>
        </w:rPr>
      </w:pPr>
      <w:r>
        <w:rPr>
          <w:rFonts w:ascii="Arial" w:cs="Arial" w:eastAsia="Arial" w:hAnsi="Arial"/>
          <w:sz w:val="16"/>
          <w:szCs w:val="16"/>
          <w:color w:val="auto"/>
        </w:rPr>
        <w:t>SECOND: Subject to Article Fifteen, to the payment of the amounts then due and unpaid for principal of and any premium and interest on the Securities in respect of which or for the benefit of which such money has been collected, ratably, without preference or priority of any kind, according to the amounts due and payable on such Securities for principal and any premium and interest, respectively; and</w:t>
      </w:r>
    </w:p>
    <w:p>
      <w:pPr>
        <w:spacing w:after="0" w:line="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THIRD: The balance, if any, to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(including, if applicable, the Guarantee), or for the appointment of a receiver or trustee, or for any other remedy hereunder, unless:</w:t>
      </w:r>
    </w:p>
    <w:p>
      <w:pPr>
        <w:spacing w:after="0" w:line="51" w:lineRule="exact"/>
        <w:rPr>
          <w:sz w:val="20"/>
          <w:szCs w:val="20"/>
          <w:color w:val="auto"/>
        </w:rPr>
      </w:pPr>
    </w:p>
    <w:p>
      <w:pPr>
        <w:ind w:left="1140" w:hanging="237"/>
        <w:spacing w:after="0"/>
        <w:tabs>
          <w:tab w:leader="none" w:pos="11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Securities of that series;</w:t>
      </w:r>
    </w:p>
    <w:p>
      <w:pPr>
        <w:spacing w:after="0" w:line="113"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50" w:lineRule="exact"/>
        <w:rPr>
          <w:rFonts w:ascii="Arial" w:cs="Arial" w:eastAsia="Arial" w:hAnsi="Arial"/>
          <w:sz w:val="18"/>
          <w:szCs w:val="18"/>
          <w:color w:val="auto"/>
        </w:rPr>
      </w:pPr>
    </w:p>
    <w:p>
      <w:pPr>
        <w:ind w:left="460" w:right="200" w:firstLine="443"/>
        <w:spacing w:after="0" w:line="268" w:lineRule="auto"/>
        <w:tabs>
          <w:tab w:leader="none" w:pos="113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indemnity against the costs, expenses and liabilities to be incurred in compliance with such request;</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113" w:lineRule="exact"/>
        <w:rPr>
          <w:rFonts w:ascii="Arial" w:cs="Arial" w:eastAsia="Arial" w:hAnsi="Arial"/>
          <w:sz w:val="16"/>
          <w:szCs w:val="16"/>
          <w:color w:val="auto"/>
        </w:rPr>
      </w:pPr>
    </w:p>
    <w:p>
      <w:pPr>
        <w:ind w:left="460" w:right="540" w:firstLine="443"/>
        <w:spacing w:after="0" w:line="268" w:lineRule="auto"/>
        <w:tabs>
          <w:tab w:leader="none" w:pos="113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Unconditional Right of Holders to Receive Principal, Premium and Interest</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any premium and (subject to Section 3.5 and Section 3.7) interest on such Security on the Stated Maturity or Maturities expressed in such Security (or, in the case of redemption, on the Redemption Date) and to institute suit for the enforcement of any such payment, and such rights shall not be impaired without the consent of such Holder.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Guarantors,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w:t>
      </w:r>
    </w:p>
    <w:p>
      <w:pPr>
        <w:spacing w:after="0" w:line="9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in the last paragraph of Section 3.6, no right or remedy herein conferred upon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175" w:name="page176"/>
    <w:bookmarkEnd w:id="175"/>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To fullest extent permitted by applicable law, 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Five or by law to the Trustee or to the Holders may be exercised from time to time, and as often as may be deemed expedient, by the Trustee or by the Holders, as the case may be.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Control by Holders</w:t>
      </w:r>
      <w:r>
        <w:rPr>
          <w:rFonts w:ascii="Arial" w:cs="Arial" w:eastAsia="Arial" w:hAnsi="Arial"/>
          <w:sz w:val="18"/>
          <w:szCs w:val="18"/>
          <w:color w:val="auto"/>
        </w:rPr>
        <w:t>.</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59" w:lineRule="exact"/>
        <w:rPr>
          <w:sz w:val="20"/>
          <w:szCs w:val="20"/>
          <w:color w:val="auto"/>
        </w:rPr>
      </w:pPr>
    </w:p>
    <w:p>
      <w:pPr>
        <w:ind w:left="1140" w:hanging="237"/>
        <w:spacing w:after="0"/>
        <w:tabs>
          <w:tab w:leader="none" w:pos="11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13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subject to the provisions of Section 6.1, the Trustee shall have the right to decline to follow any such direction if the Trustee in good faith shall determine that the proceeding so directed would involve the Trustee in personal liability.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w:t>
      </w:r>
    </w:p>
    <w:p>
      <w:pPr>
        <w:spacing w:after="0" w:line="51" w:lineRule="exact"/>
        <w:rPr>
          <w:sz w:val="20"/>
          <w:szCs w:val="20"/>
          <w:color w:val="auto"/>
        </w:rPr>
      </w:pPr>
    </w:p>
    <w:p>
      <w:pPr>
        <w:ind w:left="1140" w:hanging="237"/>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continuing default in the payment of the principal of or any premium or interest on any Security of such series, or</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default in respect of a covenant or provision hereof which under Article Nine cannot be modified or amended without the consent of the Holder of each Outstanding Security of such series affected.</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280" w:right="27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5.14.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other than the Trustee,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5.14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premium, if any) or interest on any Security on or after the Stated Maturity or Maturities expressed in such Security (or, in the case of redemption, on or after the Redemption Date).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Waiver of Stay or Extension Laws</w:t>
      </w:r>
      <w:r>
        <w:rPr>
          <w:rFonts w:ascii="Arial" w:cs="Arial" w:eastAsia="Arial" w:hAnsi="Arial"/>
          <w:sz w:val="18"/>
          <w:szCs w:val="18"/>
          <w:color w:val="auto"/>
        </w:rPr>
        <w:t>.</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Each of the Company and the Guarantors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each of the Company and the Guarantors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27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SIX</w:t>
      </w:r>
    </w:p>
    <w:p>
      <w:pPr>
        <w:spacing w:after="0" w:line="21" w:lineRule="exact"/>
        <w:rPr>
          <w:sz w:val="20"/>
          <w:szCs w:val="20"/>
          <w:color w:val="auto"/>
        </w:rPr>
      </w:pPr>
    </w:p>
    <w:p>
      <w:pPr>
        <w:ind w:left="5100"/>
        <w:spacing w:after="0"/>
        <w:rPr>
          <w:sz w:val="20"/>
          <w:szCs w:val="20"/>
          <w:color w:val="auto"/>
        </w:rPr>
      </w:pPr>
      <w:r>
        <w:rPr>
          <w:rFonts w:ascii="Arial" w:cs="Arial" w:eastAsia="Arial" w:hAnsi="Arial"/>
          <w:sz w:val="18"/>
          <w:szCs w:val="18"/>
          <w:b w:val="1"/>
          <w:bCs w:val="1"/>
          <w:u w:val="single" w:color="auto"/>
          <w:color w:val="auto"/>
        </w:rPr>
        <w:t>THE TRUSTEE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Certain Duties and Responsibilities</w:t>
      </w:r>
      <w:r>
        <w:rPr>
          <w:rFonts w:ascii="Arial" w:cs="Arial" w:eastAsia="Arial" w:hAnsi="Arial"/>
          <w:sz w:val="18"/>
          <w:szCs w:val="18"/>
          <w:color w:val="auto"/>
        </w:rPr>
        <w:t>.</w:t>
      </w:r>
    </w:p>
    <w:p>
      <w:pPr>
        <w:spacing w:after="0" w:line="90" w:lineRule="exact"/>
        <w:rPr>
          <w:sz w:val="20"/>
          <w:szCs w:val="20"/>
          <w:color w:val="auto"/>
        </w:rPr>
      </w:pPr>
    </w:p>
    <w:p>
      <w:pPr>
        <w:ind w:left="1160" w:hanging="239"/>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90" w:lineRule="exact"/>
        <w:rPr>
          <w:rFonts w:ascii="Arial" w:cs="Arial" w:eastAsia="Arial" w:hAnsi="Arial"/>
          <w:sz w:val="18"/>
          <w:szCs w:val="18"/>
          <w:color w:val="auto"/>
        </w:rPr>
      </w:pPr>
    </w:p>
    <w:p>
      <w:pPr>
        <w:ind w:left="920" w:right="180" w:firstLine="421"/>
        <w:spacing w:after="0" w:line="259" w:lineRule="auto"/>
        <w:tabs>
          <w:tab w:leader="none" w:pos="1549"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as are specifically set forth in this Indenture and as are provided by the Trust Indenture Act, and, except for implied covenants or obligations under the Trust Indenture Act, no implied covenants or obligations shall be read into this Indenture against the Trustee; and</w:t>
      </w:r>
    </w:p>
    <w:p>
      <w:pPr>
        <w:spacing w:after="0" w:line="59" w:lineRule="exact"/>
        <w:rPr>
          <w:rFonts w:ascii="Arial" w:cs="Arial" w:eastAsia="Arial" w:hAnsi="Arial"/>
          <w:sz w:val="18"/>
          <w:szCs w:val="18"/>
          <w:color w:val="auto"/>
        </w:rPr>
      </w:pPr>
    </w:p>
    <w:p>
      <w:pPr>
        <w:ind w:left="920" w:firstLine="421"/>
        <w:spacing w:after="0" w:line="298" w:lineRule="auto"/>
        <w:tabs>
          <w:tab w:leader="none" w:pos="1598" w:val="left"/>
        </w:tabs>
        <w:numPr>
          <w:ilvl w:val="1"/>
          <w:numId w:val="133"/>
        </w:numPr>
        <w:rPr>
          <w:rFonts w:ascii="Arial" w:cs="Arial" w:eastAsia="Arial" w:hAnsi="Arial"/>
          <w:sz w:val="16"/>
          <w:szCs w:val="16"/>
          <w:color w:val="auto"/>
        </w:rPr>
      </w:pPr>
      <w:r>
        <w:rPr>
          <w:rFonts w:ascii="Arial" w:cs="Arial" w:eastAsia="Arial" w:hAnsi="Arial"/>
          <w:sz w:val="16"/>
          <w:szCs w:val="16"/>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regardless of whether they conform to the requirements of this Indenture.</w:t>
      </w:r>
    </w:p>
    <w:p>
      <w:pPr>
        <w:spacing w:after="0" w:line="31" w:lineRule="exact"/>
        <w:rPr>
          <w:rFonts w:ascii="Arial" w:cs="Arial" w:eastAsia="Arial" w:hAnsi="Arial"/>
          <w:sz w:val="16"/>
          <w:szCs w:val="16"/>
          <w:color w:val="auto"/>
        </w:rPr>
      </w:pPr>
    </w:p>
    <w:p>
      <w:pPr>
        <w:ind w:left="460" w:right="100" w:firstLine="443"/>
        <w:spacing w:after="0" w:line="259" w:lineRule="auto"/>
        <w:tabs>
          <w:tab w:leader="none" w:pos="114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case an Event of Default has occurred and is continuing, the Trustee shall exercise such of the rights and powers vested in it by this Indenture, and use the same degree of care and skill in their exercise, as a prudent man would exercise or use under the circumstances in the conduct of his own affairs.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177" w:name="page178"/>
    <w:bookmarkEnd w:id="177"/>
    <w:p>
      <w:pPr>
        <w:ind w:left="460" w:right="80" w:firstLine="443"/>
        <w:spacing w:after="0" w:line="268" w:lineRule="auto"/>
        <w:tabs>
          <w:tab w:leader="none" w:pos="1137"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provision of this Indenture shall be construed to relieve the Trustee from liability for its own negligent action, its own negligent failure to act, or its own willful misconduct, except that</w:t>
      </w:r>
    </w:p>
    <w:p>
      <w:pPr>
        <w:spacing w:after="0" w:line="50" w:lineRule="exact"/>
        <w:rPr>
          <w:rFonts w:ascii="Arial" w:cs="Arial" w:eastAsia="Arial" w:hAnsi="Arial"/>
          <w:sz w:val="18"/>
          <w:szCs w:val="18"/>
          <w:color w:val="auto"/>
        </w:rPr>
      </w:pPr>
    </w:p>
    <w:p>
      <w:pPr>
        <w:ind w:left="1560" w:hanging="219"/>
        <w:spacing w:after="0"/>
        <w:tabs>
          <w:tab w:leader="none" w:pos="15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this Subsection shall not be construed to limit the effect of Subsection (a) of this Section;</w:t>
      </w:r>
    </w:p>
    <w:p>
      <w:pPr>
        <w:spacing w:after="0" w:line="90" w:lineRule="exact"/>
        <w:rPr>
          <w:rFonts w:ascii="Arial" w:cs="Arial" w:eastAsia="Arial" w:hAnsi="Arial"/>
          <w:sz w:val="18"/>
          <w:szCs w:val="18"/>
          <w:color w:val="auto"/>
        </w:rPr>
      </w:pPr>
    </w:p>
    <w:p>
      <w:pPr>
        <w:ind w:left="920" w:right="400" w:firstLine="421"/>
        <w:spacing w:after="0" w:line="268" w:lineRule="auto"/>
        <w:tabs>
          <w:tab w:leader="none" w:pos="159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50" w:lineRule="exact"/>
        <w:rPr>
          <w:rFonts w:ascii="Arial" w:cs="Arial" w:eastAsia="Arial" w:hAnsi="Arial"/>
          <w:sz w:val="18"/>
          <w:szCs w:val="18"/>
          <w:color w:val="auto"/>
        </w:rPr>
      </w:pPr>
    </w:p>
    <w:p>
      <w:pPr>
        <w:jc w:val="both"/>
        <w:ind w:left="920" w:right="20" w:firstLine="421"/>
        <w:spacing w:after="0" w:line="256" w:lineRule="auto"/>
        <w:tabs>
          <w:tab w:leader="none" w:pos="164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a majority in principal amount of the Outstanding Securities of any series, given pursuant to Section 5.12, relating to the time, method and place of conducting any proceeding for any remedy available to the Trustee, or exercising any trust or power conferred upon the Trustee, under this Indenture with respect to the Securities of such series; and</w:t>
      </w:r>
    </w:p>
    <w:p>
      <w:pPr>
        <w:spacing w:after="0" w:line="62" w:lineRule="exact"/>
        <w:rPr>
          <w:rFonts w:ascii="Arial" w:cs="Arial" w:eastAsia="Arial" w:hAnsi="Arial"/>
          <w:sz w:val="18"/>
          <w:szCs w:val="18"/>
          <w:color w:val="auto"/>
        </w:rPr>
      </w:pPr>
    </w:p>
    <w:p>
      <w:pPr>
        <w:jc w:val="both"/>
        <w:ind w:left="920" w:right="400" w:firstLine="421"/>
        <w:spacing w:after="0" w:line="306" w:lineRule="auto"/>
        <w:tabs>
          <w:tab w:leader="none" w:pos="1637" w:val="left"/>
        </w:tabs>
        <w:numPr>
          <w:ilvl w:val="1"/>
          <w:numId w:val="134"/>
        </w:numPr>
        <w:rPr>
          <w:rFonts w:ascii="Arial" w:cs="Arial" w:eastAsia="Arial" w:hAnsi="Arial"/>
          <w:sz w:val="16"/>
          <w:szCs w:val="16"/>
          <w:color w:val="auto"/>
        </w:rPr>
      </w:pPr>
      <w:r>
        <w:rPr>
          <w:rFonts w:ascii="Arial" w:cs="Arial" w:eastAsia="Arial" w:hAnsi="Arial"/>
          <w:sz w:val="16"/>
          <w:szCs w:val="16"/>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25" w:lineRule="exact"/>
        <w:rPr>
          <w:rFonts w:ascii="Arial" w:cs="Arial" w:eastAsia="Arial" w:hAnsi="Arial"/>
          <w:sz w:val="16"/>
          <w:szCs w:val="16"/>
          <w:color w:val="auto"/>
        </w:rPr>
      </w:pPr>
    </w:p>
    <w:p>
      <w:pPr>
        <w:ind w:left="460" w:right="480" w:firstLine="443"/>
        <w:spacing w:after="0" w:line="268" w:lineRule="auto"/>
        <w:tabs>
          <w:tab w:leader="none" w:pos="114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Regardless of whether therein expressly so provided, every provision of this Indenture relating to the conduct or affecting the liability of or affording protection to the Trustee shall be subject to the provisions of this Section.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Notice of Defaults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Within 90 days after the occurrence of any Default hereunder with respect to the Securities of any series, the Trustee shall transmit by mail to all Holders of Securities of such series, as their names and addresses appear in the Security Register, notice of such Default hereunder known to the Trustee, unless such Default shall have been cured or waived;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except in the case of a Default in the payment of the principal of or any premium or interest on any Security of such series or in the payment of any sinking fund installment with respect to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Holders of Securities of such series;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in the case of any Default of the character specified in Section 5.1(c) with respect to Securities of such series, no such notice to Holders shall be given until at least 90 days after the occurrence thereof and that in the case of any Default of the character specified in Section 5.1(d) with respect to Securities of such series, no such notice to Holders shall be given until at least 180 days after the occurrence thereof.</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provisions of Section 6.1:</w:t>
      </w:r>
    </w:p>
    <w:p>
      <w:pPr>
        <w:spacing w:after="0" w:line="90" w:lineRule="exact"/>
        <w:rPr>
          <w:sz w:val="20"/>
          <w:szCs w:val="20"/>
          <w:color w:val="auto"/>
        </w:rPr>
      </w:pPr>
    </w:p>
    <w:p>
      <w:pPr>
        <w:ind w:left="460" w:right="460" w:firstLine="443"/>
        <w:spacing w:after="0" w:line="268" w:lineRule="auto"/>
        <w:tabs>
          <w:tab w:leader="none" w:pos="113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Trustee may conclusively rely and shall be fully protected in acting or refraining from acting upon any resolution, certificate, statement, instrument, opinion, report,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178" w:name="page179"/>
    <w:bookmarkEnd w:id="178"/>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request, direction, consent, order, bond, debenture, note, other evidence of indebtedness or other paper or document believed by it to be genuine and to have been signed or presented by the proper party or parties;</w:t>
      </w:r>
    </w:p>
    <w:p>
      <w:pPr>
        <w:spacing w:after="0" w:line="51" w:lineRule="exact"/>
        <w:rPr>
          <w:sz w:val="20"/>
          <w:szCs w:val="20"/>
          <w:color w:val="auto"/>
        </w:rPr>
      </w:pPr>
    </w:p>
    <w:p>
      <w:pPr>
        <w:ind w:right="240" w:firstLine="443"/>
        <w:spacing w:after="0" w:line="306" w:lineRule="auto"/>
        <w:tabs>
          <w:tab w:leader="none" w:pos="68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any request or direction of the Company or a Guarantor mentioned herein shall be sufficiently evidenced by a Company Request or Company Order (other than delivery of any Security to the Trustee for authentication and delivery pursuant to Section 3.3, which shall be sufficiently evidenced as provided therein) and any resolution of the Board of Directors may be sufficiently evidenced by a Board Resolution;</w:t>
      </w:r>
    </w:p>
    <w:p>
      <w:pPr>
        <w:spacing w:after="0" w:line="25" w:lineRule="exact"/>
        <w:rPr>
          <w:rFonts w:ascii="Arial" w:cs="Arial" w:eastAsia="Arial" w:hAnsi="Arial"/>
          <w:sz w:val="16"/>
          <w:szCs w:val="16"/>
          <w:color w:val="auto"/>
        </w:rPr>
      </w:pPr>
    </w:p>
    <w:p>
      <w:pPr>
        <w:jc w:val="both"/>
        <w:ind w:right="20" w:firstLine="443"/>
        <w:spacing w:after="0" w:line="259" w:lineRule="auto"/>
        <w:tabs>
          <w:tab w:leader="none" w:pos="67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shall be entitled to receive and may, in the absence of bad faith on its part, rely upon an Officer’s Certificate;</w:t>
      </w:r>
    </w:p>
    <w:p>
      <w:pPr>
        <w:spacing w:after="0" w:line="59" w:lineRule="exact"/>
        <w:rPr>
          <w:rFonts w:ascii="Arial" w:cs="Arial" w:eastAsia="Arial" w:hAnsi="Arial"/>
          <w:sz w:val="18"/>
          <w:szCs w:val="18"/>
          <w:color w:val="auto"/>
        </w:rPr>
      </w:pPr>
    </w:p>
    <w:p>
      <w:pPr>
        <w:ind w:right="420" w:firstLine="443"/>
        <w:spacing w:after="0" w:line="268" w:lineRule="auto"/>
        <w:tabs>
          <w:tab w:leader="none" w:pos="68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50" w:lineRule="exact"/>
        <w:rPr>
          <w:rFonts w:ascii="Arial" w:cs="Arial" w:eastAsia="Arial" w:hAnsi="Arial"/>
          <w:sz w:val="18"/>
          <w:szCs w:val="18"/>
          <w:color w:val="auto"/>
        </w:rPr>
      </w:pPr>
    </w:p>
    <w:p>
      <w:pPr>
        <w:jc w:val="both"/>
        <w:ind w:right="200" w:firstLine="443"/>
        <w:spacing w:after="0" w:line="259" w:lineRule="auto"/>
        <w:tabs>
          <w:tab w:leader="none" w:pos="67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59" w:lineRule="exact"/>
        <w:rPr>
          <w:rFonts w:ascii="Arial" w:cs="Arial" w:eastAsia="Arial" w:hAnsi="Arial"/>
          <w:sz w:val="18"/>
          <w:szCs w:val="18"/>
          <w:color w:val="auto"/>
        </w:rPr>
      </w:pPr>
    </w:p>
    <w:p>
      <w:pPr>
        <w:ind w:right="20" w:firstLine="443"/>
        <w:spacing w:after="0" w:line="323" w:lineRule="auto"/>
        <w:tabs>
          <w:tab w:leader="none" w:pos="657" w:val="left"/>
        </w:tabs>
        <w:numPr>
          <w:ilvl w:val="0"/>
          <w:numId w:val="136"/>
        </w:numPr>
        <w:rPr>
          <w:rFonts w:ascii="Arial" w:cs="Arial" w:eastAsia="Arial" w:hAnsi="Arial"/>
          <w:sz w:val="15"/>
          <w:szCs w:val="15"/>
          <w:color w:val="auto"/>
        </w:rPr>
      </w:pPr>
      <w:r>
        <w:rPr>
          <w:rFonts w:ascii="Arial" w:cs="Arial" w:eastAsia="Arial" w:hAnsi="Arial"/>
          <w:sz w:val="15"/>
          <w:szCs w:val="15"/>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w:t>
      </w:r>
    </w:p>
    <w:p>
      <w:pPr>
        <w:spacing w:after="0" w:line="16" w:lineRule="exact"/>
        <w:rPr>
          <w:rFonts w:ascii="Arial" w:cs="Arial" w:eastAsia="Arial" w:hAnsi="Arial"/>
          <w:sz w:val="15"/>
          <w:szCs w:val="15"/>
          <w:color w:val="auto"/>
        </w:rPr>
      </w:pPr>
    </w:p>
    <w:p>
      <w:pPr>
        <w:ind w:right="20" w:firstLine="443"/>
        <w:spacing w:after="0" w:line="306" w:lineRule="auto"/>
        <w:tabs>
          <w:tab w:leader="none" w:pos="68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and shall not be responsible for the supervision of officers and employees of such agents or attorneys;</w:t>
      </w:r>
    </w:p>
    <w:p>
      <w:pPr>
        <w:spacing w:after="0" w:line="25" w:lineRule="exact"/>
        <w:rPr>
          <w:rFonts w:ascii="Arial" w:cs="Arial" w:eastAsia="Arial" w:hAnsi="Arial"/>
          <w:sz w:val="16"/>
          <w:szCs w:val="16"/>
          <w:color w:val="auto"/>
        </w:rPr>
      </w:pPr>
    </w:p>
    <w:p>
      <w:pPr>
        <w:jc w:val="both"/>
        <w:ind w:right="40" w:firstLine="443"/>
        <w:spacing w:after="0" w:line="256" w:lineRule="auto"/>
        <w:tabs>
          <w:tab w:leader="none" w:pos="68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Trustee may request that the Company and, if applicable, the Guarantors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 and</w:t>
      </w:r>
    </w:p>
    <w:p>
      <w:pPr>
        <w:spacing w:after="0" w:line="62" w:lineRule="exact"/>
        <w:rPr>
          <w:rFonts w:ascii="Arial" w:cs="Arial" w:eastAsia="Arial" w:hAnsi="Arial"/>
          <w:sz w:val="18"/>
          <w:szCs w:val="18"/>
          <w:color w:val="auto"/>
        </w:rPr>
      </w:pPr>
    </w:p>
    <w:p>
      <w:pPr>
        <w:ind w:firstLine="443"/>
        <w:spacing w:after="0" w:line="268" w:lineRule="auto"/>
        <w:tabs>
          <w:tab w:leader="none" w:pos="64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Trustee shall be entitled to the rights and protections afforded to the Trustee pursuant to this Article Six in acting as a Paying Agent or Security Registrar hereunder.</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700" w:top="280" w:right="2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6.4. </w:t>
      </w:r>
      <w:r>
        <w:rPr>
          <w:rFonts w:ascii="Arial" w:cs="Arial" w:eastAsia="Arial" w:hAnsi="Arial"/>
          <w:sz w:val="18"/>
          <w:szCs w:val="18"/>
          <w:u w:val="single" w:color="auto"/>
          <w:color w:val="auto"/>
        </w:rPr>
        <w:t>Not Responsible for Recitals or Issuance of Securities</w:t>
      </w:r>
      <w:r>
        <w:rPr>
          <w:rFonts w:ascii="Arial" w:cs="Arial" w:eastAsia="Arial" w:hAnsi="Arial"/>
          <w:sz w:val="18"/>
          <w:szCs w:val="18"/>
          <w:color w:val="auto"/>
        </w:rPr>
        <w:t>.</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recitals contained herein and in the Securities, except the Trustee’s certificates of authentication, shall be taken as the statements of the Company or, if applicable, the Guarantors, and the Trustee or any Authenticating Agent assumes no responsibility for their correctness. Neither the Trustee nor any Authenticating Agent makes any representations as to the validity or sufficiency of this Indenture or of the Securities. The Trustee or any Authenticating Agent shall not be accountable for the use or application by the Company of Securities or the proceeds thereof.</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May Hold Securities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Trustee, any Authenticating Agent, any Paying Agent, any Security Registrar or any other agent of the Company or, if applicable, any Guarantor, in its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individual or any other capacity, may become the owner or pledgee of Securities and, subject to Sections 310(b) and 311 of the Trust Indenture Act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6.8, Section 6.9 and Section 6.13, may otherwise deal with the Company or, if applicable, the Guarantors with the same rights it would have if it were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Trustee, Authenticating Agent, Paying Agent, Security Registrar or such other agent.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Money Held in Trust</w:t>
      </w:r>
      <w:r>
        <w:rPr>
          <w:rFonts w:ascii="Arial" w:cs="Arial" w:eastAsia="Arial" w:hAnsi="Arial"/>
          <w:sz w:val="18"/>
          <w:szCs w:val="18"/>
          <w:color w:val="auto"/>
        </w:rPr>
        <w:t>.</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in writing with the Company or, if applicable, one or more of the Guarantors.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agrees:</w:t>
      </w:r>
    </w:p>
    <w:p>
      <w:pPr>
        <w:spacing w:after="0" w:line="90" w:lineRule="exact"/>
        <w:rPr>
          <w:sz w:val="20"/>
          <w:szCs w:val="20"/>
          <w:color w:val="auto"/>
        </w:rPr>
      </w:pPr>
    </w:p>
    <w:p>
      <w:pPr>
        <w:ind w:left="460" w:right="480" w:firstLine="443"/>
        <w:spacing w:after="0" w:line="268" w:lineRule="auto"/>
        <w:tabs>
          <w:tab w:leader="none" w:pos="113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50" w:lineRule="exact"/>
        <w:rPr>
          <w:rFonts w:ascii="Arial" w:cs="Arial" w:eastAsia="Arial" w:hAnsi="Arial"/>
          <w:sz w:val="18"/>
          <w:szCs w:val="18"/>
          <w:color w:val="auto"/>
        </w:rPr>
      </w:pPr>
    </w:p>
    <w:p>
      <w:pPr>
        <w:ind w:left="460" w:right="60" w:firstLine="443"/>
        <w:spacing w:after="0" w:line="335" w:lineRule="auto"/>
        <w:tabs>
          <w:tab w:leader="none" w:pos="1147" w:val="left"/>
        </w:tabs>
        <w:numPr>
          <w:ilvl w:val="0"/>
          <w:numId w:val="137"/>
        </w:numPr>
        <w:rPr>
          <w:rFonts w:ascii="Arial" w:cs="Arial" w:eastAsia="Arial" w:hAnsi="Arial"/>
          <w:sz w:val="15"/>
          <w:szCs w:val="15"/>
          <w:color w:val="auto"/>
        </w:rPr>
      </w:pPr>
      <w:r>
        <w:rPr>
          <w:rFonts w:ascii="Arial" w:cs="Arial" w:eastAsia="Arial" w:hAnsi="Arial"/>
          <w:sz w:val="15"/>
          <w:szCs w:val="15"/>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7" w:lineRule="exact"/>
        <w:rPr>
          <w:rFonts w:ascii="Arial" w:cs="Arial" w:eastAsia="Arial" w:hAnsi="Arial"/>
          <w:sz w:val="15"/>
          <w:szCs w:val="15"/>
          <w:color w:val="auto"/>
        </w:rPr>
      </w:pPr>
    </w:p>
    <w:p>
      <w:pPr>
        <w:ind w:left="460" w:firstLine="443"/>
        <w:spacing w:after="0" w:line="256" w:lineRule="auto"/>
        <w:tabs>
          <w:tab w:leader="none" w:pos="113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indemnify each of the Trustee and its officers, directors, agents and employees for, and to hold it harmless against, any loss, liability or expense incurred without negligence or willful misconduct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security for the performance of the obligations of the Company under this Section the Trustee shall have a lien prior to the Securities upon all property and funds held or collected by the Trustee as such, except funds held in trust for the payment of principal of (and premium, if any) or interest on particular Securities.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180" w:name="page181"/>
    <w:bookmarkEnd w:id="180"/>
    <w:p>
      <w:pPr>
        <w:jc w:val="both"/>
        <w:ind w:right="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Without limiting any rights available to the Trustee under applicable law, when the Trustee incurs expenses or renders services in connection with an Event of Default specified in Section 5.1(e) or Section 5.1(f), the expenses (including the reasonable charges and expenses of its counsel) and the compensation for the services of the Trustee are intended to constitute expenses of administration under any applicable Bankruptcy Law.</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of this Section 6.7 shall survive the satisfaction and discharge of this Indenture and the defeasance of the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Disqualification; Conflicting Interests</w:t>
      </w:r>
      <w:r>
        <w:rPr>
          <w:rFonts w:ascii="Arial" w:cs="Arial" w:eastAsia="Arial" w:hAnsi="Arial"/>
          <w:sz w:val="18"/>
          <w:szCs w:val="18"/>
          <w:color w:val="auto"/>
        </w:rPr>
        <w:t>.</w:t>
      </w:r>
    </w:p>
    <w:p>
      <w:pPr>
        <w:spacing w:after="0" w:line="90"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Reference is made to Section 310(b) of the Trust Indenture Act. There shall be excluded from the operation of Section 310(b)(1) of the Trust Indenture Act this Indenture with respect to the Securities of more than one series.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Corporate Trustee Required; Eligibility</w:t>
      </w:r>
      <w:r>
        <w:rPr>
          <w:rFonts w:ascii="Arial" w:cs="Arial" w:eastAsia="Arial" w:hAnsi="Arial"/>
          <w:sz w:val="18"/>
          <w:szCs w:val="18"/>
          <w:color w:val="auto"/>
        </w:rPr>
        <w:t>.</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There shall at all times be a Trustee hereunder which shall be a corporation organized and doing business under the laws of the United States of America, any State thereof or the District of Columbia, authorized under such laws to exercise corporate trust powers, having a combined capital and surplus required by the Trust Indenture Act, subject to supervision or examination by Federal or State authority. If such corporation publishes reports of condition at least annually, pursuant to law or to the requirements of said supervising or examining authority, then for the purposes of this Section, the combined capital and surplus of such corporation shall be deemed to be its combined capital and surplus as set forth in its most recent report of condition so published. The Trustee shall not be an obligor upon the Securities or an Affiliate thereof. If at any time the Trustee shall cease to be eligible in accordance with the provisions of this Section, it shall resign immediately in the manner and with the effect hereinafter specified in this Article Six.</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w:t>
      </w:r>
    </w:p>
    <w:p>
      <w:pPr>
        <w:spacing w:after="0" w:line="90" w:lineRule="exact"/>
        <w:rPr>
          <w:sz w:val="20"/>
          <w:szCs w:val="20"/>
          <w:color w:val="auto"/>
        </w:rPr>
      </w:pPr>
    </w:p>
    <w:p>
      <w:pPr>
        <w:ind w:left="460" w:right="460" w:firstLine="443"/>
        <w:spacing w:after="0" w:line="332" w:lineRule="auto"/>
        <w:tabs>
          <w:tab w:leader="none" w:pos="113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4" w:lineRule="exact"/>
        <w:rPr>
          <w:rFonts w:ascii="Arial" w:cs="Arial" w:eastAsia="Arial" w:hAnsi="Arial"/>
          <w:sz w:val="16"/>
          <w:szCs w:val="16"/>
          <w:color w:val="auto"/>
        </w:rPr>
      </w:pPr>
    </w:p>
    <w:p>
      <w:pPr>
        <w:jc w:val="both"/>
        <w:ind w:left="460" w:right="20" w:firstLine="443"/>
        <w:spacing w:after="0" w:line="256" w:lineRule="auto"/>
        <w:tabs>
          <w:tab w:leader="none" w:pos="114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62" w:lineRule="exact"/>
        <w:rPr>
          <w:rFonts w:ascii="Arial" w:cs="Arial" w:eastAsia="Arial" w:hAnsi="Arial"/>
          <w:sz w:val="18"/>
          <w:szCs w:val="18"/>
          <w:color w:val="auto"/>
        </w:rPr>
      </w:pPr>
    </w:p>
    <w:p>
      <w:pPr>
        <w:ind w:left="460" w:firstLine="443"/>
        <w:spacing w:after="0" w:line="268" w:lineRule="auto"/>
        <w:tabs>
          <w:tab w:leader="none" w:pos="113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90" w:lineRule="exact"/>
        <w:rPr>
          <w:rFonts w:ascii="Arial" w:cs="Arial" w:eastAsia="Arial" w:hAnsi="Arial"/>
          <w:sz w:val="18"/>
          <w:szCs w:val="18"/>
          <w:color w:val="auto"/>
        </w:rPr>
      </w:pPr>
    </w:p>
    <w:p>
      <w:pPr>
        <w:ind w:left="920" w:right="380" w:firstLine="421"/>
        <w:spacing w:after="0" w:line="268" w:lineRule="auto"/>
        <w:tabs>
          <w:tab w:leader="none" w:pos="1549"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Trustee shall fail to comply with Section 310(b) of the Trust Indenture Act after written request therefor by the Company or by any Holder who has been a bona fide Holder of a Security for at least six months,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80" w:right="259" w:bottom="1440" w:gutter="0" w:footer="0" w:header="0"/>
        </w:sectPr>
      </w:pPr>
    </w:p>
    <w:bookmarkStart w:id="181" w:name="page182"/>
    <w:bookmarkEnd w:id="181"/>
    <w:p>
      <w:pPr>
        <w:ind w:left="920" w:right="60" w:firstLine="421"/>
        <w:spacing w:after="0" w:line="268" w:lineRule="auto"/>
        <w:tabs>
          <w:tab w:leader="none" w:pos="1598" w:val="left"/>
        </w:tabs>
        <w:numPr>
          <w:ilvl w:val="2"/>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Trustee shall cease to be eligible under Section 6.9 and shall fail to resign after written request therefor by the Company or by any such Holder, or</w:t>
      </w:r>
    </w:p>
    <w:p>
      <w:pPr>
        <w:spacing w:after="0" w:line="50" w:lineRule="exact"/>
        <w:rPr>
          <w:rFonts w:ascii="Arial" w:cs="Arial" w:eastAsia="Arial" w:hAnsi="Arial"/>
          <w:sz w:val="18"/>
          <w:szCs w:val="18"/>
          <w:color w:val="auto"/>
        </w:rPr>
      </w:pPr>
    </w:p>
    <w:p>
      <w:pPr>
        <w:ind w:left="920" w:right="40" w:firstLine="421"/>
        <w:spacing w:after="0" w:line="303" w:lineRule="auto"/>
        <w:tabs>
          <w:tab w:leader="none" w:pos="1647" w:val="left"/>
        </w:tabs>
        <w:numPr>
          <w:ilvl w:val="2"/>
          <w:numId w:val="139"/>
        </w:numPr>
        <w:rPr>
          <w:rFonts w:ascii="Arial" w:cs="Arial" w:eastAsia="Arial" w:hAnsi="Arial"/>
          <w:sz w:val="15"/>
          <w:szCs w:val="15"/>
          <w:color w:val="auto"/>
        </w:rPr>
      </w:pPr>
      <w:r>
        <w:rPr>
          <w:rFonts w:ascii="Arial" w:cs="Arial" w:eastAsia="Arial" w:hAnsi="Arial"/>
          <w:sz w:val="15"/>
          <w:szCs w:val="15"/>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(A) the Company by a Board Resolution may remove the Trustee with respect to all Securities, or</w:t>
      </w:r>
    </w:p>
    <w:p>
      <w:pPr>
        <w:spacing w:after="0" w:line="1" w:lineRule="exact"/>
        <w:rPr>
          <w:rFonts w:ascii="Arial" w:cs="Arial" w:eastAsia="Arial" w:hAnsi="Arial"/>
          <w:sz w:val="15"/>
          <w:szCs w:val="15"/>
          <w:color w:val="auto"/>
        </w:rPr>
      </w:pPr>
    </w:p>
    <w:p>
      <w:pPr>
        <w:ind w:left="920" w:right="20" w:firstLine="1"/>
        <w:spacing w:after="0" w:line="255" w:lineRule="auto"/>
        <w:tabs>
          <w:tab w:leader="none" w:pos="119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63" w:lineRule="exact"/>
        <w:rPr>
          <w:rFonts w:ascii="Arial" w:cs="Arial" w:eastAsia="Arial" w:hAnsi="Arial"/>
          <w:sz w:val="18"/>
          <w:szCs w:val="18"/>
          <w:color w:val="auto"/>
        </w:rPr>
      </w:pPr>
    </w:p>
    <w:p>
      <w:pPr>
        <w:ind w:left="460" w:firstLine="443"/>
        <w:spacing w:after="0" w:line="286" w:lineRule="auto"/>
        <w:tabs>
          <w:tab w:leader="none" w:pos="1137"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43" w:lineRule="exact"/>
        <w:rPr>
          <w:rFonts w:ascii="Arial" w:cs="Arial" w:eastAsia="Arial" w:hAnsi="Arial"/>
          <w:sz w:val="16"/>
          <w:szCs w:val="16"/>
          <w:color w:val="auto"/>
        </w:rPr>
      </w:pPr>
    </w:p>
    <w:p>
      <w:pPr>
        <w:ind w:left="460" w:right="160" w:firstLine="443"/>
        <w:spacing w:after="0" w:line="256" w:lineRule="auto"/>
        <w:tabs>
          <w:tab w:leader="none" w:pos="111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1.7. Each notice shall include the name of the successor Trustee with respect to the Securities of such series and the address of its Corporate Trust Office.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90" w:lineRule="auto"/>
        <w:tabs>
          <w:tab w:leader="none" w:pos="113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all Securities, every such successor Trustee so appointed shall execute, acknowledge and deliver to the Company, the Guarantors (if applicable)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if applicable, any Guarantor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182" w:name="page183"/>
    <w:bookmarkEnd w:id="182"/>
    <w:p>
      <w:pPr>
        <w:ind w:left="460" w:firstLine="443"/>
        <w:spacing w:after="0" w:line="285" w:lineRule="auto"/>
        <w:tabs>
          <w:tab w:leader="none" w:pos="1147" w:val="left"/>
        </w:tabs>
        <w:numPr>
          <w:ilvl w:val="0"/>
          <w:numId w:val="1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case of the appointment hereunder of a successor Trustee with respect to the Securities of one or more (but not all) series, the Company, the Guarantors (if applicable),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any Guarantor (if applicable)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42" w:lineRule="exact"/>
        <w:rPr>
          <w:rFonts w:ascii="Arial" w:cs="Arial" w:eastAsia="Arial" w:hAnsi="Arial"/>
          <w:sz w:val="16"/>
          <w:szCs w:val="16"/>
          <w:color w:val="auto"/>
        </w:rPr>
      </w:pPr>
    </w:p>
    <w:p>
      <w:pPr>
        <w:jc w:val="both"/>
        <w:ind w:left="460" w:right="80" w:firstLine="443"/>
        <w:spacing w:after="0" w:line="259" w:lineRule="auto"/>
        <w:tabs>
          <w:tab w:leader="none" w:pos="113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Upon request of any such successor Trustee, the Company and, if applicable, the Guarantors shall execute any and all instruments for more fully and certainly vesting in and confirming to such successor Trustee all such rights, powers and trusts referred to in paragraph (a) or (b) of this Section, as the case may be.</w:t>
      </w:r>
    </w:p>
    <w:p>
      <w:pPr>
        <w:spacing w:after="0" w:line="59"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 and the Trust Indenture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Merger, Conversion, Consolidation or Succession to Business</w:t>
      </w:r>
      <w:r>
        <w:rPr>
          <w:rFonts w:ascii="Arial" w:cs="Arial" w:eastAsia="Arial" w:hAnsi="Arial"/>
          <w:sz w:val="18"/>
          <w:szCs w:val="18"/>
          <w:color w:val="auto"/>
        </w:rPr>
        <w:t>.</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Six,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Preferential Collection of Claims Against Company</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Reference is made to Section 311 of the Trust Indenture Act. For purposes of Section 311(b) of the Trust Indenture Act,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183" w:name="page184"/>
    <w:bookmarkEnd w:id="183"/>
    <w:p>
      <w:pPr>
        <w:ind w:left="460" w:right="160" w:firstLine="443"/>
        <w:spacing w:after="0" w:line="332" w:lineRule="auto"/>
        <w:tabs>
          <w:tab w:leader="none" w:pos="1137" w:val="left"/>
        </w:tabs>
        <w:numPr>
          <w:ilvl w:val="0"/>
          <w:numId w:val="1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 “cash transaction” means any transaction in which full payment for goods or securities sold is made within seven days after delivery of the goods or securities in currency or in checks or other orders drawn upon banks or bankers and payable upon demand;</w:t>
      </w:r>
    </w:p>
    <w:p>
      <w:pPr>
        <w:spacing w:after="0" w:line="4" w:lineRule="exact"/>
        <w:rPr>
          <w:rFonts w:ascii="Arial" w:cs="Arial" w:eastAsia="Arial" w:hAnsi="Arial"/>
          <w:sz w:val="16"/>
          <w:szCs w:val="16"/>
          <w:color w:val="auto"/>
        </w:rPr>
      </w:pPr>
    </w:p>
    <w:p>
      <w:pPr>
        <w:ind w:left="460" w:right="60" w:firstLine="443"/>
        <w:spacing w:after="0" w:line="291" w:lineRule="auto"/>
        <w:tabs>
          <w:tab w:leader="none" w:pos="114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term “self-liquidating paper” means any draft, bill of exchange, acceptance or obligation which is made, drawn, negotiated or incurred by the Company or, if applicable, any Guarantor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provided the security is received by the Trustee simultaneously with the creation of the creditor relationship with the Company or, if applicable, such Guarantor arising from the making, drawing, negotiating or incurring of the draft, bill of exchange, acceptance or obligation.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Appointment of Authenticating Agent</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Trustee may appoint an Authenticating Agent or Agents with respect to one or more series of Securities which shall be authorized to act on behalf of the Trustee to authenticate Securities of such series issued upon exchange, registration of transfer or partial redemption thereof or pursuant to Section 3.6,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$100,000,000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2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all or substantially all of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 Authenticating Agent may resign at any time by giving written notice thereof to the Trustee and to the Company and, if applicable, the Guarantors. The Trustee may at any time terminate the agency of an Authenticating Agent by giving written notice thereof to such Authenticating Agent and to the Company and, if applicable, the Guarantors.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if applicable, the Guarantors and shall mail written notice of such</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80" w:right="259" w:bottom="1440" w:gutter="0" w:footer="0" w:header="0"/>
        </w:sectPr>
      </w:pPr>
    </w:p>
    <w:bookmarkStart w:id="184" w:name="page185"/>
    <w:bookmarkEnd w:id="184"/>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appointment by first-class mail, postage prepaid, to all Holders of Securities of the series with respect to which such Authenticating Agent will serve, as their names and addresses appear in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4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Except with respect to an Authenticating Agent appointed at the request of the Company or, if applicable, the Guarantors, the Trustee agrees to pay to each Authenticating Agent from time to time reasonable compensation for its services under this Section 6.14, and the Trustee shall be entitled to be reimbursed by the Company or, if applicable, the Guarantors for such payments, subject to the provisions of Section 6.7.</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If an appointment with respect to one or more series is made pursuant to this Section 6.14, the Securities of such series may have endorsed thereon, in addition to the Trustee’s certificate of authentication, an alternate certificate of authentication in the following form:</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520" w:type="dxa"/>
            <w:vAlign w:val="bottom"/>
            <w:gridSpan w:val="7"/>
          </w:tcPr>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tc>
        <w:tc>
          <w:tcPr>
            <w:tcW w:w="900" w:type="dxa"/>
            <w:vAlign w:val="bottom"/>
          </w:tcPr>
          <w:p>
            <w:pPr>
              <w:spacing w:after="0"/>
              <w:rPr>
                <w:sz w:val="19"/>
                <w:szCs w:val="19"/>
                <w:color w:val="auto"/>
              </w:rPr>
            </w:pPr>
          </w:p>
        </w:tc>
      </w:tr>
      <w:tr>
        <w:trPr>
          <w:trHeight w:val="380"/>
        </w:trPr>
        <w:tc>
          <w:tcPr>
            <w:tcW w:w="7240" w:type="dxa"/>
            <w:vAlign w:val="bottom"/>
            <w:gridSpan w:val="5"/>
          </w:tcPr>
          <w:p>
            <w:pPr>
              <w:ind w:left="686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00" w:type="dxa"/>
            <w:vAlign w:val="bottom"/>
          </w:tcPr>
          <w:p>
            <w:pPr>
              <w:jc w:val="right"/>
              <w:ind w:right="712"/>
              <w:spacing w:after="0"/>
              <w:rPr>
                <w:sz w:val="20"/>
                <w:szCs w:val="20"/>
                <w:color w:val="auto"/>
              </w:rPr>
            </w:pPr>
            <w:r>
              <w:rPr>
                <w:rFonts w:ascii="Arial" w:cs="Arial" w:eastAsia="Arial" w:hAnsi="Arial"/>
                <w:sz w:val="18"/>
                <w:szCs w:val="18"/>
                <w:b w:val="1"/>
                <w:bCs w:val="1"/>
                <w:color w:val="auto"/>
                <w:w w:val="72"/>
              </w:rPr>
              <w:t>]</w:t>
            </w:r>
            <w:r>
              <w:rPr>
                <w:rFonts w:ascii="Arial" w:cs="Arial" w:eastAsia="Arial" w:hAnsi="Arial"/>
                <w:sz w:val="18"/>
                <w:szCs w:val="18"/>
                <w:color w:val="auto"/>
                <w:w w:val="72"/>
              </w:rPr>
              <w:t>,</w:t>
            </w:r>
          </w:p>
        </w:tc>
      </w:tr>
      <w:tr>
        <w:trPr>
          <w:trHeight w:val="235"/>
        </w:trPr>
        <w:tc>
          <w:tcPr>
            <w:tcW w:w="8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As Trustee</w:t>
            </w:r>
          </w:p>
        </w:tc>
        <w:tc>
          <w:tcPr>
            <w:tcW w:w="900" w:type="dxa"/>
            <w:vAlign w:val="bottom"/>
          </w:tcPr>
          <w:p>
            <w:pPr>
              <w:spacing w:after="0"/>
              <w:rPr>
                <w:sz w:val="20"/>
                <w:szCs w:val="20"/>
                <w:color w:val="auto"/>
              </w:rPr>
            </w:pPr>
          </w:p>
        </w:tc>
      </w:tr>
      <w:tr>
        <w:trPr>
          <w:trHeight w:val="421"/>
        </w:trPr>
        <w:tc>
          <w:tcPr>
            <w:tcW w:w="8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By:</w:t>
            </w:r>
          </w:p>
        </w:tc>
        <w:tc>
          <w:tcPr>
            <w:tcW w:w="900" w:type="dxa"/>
            <w:vAlign w:val="bottom"/>
          </w:tcPr>
          <w:p>
            <w:pPr>
              <w:spacing w:after="0"/>
              <w:rPr>
                <w:sz w:val="24"/>
                <w:szCs w:val="24"/>
                <w:color w:val="auto"/>
              </w:rPr>
            </w:pPr>
          </w:p>
        </w:tc>
      </w:tr>
      <w:tr>
        <w:trPr>
          <w:trHeight w:val="221"/>
        </w:trPr>
        <w:tc>
          <w:tcPr>
            <w:tcW w:w="8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As Authenticating Agent</w:t>
            </w:r>
          </w:p>
        </w:tc>
        <w:tc>
          <w:tcPr>
            <w:tcW w:w="900" w:type="dxa"/>
            <w:vAlign w:val="bottom"/>
            <w:tcBorders>
              <w:top w:val="single" w:sz="8" w:color="auto"/>
            </w:tcBorders>
          </w:tcPr>
          <w:p>
            <w:pPr>
              <w:spacing w:after="0"/>
              <w:rPr>
                <w:sz w:val="19"/>
                <w:szCs w:val="19"/>
                <w:color w:val="auto"/>
              </w:rPr>
            </w:pPr>
          </w:p>
        </w:tc>
      </w:tr>
      <w:tr>
        <w:trPr>
          <w:trHeight w:val="421"/>
        </w:trPr>
        <w:tc>
          <w:tcPr>
            <w:tcW w:w="8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By:</w:t>
            </w:r>
          </w:p>
        </w:tc>
        <w:tc>
          <w:tcPr>
            <w:tcW w:w="900" w:type="dxa"/>
            <w:vAlign w:val="bottom"/>
          </w:tcPr>
          <w:p>
            <w:pPr>
              <w:spacing w:after="0"/>
              <w:rPr>
                <w:sz w:val="24"/>
                <w:szCs w:val="24"/>
                <w:color w:val="auto"/>
              </w:rPr>
            </w:pPr>
          </w:p>
        </w:tc>
      </w:tr>
      <w:tr>
        <w:trPr>
          <w:trHeight w:val="221"/>
        </w:trPr>
        <w:tc>
          <w:tcPr>
            <w:tcW w:w="8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Authorized Officer</w:t>
            </w:r>
          </w:p>
        </w:tc>
        <w:tc>
          <w:tcPr>
            <w:tcW w:w="900" w:type="dxa"/>
            <w:vAlign w:val="bottom"/>
            <w:tcBorders>
              <w:top w:val="single" w:sz="8" w:color="auto"/>
            </w:tcBorders>
          </w:tcPr>
          <w:p>
            <w:pPr>
              <w:spacing w:after="0"/>
              <w:rPr>
                <w:sz w:val="19"/>
                <w:szCs w:val="19"/>
                <w:color w:val="auto"/>
              </w:rPr>
            </w:pPr>
          </w:p>
        </w:tc>
      </w:tr>
      <w:tr>
        <w:trPr>
          <w:trHeight w:val="528"/>
        </w:trPr>
        <w:tc>
          <w:tcPr>
            <w:tcW w:w="8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440" w:type="dxa"/>
            <w:vAlign w:val="bottom"/>
            <w:gridSpan w:val="5"/>
          </w:tcPr>
          <w:p>
            <w:pPr>
              <w:jc w:val="center"/>
              <w:ind w:right="2180"/>
              <w:spacing w:after="0"/>
              <w:rPr>
                <w:sz w:val="20"/>
                <w:szCs w:val="20"/>
                <w:color w:val="auto"/>
              </w:rPr>
            </w:pPr>
            <w:r>
              <w:rPr>
                <w:rFonts w:ascii="Arial" w:cs="Arial" w:eastAsia="Arial" w:hAnsi="Arial"/>
                <w:sz w:val="18"/>
                <w:szCs w:val="18"/>
                <w:b w:val="1"/>
                <w:bCs w:val="1"/>
                <w:color w:val="auto"/>
                <w:w w:val="98"/>
              </w:rPr>
              <w:t>ARTICLE SEVEN</w:t>
            </w:r>
          </w:p>
        </w:tc>
        <w:tc>
          <w:tcPr>
            <w:tcW w:w="900" w:type="dxa"/>
            <w:vAlign w:val="bottom"/>
          </w:tcPr>
          <w:p>
            <w:pPr>
              <w:spacing w:after="0"/>
              <w:rPr>
                <w:sz w:val="24"/>
                <w:szCs w:val="24"/>
                <w:color w:val="auto"/>
              </w:rPr>
            </w:pPr>
          </w:p>
        </w:tc>
      </w:tr>
      <w:tr>
        <w:trPr>
          <w:trHeight w:val="190"/>
        </w:trPr>
        <w:tc>
          <w:tcPr>
            <w:tcW w:w="8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280" w:type="dxa"/>
            <w:vAlign w:val="bottom"/>
            <w:tcBorders>
              <w:bottom w:val="single" w:sz="8" w:color="auto"/>
            </w:tcBorders>
            <w:gridSpan w:val="4"/>
          </w:tcPr>
          <w:p>
            <w:pPr>
              <w:jc w:val="center"/>
              <w:spacing w:after="0" w:line="190" w:lineRule="exact"/>
              <w:rPr>
                <w:sz w:val="20"/>
                <w:szCs w:val="20"/>
                <w:color w:val="auto"/>
              </w:rPr>
            </w:pPr>
            <w:r>
              <w:rPr>
                <w:rFonts w:ascii="Arial" w:cs="Arial" w:eastAsia="Arial" w:hAnsi="Arial"/>
                <w:sz w:val="18"/>
                <w:szCs w:val="18"/>
                <w:b w:val="1"/>
                <w:bCs w:val="1"/>
                <w:color w:val="auto"/>
                <w:w w:val="96"/>
              </w:rPr>
              <w:t>HOLDERS’ LISTS AND REPORTS BY TRUSTEE AND COMPANY</w:t>
            </w:r>
          </w:p>
        </w:tc>
        <w:tc>
          <w:tcPr>
            <w:tcW w:w="21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439"/>
        </w:trPr>
        <w:tc>
          <w:tcPr>
            <w:tcW w:w="10520" w:type="dxa"/>
            <w:vAlign w:val="bottom"/>
            <w:gridSpan w:val="7"/>
          </w:tcPr>
          <w:p>
            <w:pPr>
              <w:spacing w:after="0"/>
              <w:rPr>
                <w:sz w:val="20"/>
                <w:szCs w:val="20"/>
                <w:color w:val="auto"/>
              </w:rPr>
            </w:pPr>
            <w:r>
              <w:rPr>
                <w:rFonts w:ascii="Arial" w:cs="Arial" w:eastAsia="Arial" w:hAnsi="Arial"/>
                <w:sz w:val="18"/>
                <w:szCs w:val="18"/>
                <w:color w:val="auto"/>
              </w:rPr>
              <w:t>Section 7.1. Company to Furnish Trustee Names and Addresses of Holders.</w:t>
            </w:r>
          </w:p>
        </w:tc>
        <w:tc>
          <w:tcPr>
            <w:tcW w:w="90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4400" w:type="dxa"/>
            <w:vAlign w:val="bottom"/>
            <w:gridSpan w:val="2"/>
            <w:shd w:val="clear" w:color="auto" w:fill="000000"/>
          </w:tcPr>
          <w:p>
            <w:pPr>
              <w:spacing w:after="0" w:line="20" w:lineRule="exact"/>
              <w:rPr>
                <w:sz w:val="1"/>
                <w:szCs w:val="1"/>
                <w:color w:val="auto"/>
              </w:rPr>
            </w:pPr>
          </w:p>
        </w:tc>
        <w:tc>
          <w:tcPr>
            <w:tcW w:w="52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6"/>
        </w:trPr>
        <w:tc>
          <w:tcPr>
            <w:tcW w:w="10520" w:type="dxa"/>
            <w:vAlign w:val="bottom"/>
            <w:gridSpan w:val="7"/>
          </w:tcPr>
          <w:p>
            <w:pPr>
              <w:ind w:left="460"/>
              <w:spacing w:after="0"/>
              <w:rPr>
                <w:sz w:val="20"/>
                <w:szCs w:val="20"/>
                <w:color w:val="auto"/>
              </w:rPr>
            </w:pPr>
            <w:r>
              <w:rPr>
                <w:rFonts w:ascii="Arial" w:cs="Arial" w:eastAsia="Arial" w:hAnsi="Arial"/>
                <w:sz w:val="18"/>
                <w:szCs w:val="18"/>
                <w:color w:val="auto"/>
              </w:rPr>
              <w:t>The Company will furnish or cause to be furnished to the Trustee:</w:t>
            </w:r>
          </w:p>
        </w:tc>
        <w:tc>
          <w:tcPr>
            <w:tcW w:w="900" w:type="dxa"/>
            <w:vAlign w:val="bottom"/>
          </w:tcPr>
          <w:p>
            <w:pPr>
              <w:spacing w:after="0"/>
              <w:rPr>
                <w:sz w:val="24"/>
                <w:szCs w:val="24"/>
                <w:color w:val="auto"/>
              </w:rPr>
            </w:pPr>
          </w:p>
        </w:tc>
      </w:tr>
    </w:tbl>
    <w:p>
      <w:pPr>
        <w:spacing w:after="0" w:line="75" w:lineRule="exact"/>
        <w:rPr>
          <w:sz w:val="20"/>
          <w:szCs w:val="20"/>
          <w:color w:val="auto"/>
        </w:rPr>
      </w:pPr>
    </w:p>
    <w:p>
      <w:pPr>
        <w:ind w:left="460" w:right="80" w:firstLine="443"/>
        <w:spacing w:after="0" w:line="332" w:lineRule="auto"/>
        <w:tabs>
          <w:tab w:leader="none" w:pos="113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semi-annually, not more than 15 days after each Regular Record Date for a series of Securities, a list for such series of Securities, in such form as the Trustee may reasonably require, of the names and addresses of the Holders of Securities of such series as of such Regular Record Date, and</w:t>
      </w:r>
    </w:p>
    <w:p>
      <w:pPr>
        <w:spacing w:after="0" w:line="4" w:lineRule="exact"/>
        <w:rPr>
          <w:rFonts w:ascii="Arial" w:cs="Arial" w:eastAsia="Arial" w:hAnsi="Arial"/>
          <w:sz w:val="16"/>
          <w:szCs w:val="16"/>
          <w:color w:val="auto"/>
        </w:rPr>
      </w:pPr>
    </w:p>
    <w:p>
      <w:pPr>
        <w:ind w:left="460" w:right="40" w:firstLine="443"/>
        <w:spacing w:after="0" w:line="259" w:lineRule="auto"/>
        <w:tabs>
          <w:tab w:leader="none" w:pos="114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at such other times as the Trustee may request in writing, within 30 days after the receipt by the Company of any such request, a list of similar form and content as of a date not more than 15 days prior to the time such list is furnished;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and so long as the Trustee shall be the Security Registrar, no such list need be furnished with respect to such series of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Preservation of Information; Communications to Holders</w:t>
      </w:r>
      <w:r>
        <w:rPr>
          <w:rFonts w:ascii="Arial" w:cs="Arial" w:eastAsia="Arial" w:hAnsi="Arial"/>
          <w:sz w:val="18"/>
          <w:szCs w:val="18"/>
          <w:color w:val="auto"/>
        </w:rPr>
        <w:t>.</w:t>
      </w:r>
    </w:p>
    <w:p>
      <w:pPr>
        <w:spacing w:after="0" w:line="90" w:lineRule="exact"/>
        <w:rPr>
          <w:sz w:val="20"/>
          <w:szCs w:val="20"/>
          <w:color w:val="auto"/>
        </w:rPr>
      </w:pPr>
    </w:p>
    <w:p>
      <w:pPr>
        <w:ind w:left="460" w:right="120" w:firstLine="443"/>
        <w:spacing w:after="0" w:line="268" w:lineRule="auto"/>
        <w:tabs>
          <w:tab w:leader="none" w:pos="113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Trustee shall preserve, in as current a form as is reasonably practicable, the names and addresses of Holders contained in the most recent list furnished to the Trustee 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185" w:name="page186"/>
    <w:bookmarkEnd w:id="185"/>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in Section 7.1 and the names and addresses of Holders received by the Trustee in its capacity as Security Registrar. The Trustee may destroy any list furnished to it as provided in Section 7.1 upon receipt of a new list so furnished.</w:t>
      </w:r>
    </w:p>
    <w:p>
      <w:pPr>
        <w:spacing w:after="0" w:line="51" w:lineRule="exact"/>
        <w:rPr>
          <w:sz w:val="20"/>
          <w:szCs w:val="20"/>
          <w:color w:val="auto"/>
        </w:rPr>
      </w:pPr>
    </w:p>
    <w:p>
      <w:pPr>
        <w:ind w:firstLine="443"/>
        <w:spacing w:after="0" w:line="255" w:lineRule="auto"/>
        <w:tabs>
          <w:tab w:leader="none" w:pos="68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If three or more Holders (herein referred to as “applicants”) apply in writing to the Trustee, and furnish to the Trustee reasonable proof that each such applicant has owned a Security for a period of at least six months preceding the date of such application, and such application states that the applicants desire to communicate with other Holders with respect to their rights under this Indenture or under the Securities and is accompanied by a copy of the form of proxy or other communication which such applicants propose to transmit, then the Trustee shall, within five business days after the receipt of such application, at its election, either</w:t>
      </w:r>
    </w:p>
    <w:p>
      <w:pPr>
        <w:spacing w:after="0" w:line="61" w:lineRule="exact"/>
        <w:rPr>
          <w:rFonts w:ascii="Arial" w:cs="Arial" w:eastAsia="Arial" w:hAnsi="Arial"/>
          <w:sz w:val="18"/>
          <w:szCs w:val="18"/>
          <w:color w:val="auto"/>
        </w:rPr>
      </w:pPr>
    </w:p>
    <w:p>
      <w:pPr>
        <w:ind w:left="1100" w:hanging="219"/>
        <w:spacing w:after="0"/>
        <w:tabs>
          <w:tab w:leader="none" w:pos="11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afford such applicants access to the information preserved at the time by the Trustee in accordance with Section 7.2(a), or</w:t>
      </w:r>
    </w:p>
    <w:p>
      <w:pPr>
        <w:spacing w:after="0" w:line="90" w:lineRule="exact"/>
        <w:rPr>
          <w:rFonts w:ascii="Arial" w:cs="Arial" w:eastAsia="Arial" w:hAnsi="Arial"/>
          <w:sz w:val="18"/>
          <w:szCs w:val="18"/>
          <w:color w:val="auto"/>
        </w:rPr>
      </w:pPr>
    </w:p>
    <w:p>
      <w:pPr>
        <w:ind w:left="460" w:right="320" w:firstLine="421"/>
        <w:spacing w:after="0" w:line="259" w:lineRule="auto"/>
        <w:tabs>
          <w:tab w:leader="none" w:pos="113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inform such applicants as to the approximate number of Holders whose names and addresses appear in the information preserved at the time by the Trustee in accordance with Section 7.2(a), and as to the approximate cost of mailing to such Holders the form of proxy or other communication, if any, specified in such application.</w:t>
      </w:r>
    </w:p>
    <w:p>
      <w:pPr>
        <w:spacing w:after="0" w:line="59" w:lineRule="exact"/>
        <w:rPr>
          <w:sz w:val="20"/>
          <w:szCs w:val="20"/>
          <w:color w:val="auto"/>
        </w:rPr>
      </w:pPr>
    </w:p>
    <w:p>
      <w:pPr>
        <w:ind w:left="460" w:right="40" w:firstLine="420"/>
        <w:spacing w:after="0" w:line="307" w:lineRule="auto"/>
        <w:rPr>
          <w:sz w:val="20"/>
          <w:szCs w:val="20"/>
          <w:color w:val="auto"/>
        </w:rPr>
      </w:pPr>
      <w:r>
        <w:rPr>
          <w:rFonts w:ascii="Arial" w:cs="Arial" w:eastAsia="Arial" w:hAnsi="Arial"/>
          <w:sz w:val="15"/>
          <w:szCs w:val="15"/>
          <w:color w:val="auto"/>
        </w:rPr>
        <w:t>If the Trustee shall elect not to afford such applicants access to such information, the Trustee shall, upon the written request of such applicants, mail to each Holder whose name and address appear in the information preserved at the time by the Trustee in accordance with Section 7.2(a) a copy of the form of proxy or other communication which is specified in such request, with reasonable promptness after a tender to the Trustee of the material to be mailed and of payment, or provision for the payment, of the reasonable expenses of mailing, unless within five days after such tender the Trustee shall mail to such applicants and file with the SEC, together with a copy of the material to be mailed, a written statement to the effect that, in the opinion of the Trustee, such mailing would be contrary to the best interest of the Holders or would be in violation of applicable law. Such written statement shall specify the basis of such opinion. If the SEC, after opportunity for a hearing upon the objections specified in the written statement so filed, shall enter an order refusing to sustain any of such objections or if, after the entry of an order sustaining one or more of such objections, the SEC shall find, after notice and opportunity for hearing, that all the objections so sustained have been met and shall enter an order so declaring, the Trustee shall mail copies of such material to all such Holders with reasonable promptness after the entry of such order and the renewal of such tender; otherwise the Trustee shall be relieved of any obligation or duty to such applicants respecting their application.</w:t>
      </w:r>
    </w:p>
    <w:p>
      <w:pPr>
        <w:spacing w:after="0" w:line="31" w:lineRule="exact"/>
        <w:rPr>
          <w:sz w:val="20"/>
          <w:szCs w:val="20"/>
          <w:color w:val="auto"/>
        </w:rPr>
      </w:pPr>
    </w:p>
    <w:p>
      <w:pPr>
        <w:ind w:firstLine="443"/>
        <w:spacing w:after="0" w:line="323" w:lineRule="auto"/>
        <w:tabs>
          <w:tab w:leader="none" w:pos="677" w:val="left"/>
        </w:tabs>
        <w:numPr>
          <w:ilvl w:val="0"/>
          <w:numId w:val="148"/>
        </w:numPr>
        <w:rPr>
          <w:rFonts w:ascii="Arial" w:cs="Arial" w:eastAsia="Arial" w:hAnsi="Arial"/>
          <w:sz w:val="15"/>
          <w:szCs w:val="15"/>
          <w:color w:val="auto"/>
        </w:rPr>
      </w:pPr>
      <w:r>
        <w:rPr>
          <w:rFonts w:ascii="Arial" w:cs="Arial" w:eastAsia="Arial" w:hAnsi="Arial"/>
          <w:sz w:val="15"/>
          <w:szCs w:val="15"/>
          <w:color w:val="auto"/>
        </w:rPr>
        <w:t>Every Holder of Securities, by receiving and holding the same, agrees with the Company, the Guarantors (if applicable) and the Trustee that none of the Company, the Guarantors (if applicable) nor the Trustee nor any agent of any of them shall be held accountable by reason of the disclosure of any such information as to the names and addresses of the Holders in accordance with Section 7.2(b), regardless of the source from which such information was derived, and that the Trustee shall not be held accountable by reason of mailing any material pursuant to a request made under Section 7.2(b).</w:t>
      </w:r>
    </w:p>
    <w:p>
      <w:pPr>
        <w:spacing w:after="0" w:line="8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700" w:top="280" w:right="2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7.3. </w:t>
      </w:r>
      <w:r>
        <w:rPr>
          <w:rFonts w:ascii="Arial" w:cs="Arial" w:eastAsia="Arial" w:hAnsi="Arial"/>
          <w:sz w:val="18"/>
          <w:szCs w:val="18"/>
          <w:u w:val="single" w:color="auto"/>
          <w:color w:val="auto"/>
        </w:rPr>
        <w:t>Reports by Trustee</w:t>
      </w:r>
      <w:r>
        <w:rPr>
          <w:rFonts w:ascii="Arial" w:cs="Arial" w:eastAsia="Arial" w:hAnsi="Arial"/>
          <w:sz w:val="18"/>
          <w:szCs w:val="18"/>
          <w:color w:val="auto"/>
        </w:rPr>
        <w:t>.</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Any Trustee’s report required pursuant to Section 313(a) of the Trust Indenture Act shall be dated as of May 15, and shall be transmitted within 60 days after May 15 of each year (but in all events at intervals of not more than 12 months), commencing with the year 2003, by mail to all Holders, as their names and addresses appear in the Security Register. A copy of each such report shall, at the time of such transmission to Holders, be filed by the Trustee with each stock exchange upon which any Securities are listed, with the SEC and with the Company. The Company will notify the Trustee when any Securities are listed on any stock exchange.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Reports by Company</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shall:</w:t>
      </w:r>
    </w:p>
    <w:p>
      <w:pPr>
        <w:spacing w:after="0" w:line="90" w:lineRule="exact"/>
        <w:rPr>
          <w:sz w:val="20"/>
          <w:szCs w:val="20"/>
          <w:color w:val="auto"/>
        </w:rPr>
      </w:pPr>
    </w:p>
    <w:p>
      <w:pPr>
        <w:ind w:left="460" w:firstLine="443"/>
        <w:spacing w:after="0" w:line="290" w:lineRule="auto"/>
        <w:tabs>
          <w:tab w:leader="none" w:pos="1137" w:val="left"/>
        </w:tabs>
        <w:numPr>
          <w:ilvl w:val="0"/>
          <w:numId w:val="149"/>
        </w:numPr>
        <w:rPr>
          <w:rFonts w:ascii="Arial" w:cs="Arial" w:eastAsia="Arial" w:hAnsi="Arial"/>
          <w:sz w:val="16"/>
          <w:szCs w:val="16"/>
          <w:color w:val="auto"/>
        </w:rPr>
      </w:pPr>
      <w:r>
        <w:rPr>
          <w:rFonts w:ascii="Arial" w:cs="Arial" w:eastAsia="Arial" w:hAnsi="Arial"/>
          <w:sz w:val="16"/>
          <w:szCs w:val="16"/>
          <w:color w:val="auto"/>
        </w:rPr>
        <w:t>file with the Trustee, within 15 days after the Company is required to file the same with the SEC, copies of the annual reports and of the information, documents and other reports (or copies of such portions of any of the foregoing as the SEC may from time to time by rules and regulations prescribe) which the Company may be required to file with the SEC pursuant to Section 13 or Section 15(d) of the Exchange Act; or, if the Company is not required to file information, documents or reports pursuant to either of said Sections, then it shall file with the Trustee and the SEC, in accordance with rules and regulations prescribed from time to time by the SEC,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w:t>
      </w:r>
    </w:p>
    <w:p>
      <w:pPr>
        <w:spacing w:after="0" w:line="37"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file with the Trustee and the SEC, in accordance with rules and regulations prescribed from time to time by the SEC, such additional information, documents and reports with respect to compliance by the Company with the conditions and covenants of this Indenture as may be required from time to time by such rules and regulations; and</w:t>
      </w:r>
    </w:p>
    <w:p>
      <w:pPr>
        <w:spacing w:after="0" w:line="59" w:lineRule="exact"/>
        <w:rPr>
          <w:rFonts w:ascii="Arial" w:cs="Arial" w:eastAsia="Arial" w:hAnsi="Arial"/>
          <w:sz w:val="18"/>
          <w:szCs w:val="18"/>
          <w:color w:val="auto"/>
        </w:rPr>
      </w:pPr>
    </w:p>
    <w:p>
      <w:pPr>
        <w:ind w:left="460" w:right="140" w:firstLine="443"/>
        <w:spacing w:after="0" w:line="259" w:lineRule="auto"/>
        <w:tabs>
          <w:tab w:leader="none" w:pos="113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transmit by mail to all Holders, as their names and addresses appear in the Security Register, within 30 days after the filing thereof with the Trustee, such summaries of any information, documents and reports required to be filed by the Company pursuant to clauses (a) and (b) of this Section as may be required by rules and regulations prescribed from time to time by the SEC.</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EIGHT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CONSOLIDATION, AMALGAMATION, MERGER AND SALE</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Company May Consolidate, Etc., Only on Certain Terms</w:t>
      </w:r>
      <w:r>
        <w:rPr>
          <w:rFonts w:ascii="Arial" w:cs="Arial" w:eastAsia="Arial" w:hAnsi="Arial"/>
          <w:sz w:val="18"/>
          <w:szCs w:val="18"/>
          <w:color w:val="auto"/>
        </w:rPr>
        <w:t xml:space="preserve"> The Company shall not consolidate or merge with or into any other Person or sell, convey, transfer, lease or otherwise dispose of all or substantially all of the properties and assets of the Company and, if applicable, the Guarantors on a consolidated basis to any other Person unless:</w:t>
      </w:r>
    </w:p>
    <w:p>
      <w:pPr>
        <w:spacing w:after="0" w:line="59" w:lineRule="exact"/>
        <w:rPr>
          <w:sz w:val="20"/>
          <w:szCs w:val="20"/>
          <w:color w:val="auto"/>
        </w:rPr>
      </w:pPr>
    </w:p>
    <w:p>
      <w:pPr>
        <w:jc w:val="both"/>
        <w:ind w:left="460" w:right="20" w:firstLine="443"/>
        <w:spacing w:after="0" w:line="256" w:lineRule="auto"/>
        <w:tabs>
          <w:tab w:leader="none" w:pos="113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either: (i) the Company is the surviving corporation; or (ii) the Person formed by or surviving any such consolidation, amalgamation or merger or resulting from such conversion (if other than the Company) or to which such sale, assignment, transfer, conveyance or other disposition has been made is a corporation, limited liability company or limited partnership organized or existing under the laws of the United States, any state of the United States or the District of Columbia;</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280" w:right="279" w:bottom="1440" w:gutter="0" w:footer="0" w:header="0"/>
        </w:sectPr>
      </w:pPr>
    </w:p>
    <w:bookmarkStart w:id="187" w:name="page188"/>
    <w:bookmarkEnd w:id="187"/>
    <w:p>
      <w:pPr>
        <w:ind w:left="460" w:right="40" w:firstLine="443"/>
        <w:spacing w:after="0" w:line="298" w:lineRule="auto"/>
        <w:tabs>
          <w:tab w:leader="none" w:pos="1147" w:val="left"/>
        </w:tabs>
        <w:numPr>
          <w:ilvl w:val="0"/>
          <w:numId w:val="1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Person formed by or surviving any such conversion, consolidation, amalgamation or merger (if other than the Company) or the Person to which such sale, assignment, transfer, conveyance or other disposition has been made assumes all the obligations of the Company under the Securities and this Indenture pursuant to agreements reasonably satisfactory to the Trustee;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such Person is a corporation, a corporate co-issuer of the Securities will be added to this Indenture by agreements reasonably satisfactory to the Trustee;</w:t>
      </w:r>
    </w:p>
    <w:p>
      <w:pPr>
        <w:spacing w:after="0" w:line="31" w:lineRule="exact"/>
        <w:rPr>
          <w:rFonts w:ascii="Arial" w:cs="Arial" w:eastAsia="Arial" w:hAnsi="Arial"/>
          <w:sz w:val="16"/>
          <w:szCs w:val="16"/>
          <w:color w:val="auto"/>
        </w:rPr>
      </w:pPr>
    </w:p>
    <w:p>
      <w:pPr>
        <w:ind w:left="460" w:right="80" w:firstLine="443"/>
        <w:spacing w:after="0" w:line="268" w:lineRule="auto"/>
        <w:tabs>
          <w:tab w:leader="none" w:pos="113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which, after notice or lapse of time or both, would become an Event of Default, shall have occurred and be continuing; and</w:t>
      </w:r>
    </w:p>
    <w:p>
      <w:pPr>
        <w:spacing w:after="0" w:line="5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such consolidation, amalgamation, merger, conveyance, sale, transfer or lease and such supplemental indenture, if any, comply with this Article Eight and that all conditions precedent herein provided for relating to such transaction have been complied with.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Successor Substituted</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Upon any consolidation or merger of the Company with or into any other Person or any sale, conveyance, transfer, lease or other disposition of all or substantially all of the properties and assets of the Company and, if applicable, the Guarantors on a consolidated basis in accordance with Section 8.1, the successor or resulting Person formed by or resulting upon such consolidation or merger (if other than the Company) or to which such sale, conveyance, transfer, lease or other disposition is made shall succeed to, and be substituted for, and may exercise every right and power of, the Company under this Indenture with the same effect as if such successor Person had been named as the Company herein, and thereafter, except in the case of a lease, the predecessor Company and each of the Guarantors shall be relieved of all obligations and covenants under this Indenture and the Securities.</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NINE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AMENDMENT, SUPPLEMENT AND WAIVER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Without Consent of Holders</w:t>
      </w:r>
      <w:r>
        <w:rPr>
          <w:rFonts w:ascii="Arial" w:cs="Arial" w:eastAsia="Arial" w:hAnsi="Arial"/>
          <w:sz w:val="18"/>
          <w:szCs w:val="18"/>
          <w:color w:val="auto"/>
        </w:rPr>
        <w: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the Guarantors and the Trustee may amend or supplement this indenture, the Guarantees or the Securities without the consent of any holder of a Security:</w:t>
      </w:r>
    </w:p>
    <w:p>
      <w:pPr>
        <w:spacing w:after="0" w:line="51" w:lineRule="exact"/>
        <w:rPr>
          <w:sz w:val="20"/>
          <w:szCs w:val="20"/>
          <w:color w:val="auto"/>
        </w:rPr>
      </w:pPr>
    </w:p>
    <w:p>
      <w:pPr>
        <w:ind w:left="1140" w:hanging="237"/>
        <w:spacing w:after="0"/>
        <w:tabs>
          <w:tab w:leader="none" w:pos="114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to cure any ambiguity or to correct or supplement any provision herein that may be inconsistent with any other provision herein; or</w:t>
      </w:r>
    </w:p>
    <w:p>
      <w:pPr>
        <w:spacing w:after="0" w:line="113"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of the Company herein and, to the extent applicable, to the Securities; or</w:t>
      </w:r>
    </w:p>
    <w:p>
      <w:pPr>
        <w:spacing w:after="0" w:line="50" w:lineRule="exact"/>
        <w:rPr>
          <w:rFonts w:ascii="Arial" w:cs="Arial" w:eastAsia="Arial" w:hAnsi="Arial"/>
          <w:sz w:val="18"/>
          <w:szCs w:val="18"/>
          <w:color w:val="auto"/>
        </w:rPr>
      </w:pPr>
    </w:p>
    <w:p>
      <w:pPr>
        <w:jc w:val="both"/>
        <w:ind w:left="460" w:right="60" w:firstLine="443"/>
        <w:spacing w:after="0" w:line="259" w:lineRule="auto"/>
        <w:tabs>
          <w:tab w:leader="none" w:pos="113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to provide for uncertificated Securities in addition to or in place of certificated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uncertificated Securities are issued in registered form for purposes of Section 163(f) of the Code, or in the manner such that the uncertificated Securities are described in Section 163(f)(2)(B) of the Code; or</w:t>
      </w:r>
    </w:p>
    <w:p>
      <w:pPr>
        <w:spacing w:after="0" w:line="59" w:lineRule="exact"/>
        <w:rPr>
          <w:rFonts w:ascii="Arial" w:cs="Arial" w:eastAsia="Arial" w:hAnsi="Arial"/>
          <w:sz w:val="18"/>
          <w:szCs w:val="18"/>
          <w:color w:val="auto"/>
        </w:rPr>
      </w:pPr>
    </w:p>
    <w:p>
      <w:pPr>
        <w:ind w:left="460" w:right="160" w:firstLine="443"/>
        <w:spacing w:after="0" w:line="370" w:lineRule="auto"/>
        <w:tabs>
          <w:tab w:leader="none" w:pos="1147" w:val="left"/>
        </w:tabs>
        <w:numPr>
          <w:ilvl w:val="0"/>
          <w:numId w:val="152"/>
        </w:numPr>
        <w:rPr>
          <w:rFonts w:ascii="Arial" w:cs="Arial" w:eastAsia="Arial" w:hAnsi="Arial"/>
          <w:sz w:val="15"/>
          <w:szCs w:val="15"/>
          <w:color w:val="auto"/>
        </w:rPr>
      </w:pPr>
      <w:r>
        <w:rPr>
          <w:rFonts w:ascii="Arial" w:cs="Arial" w:eastAsia="Arial" w:hAnsi="Arial"/>
          <w:sz w:val="15"/>
          <w:szCs w:val="15"/>
          <w:color w:val="auto"/>
        </w:rPr>
        <w:t>to add a Guarantee and cause any Person to become a Guarantor, and/or to evidence the succession of another Person to a Guarantor and the assumption by any such successor of the Guarantee of such Guarantor herein and, to the extent applicable, endorsed upon any Securities of any series; or</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280" w:right="279" w:bottom="1440" w:gutter="0" w:footer="0" w:header="0"/>
        </w:sectPr>
      </w:pPr>
    </w:p>
    <w:bookmarkStart w:id="188" w:name="page189"/>
    <w:bookmarkEnd w:id="188"/>
    <w:p>
      <w:pPr>
        <w:ind w:left="680" w:hanging="237"/>
        <w:spacing w:after="0"/>
        <w:tabs>
          <w:tab w:leader="none" w:pos="6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secure the Securities of any series; or</w:t>
      </w:r>
    </w:p>
    <w:p>
      <w:pPr>
        <w:spacing w:after="0" w:line="90" w:lineRule="exact"/>
        <w:rPr>
          <w:rFonts w:ascii="Arial" w:cs="Arial" w:eastAsia="Arial" w:hAnsi="Arial"/>
          <w:sz w:val="18"/>
          <w:szCs w:val="18"/>
          <w:color w:val="auto"/>
        </w:rPr>
      </w:pPr>
    </w:p>
    <w:p>
      <w:pPr>
        <w:ind w:firstLine="443"/>
        <w:spacing w:after="0" w:line="288" w:lineRule="auto"/>
        <w:tabs>
          <w:tab w:leader="none" w:pos="65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to add to the covenants of the Company such further covenants, restrictions, conditions or provisions as the Company shall consider to be appropriate for the benefit of the Holders of all or any series of Securities (and if such covenants, restrictions, conditions or provisions are to be for the benefit of less than all series of Securities, stating that such covenants are expressly being included solely for the benefit of such series) or to surrender any right or power herein conferred upon the Company and to make the occurrence, or the occurrence and continuance, of a Default in any such additional covenants, restrictions, conditions or provisions an Event of Default permitting the enforcement of all or any of the several remedies provided in this Indenture as herein set forth; </w:t>
      </w:r>
      <w:r>
        <w:rPr>
          <w:rFonts w:ascii="Arial" w:cs="Arial" w:eastAsia="Arial" w:hAnsi="Arial"/>
          <w:sz w:val="16"/>
          <w:szCs w:val="16"/>
          <w:i w:val="1"/>
          <w:iCs w:val="1"/>
          <w:color w:val="auto"/>
        </w:rPr>
        <w:t>provided</w:t>
      </w:r>
      <w:r>
        <w:rPr>
          <w:rFonts w:ascii="Arial" w:cs="Arial" w:eastAsia="Arial" w:hAnsi="Arial"/>
          <w:sz w:val="16"/>
          <w:szCs w:val="16"/>
          <w:color w:val="auto"/>
        </w:rPr>
        <w:t>,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 or</w:t>
      </w:r>
    </w:p>
    <w:p>
      <w:pPr>
        <w:spacing w:after="0" w:line="38" w:lineRule="exact"/>
        <w:rPr>
          <w:rFonts w:ascii="Arial" w:cs="Arial" w:eastAsia="Arial" w:hAnsi="Arial"/>
          <w:sz w:val="16"/>
          <w:szCs w:val="16"/>
          <w:color w:val="auto"/>
        </w:rPr>
      </w:pPr>
    </w:p>
    <w:p>
      <w:pPr>
        <w:ind w:left="700" w:hanging="257"/>
        <w:spacing w:after="0"/>
        <w:tabs>
          <w:tab w:leader="none" w:pos="7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to make any change to any provision of this Indenture that does not adversely affect the rights or interests of any Holder of Securities; or</w:t>
      </w:r>
    </w:p>
    <w:p>
      <w:pPr>
        <w:spacing w:after="0" w:line="113" w:lineRule="exact"/>
        <w:rPr>
          <w:rFonts w:ascii="Arial" w:cs="Arial" w:eastAsia="Arial" w:hAnsi="Arial"/>
          <w:sz w:val="16"/>
          <w:szCs w:val="16"/>
          <w:color w:val="auto"/>
        </w:rPr>
      </w:pPr>
    </w:p>
    <w:p>
      <w:pPr>
        <w:ind w:left="700" w:hanging="257"/>
        <w:spacing w:after="0"/>
        <w:tabs>
          <w:tab w:leader="none" w:pos="7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provide for the issuance of additional Securities in accordance with the provisions set forth in this Indenture on the date of this Indenture; or</w:t>
      </w:r>
    </w:p>
    <w:p>
      <w:pPr>
        <w:spacing w:after="0" w:line="113" w:lineRule="exact"/>
        <w:rPr>
          <w:rFonts w:ascii="Arial" w:cs="Arial" w:eastAsia="Arial" w:hAnsi="Arial"/>
          <w:sz w:val="16"/>
          <w:szCs w:val="16"/>
          <w:color w:val="auto"/>
        </w:rPr>
      </w:pPr>
    </w:p>
    <w:p>
      <w:pPr>
        <w:ind w:left="660" w:hanging="217"/>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to add any additional Defaults or Events of Default in respect of all or any series of Securities; or</w:t>
      </w:r>
    </w:p>
    <w:p>
      <w:pPr>
        <w:spacing w:after="0" w:line="90" w:lineRule="exact"/>
        <w:rPr>
          <w:rFonts w:ascii="Arial" w:cs="Arial" w:eastAsia="Arial" w:hAnsi="Arial"/>
          <w:sz w:val="18"/>
          <w:szCs w:val="18"/>
          <w:color w:val="auto"/>
        </w:rPr>
      </w:pPr>
    </w:p>
    <w:p>
      <w:pPr>
        <w:ind w:right="340" w:firstLine="443"/>
        <w:spacing w:after="0" w:line="332" w:lineRule="auto"/>
        <w:tabs>
          <w:tab w:leader="none" w:pos="64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to add to, change or eliminate any of the provisions of this Indenture to such extent as shall be necessary to permit or facilitate the issuance of Securities in bearer form, registrable or not registrable as to principal, and with or without interest coupons; or</w:t>
      </w:r>
    </w:p>
    <w:p>
      <w:pPr>
        <w:spacing w:after="0" w:line="4" w:lineRule="exact"/>
        <w:rPr>
          <w:rFonts w:ascii="Arial" w:cs="Arial" w:eastAsia="Arial" w:hAnsi="Arial"/>
          <w:sz w:val="16"/>
          <w:szCs w:val="16"/>
          <w:color w:val="auto"/>
        </w:rPr>
      </w:pPr>
    </w:p>
    <w:p>
      <w:pPr>
        <w:ind w:right="80" w:firstLine="443"/>
        <w:spacing w:after="0" w:line="259" w:lineRule="auto"/>
        <w:tabs>
          <w:tab w:leader="none" w:pos="68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to change or eliminate any of the provisions of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change or elimination shall become effective only when there is no Security Outstanding of any series created prior to the execution of such supplemental indenture that is entitled to the benefit of such provision; or</w:t>
      </w:r>
    </w:p>
    <w:p>
      <w:pPr>
        <w:spacing w:after="0" w:line="59" w:lineRule="exact"/>
        <w:rPr>
          <w:rFonts w:ascii="Arial" w:cs="Arial" w:eastAsia="Arial" w:hAnsi="Arial"/>
          <w:sz w:val="18"/>
          <w:szCs w:val="18"/>
          <w:color w:val="auto"/>
        </w:rPr>
      </w:pPr>
    </w:p>
    <w:p>
      <w:pPr>
        <w:ind w:right="600" w:firstLine="443"/>
        <w:spacing w:after="0" w:line="268" w:lineRule="auto"/>
        <w:tabs>
          <w:tab w:leader="none" w:pos="64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 2.1 and Section 3.1, including to reopen any series of any Securities as permitted under Section 3.1; or</w:t>
      </w:r>
    </w:p>
    <w:p>
      <w:pPr>
        <w:spacing w:after="0" w:line="50" w:lineRule="exact"/>
        <w:rPr>
          <w:rFonts w:ascii="Arial" w:cs="Arial" w:eastAsia="Arial" w:hAnsi="Arial"/>
          <w:sz w:val="18"/>
          <w:szCs w:val="18"/>
          <w:color w:val="auto"/>
        </w:rPr>
      </w:pPr>
    </w:p>
    <w:p>
      <w:pPr>
        <w:ind w:right="60" w:firstLine="443"/>
        <w:spacing w:after="0" w:line="259" w:lineRule="auto"/>
        <w:tabs>
          <w:tab w:leader="none" w:pos="73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6.11(b); or</w:t>
      </w:r>
    </w:p>
    <w:p>
      <w:pPr>
        <w:spacing w:after="0" w:line="59" w:lineRule="exact"/>
        <w:rPr>
          <w:rFonts w:ascii="Arial" w:cs="Arial" w:eastAsia="Arial" w:hAnsi="Arial"/>
          <w:sz w:val="18"/>
          <w:szCs w:val="18"/>
          <w:color w:val="auto"/>
        </w:rPr>
      </w:pPr>
    </w:p>
    <w:p>
      <w:pPr>
        <w:ind w:right="20" w:firstLine="443"/>
        <w:spacing w:after="0" w:line="268" w:lineRule="auto"/>
        <w:tabs>
          <w:tab w:leader="none" w:pos="68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to conform the text of the indenture (and/or any supplemental indenture) or any debt securities issued thereunder to any provision of a description of such debt securities</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40"/>
          </w:cols>
          <w:pgMar w:left="700" w:top="280" w:right="259" w:bottom="1440" w:gutter="0" w:footer="0" w:header="0"/>
        </w:sectPr>
      </w:pPr>
    </w:p>
    <w:bookmarkStart w:id="189" w:name="page190"/>
    <w:bookmarkEnd w:id="189"/>
    <w:p>
      <w:pPr>
        <w:ind w:left="460" w:right="1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appearing in a prospectus or prospectus supplement or an offering memorandum or offering circular to the extent that such provision was intended to be a verbatim recreation of a provision of the indenture (and/or any supplemental indenture) or any debt securities issued thereunder; or</w:t>
      </w:r>
    </w:p>
    <w:p>
      <w:pPr>
        <w:spacing w:after="0" w:line="4" w:lineRule="exact"/>
        <w:rPr>
          <w:sz w:val="20"/>
          <w:szCs w:val="20"/>
          <w:color w:val="auto"/>
        </w:rPr>
      </w:pPr>
    </w:p>
    <w:p>
      <w:pPr>
        <w:ind w:left="460" w:right="400" w:firstLine="443"/>
        <w:spacing w:after="0" w:line="259" w:lineRule="auto"/>
        <w:tabs>
          <w:tab w:leader="none" w:pos="114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modify, eliminate or add to the provisions of this Indenture to such extent as shall be necessary to effect the qualification of this Indenture under the Trust Indenture Act or under any similar federal statute subsequently enacted, and to add to this Indenture such other provisions as may be expressly required under the Trust Indenture Act.</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Upon the request of the Company accompanied by a resolution of its Board of Directors authorizing the execution of any such amended or supplemental indenture, the Trustee is hereby authorized to join with the Company and any Guarantor in the execution of any such supplemental indenture, to make any further appropriate agreements and stipulations that may be therein contained and to accept the conveyance, transfer, assignment, mortgage, charge or pledge of any property thereunder, but the Trustee shall not be obligated to enter into any such supplemental indenture that affects the Trustee’s own rights, duties or immunities under this Indenture or otherwise.</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With Consent of Holders</w:t>
      </w:r>
      <w:r>
        <w:rPr>
          <w:rFonts w:ascii="Arial" w:cs="Arial" w:eastAsia="Arial" w:hAnsi="Arial"/>
          <w:sz w:val="18"/>
          <w:szCs w:val="18"/>
          <w:color w:val="auto"/>
        </w:rPr>
        <w:t>.</w:t>
      </w:r>
    </w:p>
    <w:p>
      <w:pPr>
        <w:spacing w:after="0" w:line="9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The Company and the Trustee may amend or supplement this Indenture, the Guarantees and the Securities with the consent of the Holders of a majority in aggregate principal amount of the Outstanding Securities of each series of Securities affected by such amendment or supplemental indenture, with each such series voting as a separate series (including, without limitation, consents obtained in connection with a purchase of, or tender offer or exchange offer for Securities) and, subject to Section 5.8 and Section 5.13 hereof, any existing Default or Event of Default or compliance with any provision of this Indenture, the Guarantees or the Securities may be waived with respect to each series of Securities with the consent of the Holders of a majority in principal amount of the Outstanding Securities of such series voting as a separate class (including consents obtained in connection with a purchase of, or tender offer or exchange offer for, Securities).</w:t>
      </w:r>
    </w:p>
    <w:p>
      <w:pPr>
        <w:spacing w:after="0" w:line="14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Upon the request of the Company accompanied by a resolution of its Board of Directors authorizing the execution of any such amended or supplemental indenture, and upon the filing with the Trustee of evidence satisfactory to the Trustee of the consent of the Holders of Securities as aforesaid, and upon receipt by the Trustee of the documents described in Section 6.3 hereof, the Trustee will join with the Company and the Guarantors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spacing w:after="0" w:line="1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It is not be necessary for the consent of the Holders of Securities under this Section 9.2 to approve the particular form of any proposed amendment or waiver, but it is sufficient if such consent approves the substance of the proposed amendment or waiver.</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an amendment, supplement or waiver under this Section 9.2 becomes effective, the Company will mail to the Holders of Securities affected thereby a notice briefly describing the amendment, supplement or waiver. Any failure of the Company to mail such notice, or any defect therein, will not, however, in any way impair or affect the validity of any such amended or supplemental indenture or waiver. Subject to Section 5.8 and Section 5.13 hereof, the application of or compliance with, either generally or in any particular instance, of any provision of this Indenture, the Securities or the Guarantees may be waived as to each series of Securities by the Holders of a majority in aggregate principal amount of the Outstanding Securities of such series. However, without the consent of each Holder affected, an amendment or waiver under this Section 9.2 may not (with respect to any Securities held by a non-consenting Holder):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190" w:name="page191"/>
    <w:bookmarkEnd w:id="190"/>
    <w:p>
      <w:pPr>
        <w:jc w:val="both"/>
        <w:ind w:left="460" w:right="80" w:firstLine="443"/>
        <w:spacing w:after="0" w:line="294" w:lineRule="auto"/>
        <w:tabs>
          <w:tab w:leader="none" w:pos="1137" w:val="left"/>
        </w:tabs>
        <w:numPr>
          <w:ilvl w:val="0"/>
          <w:numId w:val="1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that would be due and payable upon a declaration of acceleration of the Maturity thereof pursuant to Section 5.2, or change any Place of Payment where, or the coin or currency in which, any Security or any premium or the interest thereon is payable, or impair the right to institute suit for the enforcement of any such payment on or after the Stated Maturity thereof (or, in the case of redemption, on or after the Redemption Date), or</w:t>
      </w:r>
    </w:p>
    <w:p>
      <w:pPr>
        <w:spacing w:after="0" w:line="34" w:lineRule="exact"/>
        <w:rPr>
          <w:rFonts w:ascii="Arial" w:cs="Arial" w:eastAsia="Arial" w:hAnsi="Arial"/>
          <w:sz w:val="16"/>
          <w:szCs w:val="16"/>
          <w:color w:val="auto"/>
        </w:rPr>
      </w:pPr>
    </w:p>
    <w:p>
      <w:pPr>
        <w:jc w:val="both"/>
        <w:ind w:left="460" w:right="420" w:firstLine="443"/>
        <w:spacing w:after="0" w:line="259" w:lineRule="auto"/>
        <w:tabs>
          <w:tab w:leader="none" w:pos="114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59" w:lineRule="exact"/>
        <w:rPr>
          <w:rFonts w:ascii="Arial" w:cs="Arial" w:eastAsia="Arial" w:hAnsi="Arial"/>
          <w:sz w:val="18"/>
          <w:szCs w:val="18"/>
          <w:color w:val="auto"/>
        </w:rPr>
      </w:pPr>
    </w:p>
    <w:p>
      <w:pPr>
        <w:ind w:left="460" w:right="40" w:firstLine="443"/>
        <w:spacing w:after="0" w:line="255" w:lineRule="auto"/>
        <w:tabs>
          <w:tab w:leader="none" w:pos="113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modify any of the provisions of this Section 9.2, Section 5.8, Section 5.13 or Section 10.6, except to increase any such percentage or to provide that certain other provisions of this Indenture cannot be modified or waived without the consent of the Holder of each Outstanding Security affected thereby,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clause (c) shall not be deemed to require the consent of any Holder with respect to changes in the references to “the Trustee” and concomitant changes in this Section, or the deletion of this proviso, in accordance with the requirements of Section 6.11(b) and Section 9.1(i); or</w:t>
      </w:r>
    </w:p>
    <w:p>
      <w:pPr>
        <w:spacing w:after="0" w:line="61"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waive a redemption payment with respect to any Security;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purchase or repurchase of Securities shall not be deemed a redemption of the Securities; or</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3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release any Guarantor from any of its obligations under its Guarantee or this Indenture, except in accordance with the terms of this Indenture (as supplemented by any supplemental indenture); or</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make any change in the foregoing amendment and waiver provisions.</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 supplemental indenture that changes or eliminates any covenant or other provision of this Indenture that has expressly been included solely for the benefit of one or more particular series of Securities, or that modifies the rights of the Holders of Securities of such series with respect to such covenant or other provision, shall be deemed not to affect the rights under this Indenture of the Holders of Securities of any other series.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It shall not be necessary for any Act of Holders under this Section 9.2 to approve the particular form of any proposed supplemental indenture, but it shall be sufficient if such Act shall approve the substance thereof.</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w:t>
      </w:r>
    </w:p>
    <w:p>
      <w:pPr>
        <w:spacing w:after="0" w:line="9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executing, or accepting the additional trusts created by, any supplemental indenture permitted by this Article or the modifications thereby of the trusts created by this Indenture, the Trustee shall be entitled to receive, and (subject to Section 6.1) shall be fully protected in relying upon, an Opinion of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191" w:name="page192"/>
    <w:bookmarkEnd w:id="191"/>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Upon the execution of any supplemental indenture under this Article Nine,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Conformity with Trust Indenture Act</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Every supplemental indenture executed pursuant to this Article Nine shall conform to the requirements of the Trust Indenture Act as then in effect.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Reference in Securities to Supplemental Indentures</w:t>
      </w:r>
      <w:r>
        <w:rPr>
          <w:rFonts w:ascii="Arial" w:cs="Arial" w:eastAsia="Arial" w:hAnsi="Arial"/>
          <w:sz w:val="18"/>
          <w:szCs w:val="18"/>
          <w:color w:val="auto"/>
        </w:rPr>
        <w:t>.</w:t>
      </w:r>
    </w:p>
    <w:p>
      <w:pPr>
        <w:spacing w:after="0" w:line="9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Securities of any series authenticated and delivered after the execution of any supplemental indenture pursuant to this Article Nine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26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TEN</w:t>
      </w:r>
    </w:p>
    <w:p>
      <w:pPr>
        <w:spacing w:after="0" w:line="21" w:lineRule="exact"/>
        <w:rPr>
          <w:sz w:val="20"/>
          <w:szCs w:val="20"/>
          <w:color w:val="auto"/>
        </w:rPr>
      </w:pPr>
    </w:p>
    <w:p>
      <w:pPr>
        <w:ind w:left="5160"/>
        <w:spacing w:after="0"/>
        <w:rPr>
          <w:sz w:val="20"/>
          <w:szCs w:val="20"/>
          <w:color w:val="auto"/>
        </w:rPr>
      </w:pPr>
      <w:r>
        <w:rPr>
          <w:rFonts w:ascii="Arial" w:cs="Arial" w:eastAsia="Arial" w:hAnsi="Arial"/>
          <w:sz w:val="18"/>
          <w:szCs w:val="18"/>
          <w:b w:val="1"/>
          <w:bCs w:val="1"/>
          <w:u w:val="single" w:color="auto"/>
          <w:color w:val="auto"/>
        </w:rPr>
        <w:t>COVENANTS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Payment of Principal, Premium and Interest</w:t>
      </w:r>
      <w:r>
        <w:rPr>
          <w:rFonts w:ascii="Arial" w:cs="Arial" w:eastAsia="Arial" w:hAnsi="Arial"/>
          <w:sz w:val="18"/>
          <w:szCs w:val="18"/>
          <w:color w:val="auto"/>
        </w:rPr>
        <w:t>.</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covenants and agrees for the benefit of each series of Securities that it will duly and punctually pay the principal of and any premium and interest on the Securities of that series in accordance with the terms of the Securities and this Indenture.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Maintenance of Office or Agency</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will maintain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may also from time to time designate one or more other offices or agencies where the Securities of one or more series may be presented or surrendered for any or all such purposes and may from time to time rescind such designations. The Company will give prompt written notice to the Trustee of any such designation or rescission and of any change in the location of any such other office or agency.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80" w:right="259" w:bottom="1440" w:gutter="0" w:footer="0" w:header="0"/>
        </w:sectPr>
      </w:pPr>
    </w:p>
    <w:bookmarkStart w:id="192" w:name="page193"/>
    <w:bookmarkEnd w:id="192"/>
    <w:p>
      <w:pPr>
        <w:jc w:val="both"/>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otherwise specified with respect to a series of Securities as contemplated by Section 3.1, the Company hereby initially designates as the Place of Payment for each series of Securities The City and State of New York, and initially appoints the Trustee at its Corporate Trust Office as the Company’s office or agency for each such purpose in such city.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Money for Securities Payments to Be Held in Trust</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the Company shall at any time act as its own Paying Agent, with respect to any series of Securities, it will, on or before each due date of the principal of and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Whenever the Company shall have one or more Paying Agents for any series of Securities, it will, prior to each due date of the principal of and any premium or interest on any Securities of that series, deposit with a Paying Agent a sum sufficient to pay the principal and any premium or interest so becoming due, such sum to be held in trust for the benefit of the Persons entitled to such principal, premium or interest, and (unless such Paying Agent is the Trustee) the Company will promptly notify the Trustee of its action or failure so to act. For purposes of this Section 10.3, should a due date for principal of and any premium or interest on, or sinking fund payment with respect to any series of Securities not be on a Business Day, such payment shall be due on the next Business Day without any interest for the period from the due date until such Business Day.</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51" w:lineRule="exact"/>
        <w:rPr>
          <w:sz w:val="20"/>
          <w:szCs w:val="20"/>
          <w:color w:val="auto"/>
        </w:rPr>
      </w:pPr>
    </w:p>
    <w:p>
      <w:pPr>
        <w:ind w:left="460" w:right="180" w:firstLine="443"/>
        <w:spacing w:after="0" w:line="268" w:lineRule="auto"/>
        <w:tabs>
          <w:tab w:leader="none" w:pos="113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hold all sums held by it for the payment of the principal of and any premium or interest on Securities of that series in trust for the benefit of the Persons entitled thereto until such sums shall be paid to such Persons or otherwise disposed of as herein provided;</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give the Trustee notice of any Default by the Company (or any other obligor upon the Securities of that series) in the making of any payment of principal and any premium or interest on the Securities of that series;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in trust by such Paying Agent.</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and, if applicable, the Guarantors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Subject to any applicable escheat or abandoned property laws, any money deposited with the Trustee or any Paying Agent, or then held by the Company, in trust for the payment of the principal of and any premium or interest on any Security of any series and remaining unclaimed for one year after such principal and any premium or interest has become due and payable shall be paid to the Company on Company Request, or (if then held by the Company) shall be discharged from such trust; and the Holder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280" w:right="279" w:bottom="1440" w:gutter="0" w:footer="0" w:header="0"/>
        </w:sectPr>
      </w:pPr>
    </w:p>
    <w:bookmarkStart w:id="193" w:name="page194"/>
    <w:bookmarkEnd w:id="193"/>
    <w:p>
      <w:pPr>
        <w:ind w:right="2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of such Security shall thereafter, as an unsecured general creditor, look only to the Company for payment thereof, and all liability of the Trustee or such Paying Agent with respect to such trust money, and all liability of the Company as trustee thereof, shall thereupon cease;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Trustee or such Paying Agent, before being required to make any such repayment, may at the expense of the Company cause to be published once, in a newspaper published in the English language, customarily published on each Business Day and of general circulation in the Borough of Manhattan, The City of New York, notice that such money remains unclaimed and that, after a date specified therein, which shall not be less than 30 days from the date of such publication, any unclaimed balance of such money then remaining will be repaid to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Existence</w:t>
      </w:r>
      <w:r>
        <w:rPr>
          <w:rFonts w:ascii="Arial" w:cs="Arial" w:eastAsia="Arial" w:hAnsi="Arial"/>
          <w:sz w:val="18"/>
          <w:szCs w:val="18"/>
          <w:color w:val="auto"/>
        </w:rPr>
        <w:t>.</w:t>
      </w:r>
    </w:p>
    <w:p>
      <w:pPr>
        <w:spacing w:after="0" w:line="90"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 xml:space="preserve">Subject to Article Eight, the Company and, if any Securities of a series to which Article Fourteen has been made applicable are Outstanding, each Guarantor will do or cause to be done all things necessary to preserve and keep in full force and effect its existence, rights (charter and statutory) and franchises; </w:t>
      </w: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however</w:t>
      </w:r>
      <w:r>
        <w:rPr>
          <w:rFonts w:ascii="Arial" w:cs="Arial" w:eastAsia="Arial" w:hAnsi="Arial"/>
          <w:sz w:val="15"/>
          <w:szCs w:val="15"/>
          <w:color w:val="auto"/>
        </w:rPr>
        <w:t>, that the Company and, if applicable, each Guarantor shall not be required to preserve any such right or franchise if the Board of Directors</w:t>
      </w:r>
      <w:r>
        <w:rPr>
          <w:rFonts w:ascii="Arial" w:cs="Arial" w:eastAsia="Arial" w:hAnsi="Arial"/>
          <w:sz w:val="15"/>
          <w:szCs w:val="15"/>
          <w:i w:val="1"/>
          <w:iCs w:val="1"/>
          <w:color w:val="auto"/>
        </w:rPr>
        <w:t xml:space="preserve"> </w:t>
      </w:r>
      <w:r>
        <w:rPr>
          <w:rFonts w:ascii="Arial" w:cs="Arial" w:eastAsia="Arial" w:hAnsi="Arial"/>
          <w:sz w:val="15"/>
          <w:szCs w:val="15"/>
          <w:color w:val="auto"/>
        </w:rPr>
        <w:t>shall determine that the preservation thereof is no longer desirable in the conduct of the business of the Company or such Guarantor, as the case may be.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Statement by Officers as to Default</w:t>
      </w:r>
      <w:r>
        <w:rPr>
          <w:rFonts w:ascii="Arial" w:cs="Arial" w:eastAsia="Arial" w:hAnsi="Arial"/>
          <w:sz w:val="18"/>
          <w:szCs w:val="18"/>
          <w:color w:val="auto"/>
        </w:rPr>
        <w:t>.</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Annually, within 150 days after the close of each fiscal year beginning with the first fiscal year during which one or more series of Securities are Outstanding, the Company and, if any Securities of a series to which Article Fourteen has been made applicable are Outstanding, each Guarantor will deliver to the Trustee a brief certificate (which need not include the statements set forth in Section 1.3) from the principal executive officer, principal financial officer or principal accounting officer of the Company and, if applicable, such Guarantor as to his or her knowledge of the Company’s or such Guarantor’s, as the case may be, compliance (without regard to any period of grace or requirement of notice provided herein) with all conditions and covenants under the Indenture and, if the Company or such Guarantor, as the case may be, shall be in Default, specifying all such Defaults and the nature and status thereof of which such officer has knowledge.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Additional Amounts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Securities of a series provide for the payment of additional amounts (as provided in Section 3.1(o)), at least 10 days prior to the first Interest Payment Date with respect to that series of Securities and at least 10 days prior to each date of payment of principal of, premium, if any, or interest on the Securities of that series if there has been a change with respect to the matters set forth in the below-mentioned Officer’s Certificate, the Company shall furnish to the Trustee and the principal Paying Agent, if other than the Trustee, an Officer’s Certificate instructing the Trustee and such Paying Agent whether such payment of principal of, premium, if any, or interest on the Securities of that series shall be made to holders of the Securities of that series without withholding or deduction for or on account of any tax, assessment or other governmental charge described in the Securities of that series. If any such withholding or deduction shall be required, then such Officer’s Certificate shall specify by country the amount, if any, required to be withheld or deducted on such payments to such holders and shall certify the fact that additional amounts will be payable and the amounts so payable to each holder, and the Company shall pay to the Trustee or such Paying Agent the additional amounts required to be paid by this Section.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 10.6.</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80" w:right="259" w:bottom="1440" w:gutter="0" w:footer="0" w:header="0"/>
        </w:sectPr>
      </w:pPr>
    </w:p>
    <w:bookmarkStart w:id="194" w:name="page195"/>
    <w:bookmarkEnd w:id="194"/>
    <w:p>
      <w:pPr>
        <w:ind w:right="14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Whenever in this Indenture there is mentioned, in any context, the payment of the principal of or any premium, interest or any other amounts on, or in respect of, any Securities of any series, such mention shall be deemed to include mention of the payment of additional amounts provided by the terms of such series established hereby or pursuant hereto to the extent that, in such context, additional amounts are, were or would be payable in respect thereof pursuant to such terms, and express mention of the payment of additional amounts (if applicable) in any provision hereof shall not be construed as excluding the payment of additional amounts in those provisions hereof where such express mention is not made.</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ELEVEN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REDEMPTION OF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Applicability of Article.</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Securities of any series which are redeemable before their Stated Maturity shall be redeemable in accordance with their terms and (except as otherwise specified as contemplated by Section 3.1 for Securities of any series) in accordance with this Article Eleven.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Election to Redeem; Notice to Trustee</w:t>
      </w:r>
      <w:r>
        <w:rPr>
          <w:rFonts w:ascii="Arial" w:cs="Arial" w:eastAsia="Arial" w:hAnsi="Arial"/>
          <w:sz w:val="18"/>
          <w:szCs w:val="18"/>
          <w:color w:val="auto"/>
        </w:rPr>
        <w:t>.</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election of the Company to redeem any Securities shall be evidenced by a Board Resolution. In case of any redemption at the election of the Company of less than all the Securities of any series, the Company shall, at least 15 days prior to the last date for the giving of notice of such redemption (unless a shorter notice shall be satisfactory to the Trustee), notify the Trustee of such Redemption Date and of the principal amount of Securities of such series to be redeemed and, if applicable, of the tenor of the Securities to be redeemed. In the case of any redemption of Securities (a) prior to the expiration of any restriction on such redemption provided in the terms of such Securities or elsewhere in this Indenture or (b) pursuant to an election of the Company that is subject to a condition specified in the terms of the Securities of the series to be redeemed, the Company shall furnish the Trustee with an Officer’s Certificate evidencing compliance with such restriction or condition.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Selection by Trustee of Securities to Be Redeemed</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less than all the Securities of any series are to be redeemed (unless all of the Securities of such series and of a specified tenor are to be redeemed), the particular Securities to be redeemed shall be selected not more than 45 days prior to the Redemption Date by the Trustee, from the Outstanding Securities of such series not previously called for redemption, by such method as the Trustee shall deem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Trustee shall promptly notify the Company in writing of the Securities selected for redemption and, in the case of any Securities selected for partial redemption, the principal amount thereof to be redeemed. If the Securities of any series to be redeemed consist of Securities having different dates on which the principal is payable or different rates of interest, or different methods by which interest may be determined or have any other different tenor or terms, then the Company may, by written notice to the Trustee, direct that the Securities of such series to be redeemed shall be selected from among the groups of such Securities having specified tenor or terms and the Trustee shall thereafter select the particular Securities to be redeemed in the manner set forth in the preceding paragraph from among the group of such Securities so specified.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195" w:name="page196"/>
    <w:bookmarkEnd w:id="195"/>
    <w:p>
      <w:pPr>
        <w:ind w:right="2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Notice of redemption shall be given by first-class mail, postage prepaid, mailed not less than 30 nor more than 60 days prior to the Redemption Date, to each Holder of Securities to be redeemed, at his address appearing in the Security Register.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notices of redemption shall state:</w:t>
      </w:r>
    </w:p>
    <w:p>
      <w:pPr>
        <w:spacing w:after="0" w:line="90" w:lineRule="exact"/>
        <w:rPr>
          <w:sz w:val="20"/>
          <w:szCs w:val="20"/>
          <w:color w:val="auto"/>
        </w:rPr>
      </w:pPr>
    </w:p>
    <w:p>
      <w:pPr>
        <w:ind w:left="1140" w:hanging="237"/>
        <w:spacing w:after="0"/>
        <w:tabs>
          <w:tab w:leader="none" w:pos="11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Redemption Price, or if not then ascertainable, the manner of calculation thereof,</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3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if less than all the Outstanding Securities of any series are to be redeemed, the identification (and, in the case of partial redemption, the principal amounts) of the particular Securities to be redeemed,</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place or places where such Securities are to be surrendered for payment of the Redemption Price, and</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Prior to any Redemption Date, the Company shall deposit with the Trustee or with a Paying Agent (or, if the Company is acting as its own Paying Agent, segregate and hold in trust as provided in Section 10.3) an amount of money sufficient to pay the Redemption Price of, and (except if the Redemption Date shall be an Interest Payment Date) accrued interest on, all the Securities which are to be redeemed on that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Securities Payable on Redemption Date</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280" w:right="299" w:bottom="1440" w:gutter="0" w:footer="0" w:header="0"/>
        </w:sectPr>
      </w:pPr>
    </w:p>
    <w:bookmarkStart w:id="196" w:name="page197"/>
    <w:bookmarkEnd w:id="196"/>
    <w:p>
      <w:pPr>
        <w:ind w:right="2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together with accrued interest to the Redemption Date;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unless otherwise specified with respect to Securities of any series as contemplated in Section 3.1, installments of interest whose Stated Maturity is on or prior to the Redemption Date shall be payable to the Holders of such Securities, or one or more Predecessor Securities, registered as such at the close of business on the relevant Record Dates according to their terms and the provisions of Section 3.7.</w:t>
      </w:r>
    </w:p>
    <w:p>
      <w:pPr>
        <w:spacing w:after="0" w:line="8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premium, if any) shall, until paid, bear interest from the Redemption Date at the rate prescribed therefor in the Security.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11.7. </w:t>
      </w:r>
      <w:r>
        <w:rPr>
          <w:rFonts w:ascii="Arial" w:cs="Arial" w:eastAsia="Arial" w:hAnsi="Arial"/>
          <w:sz w:val="18"/>
          <w:szCs w:val="18"/>
          <w:u w:val="single" w:color="auto"/>
          <w:color w:val="auto"/>
        </w:rPr>
        <w:t>Securities Redeemed in Part</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and tenor, of any authorized denomination as requested by such Holder, in aggregate principal amount equal to and in exchange for the unredeemed portion of the principal of the Security so surrendered.</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TWELVE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SINKING FUNDS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Applicability of Article.</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provisions of this Article Twelve shall be applicable to any sinking fund for the retirement of Securities of a series except as otherwise specified as contemplated by Section 3.1 for Securities of such series.</w:t>
      </w:r>
    </w:p>
    <w:p>
      <w:pPr>
        <w:spacing w:after="0" w:line="132"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12.2. Each sinking fund payment shall be applied to the redemption of Securities of any series as provided for by the terms of Securities of such series.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The Company (a) may deliver Outstanding Securities of a series (other than any previously called for redemption) and (b)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280" w:right="27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12.3. </w:t>
      </w:r>
      <w:r>
        <w:rPr>
          <w:rFonts w:ascii="Arial" w:cs="Arial" w:eastAsia="Arial" w:hAnsi="Arial"/>
          <w:sz w:val="18"/>
          <w:szCs w:val="18"/>
          <w:u w:val="single" w:color="auto"/>
          <w:color w:val="auto"/>
        </w:rPr>
        <w:t>Redemption of Securities for Sinking Fund</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that series, the portion thereof, if any, which is to be satisfied by payment of cash and the portion thereof, if any, which is to be satisfied by delivering and crediting Securities of that series pursuant to Section 12.2 and stating the basis for such credit and that such Securities have not been previously so credited, and will also deliver to the Trustee any Securities to be so delivered. Not less than 30 days before each such sinking fund payment date the Trustee shall select the Securities to be redeemed upon such sinking fund payment date in the manner specified in Section 11.3 and cause notice of the redemption thereof to be given in the name of and at the expense of the Company in the manner provided in Section 11.4. Such notice having been duly given, the redemption of such Securities shall be made upon the terms and in the manner stated in Section 11.6 and Section 11.7.</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THIRTEEN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DEFEASANCE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Option to Effect Legal Defeasance or Covenant Defeasance</w:t>
      </w:r>
      <w:r>
        <w:rPr>
          <w:rFonts w:ascii="Arial" w:cs="Arial" w:eastAsia="Arial" w:hAnsi="Arial"/>
          <w:sz w:val="18"/>
          <w:szCs w:val="18"/>
          <w:color w:val="auto"/>
        </w:rPr>
        <w:t>.</w:t>
      </w:r>
    </w:p>
    <w:p>
      <w:pPr>
        <w:spacing w:after="0" w:line="9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Company may, at the option of its Board of Directors evidenced by a resolution set forth in an Officers’ Certificate, and at any time, elect to have either Section 13.2 or Section 13.3 hereof be applied to all outstanding Securities upon compliance with the conditions set forth below in this Article Thirteen.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13.2. </w:t>
      </w:r>
      <w:r>
        <w:rPr>
          <w:rFonts w:ascii="Arial" w:cs="Arial" w:eastAsia="Arial" w:hAnsi="Arial"/>
          <w:sz w:val="18"/>
          <w:szCs w:val="18"/>
          <w:u w:val="single" w:color="auto"/>
          <w:color w:val="auto"/>
        </w:rPr>
        <w:t>Legal Defeasance and Discharge</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Upon the Company’s exercise under Section 13.1 hereof of the option applicable to this Section 13.2, the Company and each of the Guarantors will, subject to the satisfaction of the conditions set forth in Section 13.4 hereof, be deemed to have been discharged from their obligations with respect to all outstanding Securities (including the Guarantees) on the date the conditions set forth below are satisfied (hereinafter, “Legal Defeasance”). For this purpose, Legal Defeasance means that the Company and the Guarantors will be deemed to have paid and discharged the entire Debt represented by the outstanding Securities (including the Guarantees), which will thereafter be deemed to be “outstanding” only for the purposes of Section 13.5 hereof and the other sections of this Indenture referred to in clauses (a) and (b) below, and to have satisfied all their other obligations under such Securities, the Guarantees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37" w:lineRule="exact"/>
        <w:rPr>
          <w:sz w:val="20"/>
          <w:szCs w:val="20"/>
          <w:color w:val="auto"/>
        </w:rPr>
      </w:pPr>
    </w:p>
    <w:p>
      <w:pPr>
        <w:ind w:left="460" w:firstLine="443"/>
        <w:spacing w:after="0" w:line="268" w:lineRule="auto"/>
        <w:tabs>
          <w:tab w:leader="none" w:pos="113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rights of Holders of Outstanding Securities to receive payments in respect of the principal of, or interest or premium, if any, on such Securities when such payments are due from the trust referred to in Section 13.4 hereof;</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Company’s obligations with respect to such Securities under Section 3.4, Section 3.5, Section 3.6, Section 10.2 and Section 10.3 hereof;</w:t>
      </w:r>
    </w:p>
    <w:p>
      <w:pPr>
        <w:spacing w:after="0" w:line="113" w:lineRule="exact"/>
        <w:rPr>
          <w:rFonts w:ascii="Arial" w:cs="Arial" w:eastAsia="Arial" w:hAnsi="Arial"/>
          <w:sz w:val="16"/>
          <w:szCs w:val="16"/>
          <w:color w:val="auto"/>
        </w:rPr>
      </w:pPr>
    </w:p>
    <w:p>
      <w:pPr>
        <w:ind w:left="460" w:right="480" w:firstLine="443"/>
        <w:spacing w:after="0" w:line="268" w:lineRule="auto"/>
        <w:tabs>
          <w:tab w:leader="none" w:pos="113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hereunder and the Company’s and the Guarantors’ obligations in connection therewith;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this Article Thirteen.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80" w:right="259" w:bottom="1440" w:gutter="0" w:footer="0" w:header="0"/>
        </w:sectPr>
      </w:pPr>
    </w:p>
    <w:bookmarkStart w:id="198" w:name="page199"/>
    <w:bookmarkEnd w:id="198"/>
    <w:p>
      <w:pPr>
        <w:ind w:right="3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compliance with this Article Thirteen, the Company may exercise its option under this Section 13.2 notwithstanding the prior exercise of its option under Section 13.3 hereof.</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13.3. </w:t>
      </w:r>
      <w:r>
        <w:rPr>
          <w:rFonts w:ascii="Arial" w:cs="Arial" w:eastAsia="Arial" w:hAnsi="Arial"/>
          <w:sz w:val="18"/>
          <w:szCs w:val="18"/>
          <w:u w:val="single" w:color="auto"/>
          <w:color w:val="auto"/>
        </w:rPr>
        <w:t>Covenant Defeasance</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Upon the Company’s exercise under Section 13.1 hereof of the option applicable to this Section 13.3, the Company and each of the Guarantors will, subject to the satisfaction of the conditions set forth in Section 13.4 hereof, be released from each of their obligations under the covenants contained in Section 7.4, Section 8.1 and Section 10.4 hereof as well as any Additional Defeasible Provisions (such release and termination hereinafter referred to as “</w:t>
      </w:r>
      <w:r>
        <w:rPr>
          <w:rFonts w:ascii="Arial" w:cs="Arial" w:eastAsia="Arial" w:hAnsi="Arial"/>
          <w:sz w:val="16"/>
          <w:szCs w:val="16"/>
          <w:i w:val="1"/>
          <w:iCs w:val="1"/>
          <w:color w:val="auto"/>
        </w:rPr>
        <w:t>Covenant</w:t>
      </w:r>
      <w:r>
        <w:rPr>
          <w:rFonts w:ascii="Arial" w:cs="Arial" w:eastAsia="Arial" w:hAnsi="Arial"/>
          <w:sz w:val="16"/>
          <w:szCs w:val="16"/>
          <w:color w:val="auto"/>
        </w:rPr>
        <w:t xml:space="preserve"> </w:t>
      </w:r>
      <w:r>
        <w:rPr>
          <w:rFonts w:ascii="Arial" w:cs="Arial" w:eastAsia="Arial" w:hAnsi="Arial"/>
          <w:sz w:val="16"/>
          <w:szCs w:val="16"/>
          <w:i w:val="1"/>
          <w:iCs w:val="1"/>
          <w:color w:val="auto"/>
        </w:rPr>
        <w:t>Defeasance</w:t>
      </w:r>
      <w:r>
        <w:rPr>
          <w:rFonts w:ascii="Arial" w:cs="Arial" w:eastAsia="Arial" w:hAnsi="Arial"/>
          <w:sz w:val="16"/>
          <w:szCs w:val="16"/>
          <w:color w:val="auto"/>
        </w:rPr>
        <w:t>”), and the Securities will thereafter be deemed not “outstanding” for the purposes of any direction, waiver, consent or declaration or act of Holders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consequences of any thereof) in connection with such covenants, but will continue to be deemed “outstanding” for all other purposes hereunder (it being understood that such Securities will not be deemed outstanding for accounting purposes). For this purpose, Covenant Defeasance means that, with respect to the outstanding Securities and Guarantees, the Company and the Guarantors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5.1 hereof, but, except as specified above, the remainder of this Indenture and such Securities and Guarantees will be unaffected thereby. In addition, upon the Company’s exercise under Section 13.1 hereof of the option applicable to this Section 13.3 hereof, subject to the satisfaction of the conditions set forth in Section 13.4 hereof, Section 5.1(c) and Section 5.1(d) hereof and will not constitute Events of Default.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13.4. </w:t>
      </w:r>
      <w:r>
        <w:rPr>
          <w:rFonts w:ascii="Arial" w:cs="Arial" w:eastAsia="Arial" w:hAnsi="Arial"/>
          <w:sz w:val="18"/>
          <w:szCs w:val="18"/>
          <w:u w:val="single" w:color="auto"/>
          <w:color w:val="auto"/>
        </w:rPr>
        <w:t>Conditions to Legal or Covenant Defeasance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 under either Section 13.2 or Section 13.3 hereof:</w:t>
      </w:r>
    </w:p>
    <w:p>
      <w:pPr>
        <w:spacing w:after="0" w:line="90" w:lineRule="exact"/>
        <w:rPr>
          <w:sz w:val="20"/>
          <w:szCs w:val="20"/>
          <w:color w:val="auto"/>
        </w:rPr>
      </w:pPr>
    </w:p>
    <w:p>
      <w:pPr>
        <w:ind w:left="460" w:right="40" w:firstLine="443"/>
        <w:spacing w:after="0" w:line="318" w:lineRule="auto"/>
        <w:tabs>
          <w:tab w:leader="none" w:pos="1137" w:val="left"/>
        </w:tabs>
        <w:numPr>
          <w:ilvl w:val="0"/>
          <w:numId w:val="159"/>
        </w:numPr>
        <w:rPr>
          <w:rFonts w:ascii="Arial" w:cs="Arial" w:eastAsia="Arial" w:hAnsi="Arial"/>
          <w:sz w:val="15"/>
          <w:szCs w:val="15"/>
          <w:color w:val="auto"/>
        </w:rPr>
      </w:pPr>
      <w:r>
        <w:rPr>
          <w:rFonts w:ascii="Arial" w:cs="Arial" w:eastAsia="Arial" w:hAnsi="Arial"/>
          <w:sz w:val="15"/>
          <w:szCs w:val="15"/>
          <w:color w:val="auto"/>
        </w:rPr>
        <w:t>the Company must irrevocably deposit with the Trustee, in trust, for the benefit of the Holders of the Securities, cash in U.S. dollars, non-callable U.S. Government Obligations, or a combination of cash in U.S. dollars and non-callable U.S. Government Obligations, in such amounts as will be sufficient, in the opinion of a nationally recognized investment bank, appraisal firm, or firm of independent public accountants to pay the principal of, or interest and premium, if any, and interest on the Outstanding Securities on the stated date for payment thereof or on the applicable redemption date, as the case may be, and the Company must specify whether the Securities are being defeased to such stated date for payment or to a particular redemption date;</w:t>
      </w:r>
    </w:p>
    <w:p>
      <w:pPr>
        <w:spacing w:after="0" w:line="18" w:lineRule="exact"/>
        <w:rPr>
          <w:rFonts w:ascii="Arial" w:cs="Arial" w:eastAsia="Arial" w:hAnsi="Arial"/>
          <w:sz w:val="15"/>
          <w:szCs w:val="15"/>
          <w:color w:val="auto"/>
        </w:rPr>
      </w:pPr>
    </w:p>
    <w:p>
      <w:pPr>
        <w:ind w:left="1160" w:hanging="257"/>
        <w:spacing w:after="0"/>
        <w:tabs>
          <w:tab w:leader="none" w:pos="116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in the case of an election under Section 13.2 hereof, the Company must deliver to the Trustee an Opinion of Counsel confirming that:</w:t>
      </w:r>
    </w:p>
    <w:p>
      <w:pPr>
        <w:spacing w:after="0" w:line="113" w:lineRule="exact"/>
        <w:rPr>
          <w:rFonts w:ascii="Arial" w:cs="Arial" w:eastAsia="Arial" w:hAnsi="Arial"/>
          <w:sz w:val="16"/>
          <w:szCs w:val="16"/>
          <w:color w:val="auto"/>
        </w:rPr>
      </w:pPr>
    </w:p>
    <w:p>
      <w:pPr>
        <w:ind w:left="1560" w:hanging="219"/>
        <w:spacing w:after="0"/>
        <w:tabs>
          <w:tab w:leader="none" w:pos="15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Company has received from, or there has been published by, the Internal Revenue Service a ruling; or</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since the Issue Date, there has been a change in the applicable federal income tax law,</w:t>
      </w:r>
    </w:p>
    <w:p>
      <w:pPr>
        <w:spacing w:after="0" w:line="90" w:lineRule="exact"/>
        <w:rPr>
          <w:sz w:val="20"/>
          <w:szCs w:val="20"/>
          <w:color w:val="auto"/>
        </w:rPr>
      </w:pPr>
    </w:p>
    <w:p>
      <w:pPr>
        <w:ind w:left="920" w:right="100"/>
        <w:spacing w:after="0" w:line="306" w:lineRule="auto"/>
        <w:rPr>
          <w:sz w:val="20"/>
          <w:szCs w:val="20"/>
          <w:color w:val="auto"/>
        </w:rPr>
      </w:pPr>
      <w:r>
        <w:rPr>
          <w:rFonts w:ascii="Arial" w:cs="Arial" w:eastAsia="Arial" w:hAnsi="Arial"/>
          <w:sz w:val="16"/>
          <w:szCs w:val="16"/>
          <w:color w:val="auto"/>
        </w:rPr>
        <w:t>in either case to the effect that, and based thereon such Opinion of Counsel will confirm that, the Holders of the Outstanding Securities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80" w:right="259" w:bottom="1440" w:gutter="0" w:footer="0" w:header="0"/>
        </w:sectPr>
      </w:pPr>
    </w:p>
    <w:bookmarkStart w:id="199" w:name="page200"/>
    <w:bookmarkEnd w:id="199"/>
    <w:p>
      <w:pPr>
        <w:ind w:left="460" w:right="80" w:firstLine="443"/>
        <w:spacing w:after="0" w:line="256" w:lineRule="auto"/>
        <w:tabs>
          <w:tab w:leader="none" w:pos="1137"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case of an election under Section 13.4 hereof, the Company must deliver to the Trustee an Opinion of Counsel confirming that the Holders of the Outstanding Securities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3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deposit will not result in a breach or violation of, or constitute a default under, any other instrument to which the Company or any Guarantor is a party or by which the Company or any Guarantor is bound;</w:t>
      </w:r>
    </w:p>
    <w:p>
      <w:pPr>
        <w:spacing w:after="0" w:line="50" w:lineRule="exact"/>
        <w:rPr>
          <w:rFonts w:ascii="Arial" w:cs="Arial" w:eastAsia="Arial" w:hAnsi="Arial"/>
          <w:sz w:val="18"/>
          <w:szCs w:val="18"/>
          <w:color w:val="auto"/>
        </w:rPr>
      </w:pPr>
    </w:p>
    <w:p>
      <w:pPr>
        <w:ind w:left="460" w:right="40" w:firstLine="443"/>
        <w:spacing w:after="0" w:line="259" w:lineRule="auto"/>
        <w:tabs>
          <w:tab w:leader="none" w:pos="111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this Indenture) to which the Company or any of its Subsidiaries is a party or by which the Company or any of its Subsidiaries is bound;</w:t>
      </w:r>
    </w:p>
    <w:p>
      <w:pPr>
        <w:spacing w:after="0" w:line="59" w:lineRule="exact"/>
        <w:rPr>
          <w:rFonts w:ascii="Arial" w:cs="Arial" w:eastAsia="Arial" w:hAnsi="Arial"/>
          <w:sz w:val="18"/>
          <w:szCs w:val="18"/>
          <w:color w:val="auto"/>
        </w:rPr>
      </w:pPr>
    </w:p>
    <w:p>
      <w:pPr>
        <w:ind w:left="460" w:right="500" w:firstLine="443"/>
        <w:spacing w:after="0" w:line="259" w:lineRule="auto"/>
        <w:tabs>
          <w:tab w:leader="none" w:pos="114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stating that the deposit was not made by the Company with the intent of preferring the Holders of Securities over the other creditors of the Company with the intent of defeating, hindering, delaying or defrauding any other creditors of the Company or others;</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stating that all conditions precedent set forth in clauses (a) through (g) of this Section 13.4 have been complied with; and</w:t>
      </w:r>
    </w:p>
    <w:p>
      <w:pPr>
        <w:spacing w:after="0" w:line="50" w:lineRule="exact"/>
        <w:rPr>
          <w:rFonts w:ascii="Arial" w:cs="Arial" w:eastAsia="Arial" w:hAnsi="Arial"/>
          <w:sz w:val="18"/>
          <w:szCs w:val="18"/>
          <w:color w:val="auto"/>
        </w:rPr>
      </w:pPr>
    </w:p>
    <w:p>
      <w:pPr>
        <w:ind w:left="460" w:right="560" w:firstLine="443"/>
        <w:spacing w:after="0" w:line="306" w:lineRule="auto"/>
        <w:tabs>
          <w:tab w:leader="none" w:pos="110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the Company must deliver to the Trustee an Opinion of Counsel (which Opinion of Counsel may be subject to customary assumptions, qualifications and exclusions), stating that all conditions precedent set forth in clauses (b), (c) and (e) of this Section 13.4 have been complied with;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Opinion of Counsel with respect to clause (e) of this Section 13.4 may be to the knowledge of such counsel.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13.5. </w:t>
      </w:r>
      <w:r>
        <w:rPr>
          <w:rFonts w:ascii="Arial" w:cs="Arial" w:eastAsia="Arial" w:hAnsi="Arial"/>
          <w:sz w:val="18"/>
          <w:szCs w:val="18"/>
          <w:u w:val="single" w:color="auto"/>
          <w:color w:val="auto"/>
        </w:rPr>
        <w:t>Deposited Money and U.S. Government Obligations to be Held in Trust, Other Miscellaneous Provisions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Subject to Section 13.6 hereof, all money and non-callable U.S. Government Obligation (including the proceeds thereof) deposited with the Trustee (or other qualifying trustee, collectively for purposes of this Section 13.5, the “</w:t>
      </w:r>
      <w:r>
        <w:rPr>
          <w:rFonts w:ascii="Arial" w:cs="Arial" w:eastAsia="Arial" w:hAnsi="Arial"/>
          <w:sz w:val="16"/>
          <w:szCs w:val="16"/>
          <w:i w:val="1"/>
          <w:iCs w:val="1"/>
          <w:color w:val="auto"/>
        </w:rPr>
        <w:t>Trustee</w:t>
      </w:r>
      <w:r>
        <w:rPr>
          <w:rFonts w:ascii="Arial" w:cs="Arial" w:eastAsia="Arial" w:hAnsi="Arial"/>
          <w:sz w:val="16"/>
          <w:szCs w:val="16"/>
          <w:color w:val="auto"/>
        </w:rPr>
        <w:t>”) pursuant to Section 13.4 hereof in respect of the Outstanding Securities will be held in trust and applied by the Trustee, in accordance with the provisions of such Securities and this Indenture, to the payment, either directly or through any Paying Agent (including the Company acting as Paying Agent) as the Trustee may determine, to the Holders of such Securities of all sums due and to become due thereon in respect of principal, premium, if any, and interest, but such money need not be segregated from other funds except to the extent required by law.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80" w:right="259" w:bottom="1440" w:gutter="0" w:footer="0" w:header="0"/>
        </w:sectPr>
      </w:pPr>
    </w:p>
    <w:bookmarkStart w:id="200" w:name="page201"/>
    <w:bookmarkEnd w:id="200"/>
    <w:p>
      <w:pPr>
        <w:ind w:right="2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will pay and indemnify the Trustee against any tax, fee or other charge imposed on or assessed against the cash or non-callable U.S. Government Obligations deposited pursuant to Section 13.4 hereof or the principal and interest received in respect thereof other than any such tax, fee or other charge which by law is for the account of the Holders of the Outstanding Securities.</w:t>
      </w:r>
    </w:p>
    <w:p>
      <w:pPr>
        <w:spacing w:after="0" w:line="140" w:lineRule="exact"/>
        <w:rPr>
          <w:sz w:val="20"/>
          <w:szCs w:val="20"/>
          <w:color w:val="auto"/>
        </w:rPr>
      </w:pPr>
    </w:p>
    <w:p>
      <w:pPr>
        <w:jc w:val="both"/>
        <w:ind w:right="100" w:firstLine="456"/>
        <w:spacing w:after="0" w:line="284" w:lineRule="auto"/>
        <w:rPr>
          <w:sz w:val="20"/>
          <w:szCs w:val="20"/>
          <w:color w:val="auto"/>
        </w:rPr>
      </w:pPr>
      <w:r>
        <w:rPr>
          <w:rFonts w:ascii="Arial" w:cs="Arial" w:eastAsia="Arial" w:hAnsi="Arial"/>
          <w:sz w:val="16"/>
          <w:szCs w:val="16"/>
          <w:color w:val="auto"/>
        </w:rPr>
        <w:t>Notwithstanding anything in this Article Thirteen to the contrary, the Trustee will deliver or pay to the Company from time to time upon the request of the Company any money or non-callable U.S. Government Obligations held by it as provided in Section 13.4 hereof which, in the opinion of a nationally recognized firm of independent public accountants expressed in a written certification thereof delivered to the Trustee (which may be the opinion delivered under</w:t>
      </w:r>
    </w:p>
    <w:p>
      <w:pPr>
        <w:spacing w:after="0" w:line="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Section 13.4(a) hereof), are in excess of the amount thereof that would then be required to be deposited to effect an equivalent Legal Defeasance or Covenant Defeasance.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13.6. </w:t>
      </w:r>
      <w:r>
        <w:rPr>
          <w:rFonts w:ascii="Arial" w:cs="Arial" w:eastAsia="Arial" w:hAnsi="Arial"/>
          <w:sz w:val="18"/>
          <w:szCs w:val="18"/>
          <w:u w:val="single" w:color="auto"/>
          <w:color w:val="auto"/>
        </w:rPr>
        <w:t>Repayment</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Any money deposited with the Trustee or any Paying Agent, or then held by the Company, in trust for the payment of the principal of, premium, if any, or interest on any Security and remaining unclaimed for two years after such principal, premium, if any, or interest has become due and payable shall be paid to the Company on its request or (if then held by the Company) will be discharged from such trust; and the Holder of such Security will thereafter be permitted to look only to the Company for payment thereof, and all liability of the Trustee or such Paying Agent with respect to such trust money, and all liability of the Company as trustee thereof, will thereupon cease;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will be repaid to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13.7.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If the Trustee or Paying Agent is unable to apply any United States dollars or non-callable U.S. Government Obligations in accordance with Section 13.2 or Section 13.3 hereof, as the case may be, by reason of any order or judgment of any court or governmental authority enjoining, restraining or otherwise prohibiting such application, then the Company’s and the Guarantors’ obligations under this Indenture and the Securities and the Guarantees will be revived and reinstated as though no deposit had occurred pursuant to Section 13.2 or Section 13.3 hereof until such time as the Trustee or Paying Agent is permitted to apply all such money in accordance with Section 13.2 or Section 13.3 hereof,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Company makes any payment of principal of, premium, if any, or interest on any Note following the reinstatement of its obligations, the Company will be subrogated to the rights of the Holders of such Securities to receive such payment from the money held by the Trustee or Paying Agent.</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FOURTEEN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GUARANTEE OF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14.1. </w:t>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90" w:lineRule="exact"/>
        <w:rPr>
          <w:sz w:val="20"/>
          <w:szCs w:val="20"/>
          <w:color w:val="auto"/>
        </w:rPr>
      </w:pPr>
    </w:p>
    <w:p>
      <w:pPr>
        <w:ind w:left="460" w:right="80" w:firstLine="443"/>
        <w:spacing w:after="0" w:line="259" w:lineRule="auto"/>
        <w:tabs>
          <w:tab w:leader="none" w:pos="113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Subject to the other provisions of this Article Fourteen, each of the Guarantors hereby jointly and severally, guarantees to each Holder of a Security of each series to which this Article Fourteen has been made applicable as provided in Section 3.1(t) (the Securities of such series being referred to herein as the “Guaranteed Securities”) (which Security has been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201" w:name="page202"/>
    <w:bookmarkEnd w:id="20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authenticated and delivered by the Trustee), and to the Trustee and its successors and assigns, irrespective of the validity and enforceability of this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Indenture, the Guaranteed Securities, the obligations of the Company hereunder or thereunder, that:</w:t>
      </w:r>
    </w:p>
    <w:p>
      <w:pPr>
        <w:spacing w:after="0" w:line="84" w:lineRule="exact"/>
        <w:rPr>
          <w:sz w:val="20"/>
          <w:szCs w:val="20"/>
          <w:color w:val="auto"/>
        </w:rPr>
      </w:pPr>
    </w:p>
    <w:p>
      <w:pPr>
        <w:ind w:left="920" w:right="140" w:firstLine="421"/>
        <w:spacing w:after="0" w:line="256" w:lineRule="auto"/>
        <w:tabs>
          <w:tab w:leader="none" w:pos="154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principal of, premium, if any, and interest on the Guaranteed Securities will be promptly paid in full when due, whether at maturity, by acceleration, redemption or otherwise, and interest on the overdue principal of and interest on the Guaranteed Securities, if any, if lawful, and all other obligations of the Company to the Holders of Guaranteed Securities, or the Trustee hereunder or thereunder will be promptly paid in full or performed, all in accordance with the terms hereof and thereof; and</w:t>
      </w:r>
    </w:p>
    <w:p>
      <w:pPr>
        <w:spacing w:after="0" w:line="62" w:lineRule="exact"/>
        <w:rPr>
          <w:rFonts w:ascii="Arial" w:cs="Arial" w:eastAsia="Arial" w:hAnsi="Arial"/>
          <w:sz w:val="18"/>
          <w:szCs w:val="18"/>
          <w:color w:val="auto"/>
        </w:rPr>
      </w:pPr>
    </w:p>
    <w:p>
      <w:pPr>
        <w:ind w:left="920" w:right="60" w:firstLine="421"/>
        <w:spacing w:after="0" w:line="259" w:lineRule="auto"/>
        <w:tabs>
          <w:tab w:leader="none" w:pos="159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case of any extension of time of payment or renewal of any Guaranteed Securities or any of such other obligations, that same will be promptly paid in full when due or performed in accordance with the terms of the extension or renewal, whether at stated maturity, by acceleration or otherwise.</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4" w:lineRule="exact"/>
        <w:rPr>
          <w:sz w:val="20"/>
          <w:szCs w:val="20"/>
          <w:color w:val="auto"/>
        </w:rPr>
      </w:pPr>
    </w:p>
    <w:p>
      <w:pPr>
        <w:ind w:left="460" w:right="60" w:firstLine="443"/>
        <w:spacing w:after="0" w:line="289" w:lineRule="auto"/>
        <w:tabs>
          <w:tab w:leader="none" w:pos="1147"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To the extent permissible under applicable law, the obligations of the Guarantors under this Guarantee are unconditional, irrespective of the validity, regularity or enforceability of the Guaranteed Securities or this Indenture, the absence of any action to enforce the same, any waiver or consent by any Holder of the Guaranteed Securities with respect to any provisions hereof or thereof, the recovery of any judgment against the Company, any action to enforce the same or any other circumstance which might otherwise constitute a legal or equitable discharge or defense of a guarantor. To the extent permitted by applicable law, each Guarantor hereby waives diligence, presentment, demand of payment, filing of claims with a court in the event of insolvency or bankruptcy of the Company, any right to require a proceeding first against the Company, protest, notice and all demands whatsoever and covenant that this Guarantee will not be discharged except by complete performance of the obligations contained in the Guaranteed Securities and this Indenture.</w:t>
      </w:r>
    </w:p>
    <w:p>
      <w:pPr>
        <w:spacing w:after="0" w:line="37" w:lineRule="exact"/>
        <w:rPr>
          <w:rFonts w:ascii="Arial" w:cs="Arial" w:eastAsia="Arial" w:hAnsi="Arial"/>
          <w:sz w:val="16"/>
          <w:szCs w:val="16"/>
          <w:color w:val="auto"/>
        </w:rPr>
      </w:pPr>
    </w:p>
    <w:p>
      <w:pPr>
        <w:jc w:val="both"/>
        <w:ind w:left="460" w:right="20" w:firstLine="443"/>
        <w:spacing w:after="0" w:line="259" w:lineRule="auto"/>
        <w:tabs>
          <w:tab w:leader="none" w:pos="113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Guarantee, to the extent theretofore discharged, will be reinstated in full force and effect.</w:t>
      </w:r>
    </w:p>
    <w:p>
      <w:pPr>
        <w:spacing w:after="0" w:line="59" w:lineRule="exact"/>
        <w:rPr>
          <w:rFonts w:ascii="Arial" w:cs="Arial" w:eastAsia="Arial" w:hAnsi="Arial"/>
          <w:sz w:val="18"/>
          <w:szCs w:val="18"/>
          <w:color w:val="auto"/>
        </w:rPr>
      </w:pPr>
    </w:p>
    <w:p>
      <w:pPr>
        <w:ind w:left="460" w:firstLine="443"/>
        <w:spacing w:after="0" w:line="289" w:lineRule="auto"/>
        <w:tabs>
          <w:tab w:leader="none" w:pos="1147" w:val="left"/>
        </w:tabs>
        <w:numPr>
          <w:ilvl w:val="0"/>
          <w:numId w:val="163"/>
        </w:numPr>
        <w:rPr>
          <w:rFonts w:ascii="Arial" w:cs="Arial" w:eastAsia="Arial" w:hAnsi="Arial"/>
          <w:sz w:val="16"/>
          <w:szCs w:val="16"/>
          <w:color w:val="auto"/>
        </w:rPr>
      </w:pPr>
      <w:r>
        <w:rPr>
          <w:rFonts w:ascii="Arial" w:cs="Arial" w:eastAsia="Arial" w:hAnsi="Arial"/>
          <w:sz w:val="16"/>
          <w:szCs w:val="16"/>
          <w:color w:val="auto"/>
        </w:rPr>
        <w:t>Each Guarantor agrees that it will not be entitled to any right of subrogation in relation to the Holders in respect of any obligations guaranteed hereby until payment in full of all obligations guaranteed hereby. Each Guarantor further agrees that, to the extent permitted by applicable law, as between the Guarantors, on the one hand, and the Holders of Guaranteed Securities and the Trustee, on the other hand, (1) the maturity of the obligations guaranteed hereby may be accelerated as provided in Article Five hereof for the purposes of this Guarantee, notwithstanding any stay, injunction or other prohibition preventing such acceleration in respect of the obligations guaranteed hereby, and (2) in the event of any declaration of acceleration of such obligations as provided in Article Five hereof, such obligations (regardless of whether due and payable) will forthwith become due and payable by the Guarantors for the purpose of this Guarantee. The Guarantors will have the right to seek contribution from any non-paying Guarantor so long as the exercise of such right does not impair the rights of the Holders under the Guarantee.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80" w:right="25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14.2. </w:t>
      </w:r>
      <w:r>
        <w:rPr>
          <w:rFonts w:ascii="Arial" w:cs="Arial" w:eastAsia="Arial" w:hAnsi="Arial"/>
          <w:sz w:val="18"/>
          <w:szCs w:val="18"/>
          <w:u w:val="single" w:color="auto"/>
          <w:color w:val="auto"/>
        </w:rPr>
        <w:t>Limitation on Guarantor Liability</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Each Guarantor, and by its acceptance of Guaranteed Securities, each Holder thereof,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to the extent permitted under applicable law, the Holders and each Guarantor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Fourteen, result in the obligations of such Guarantor under its Guarantee not constituting a fraudulent transfer or conveyance.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14.3. </w:t>
      </w:r>
      <w:r>
        <w:rPr>
          <w:rFonts w:ascii="Arial" w:cs="Arial" w:eastAsia="Arial" w:hAnsi="Arial"/>
          <w:sz w:val="18"/>
          <w:szCs w:val="18"/>
          <w:u w:val="single" w:color="auto"/>
          <w:color w:val="auto"/>
        </w:rPr>
        <w:t>Execution and Delivery of Guarantee Notation</w:t>
      </w:r>
      <w:r>
        <w:rPr>
          <w:rFonts w:ascii="Arial" w:cs="Arial" w:eastAsia="Arial" w:hAnsi="Arial"/>
          <w:sz w:val="18"/>
          <w:szCs w:val="18"/>
          <w:color w:val="auto"/>
        </w:rPr>
        <w:t>.</w:t>
      </w:r>
    </w:p>
    <w:p>
      <w:pPr>
        <w:spacing w:after="0" w:line="90"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To evidence its Guarantee set forth in Section 14.1 hereof, each Guarantor hereby agrees that a notation of such Guarantee substantially in the form set forth in Section 2.3 or established pursuant to a Board Resolution or in a supplemental indenture, in accordance with the provisions of Section 2.1, will be endorsed by an officer of such Guarantor on each Guaranteed Security authenticated and delivered by the Trustee and that this Indenture will be executed on behalf of such Guarantor by one of its officers.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Each Guarantor hereby agrees that its Guarantee set forth in Section 14.1 hereof will remain in full force and effect notwithstanding any failure to endorse on each Guaranteed Security a notation of such Guarantee.</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If an officer whose signature is on this Indenture or on the Guarantee no longer holds that office at the time the Trustee authenticates the Guaranteed Security on which a Guarantee is endorsed, the Guarantee will be valid nevertheless.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delivery of any Guaranteed Security by the Trustee, after the authentication thereof hereunder, will constitute due delivery of the Guarantee of such Guaranteed Security set forth in this Indenture on behalf of the Guarantors.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FIFTEEN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SUBORDINATION OF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15.1. </w:t>
      </w:r>
      <w:r>
        <w:rPr>
          <w:rFonts w:ascii="Arial" w:cs="Arial" w:eastAsia="Arial" w:hAnsi="Arial"/>
          <w:sz w:val="18"/>
          <w:szCs w:val="18"/>
          <w:u w:val="single" w:color="auto"/>
          <w:color w:val="auto"/>
        </w:rPr>
        <w:t>Securities Subordinated to Senior Debt</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and the Trustee each covenants and agrees, and each Holder, by its acceptance of a Security, likewise covenants and agrees that all Securities shall be issued subject to the provisions of this Article Fifteen; and each Person holding any Security, whether upon original issue or upon transfer, assignment or exchange thereof, accepts and agrees that the payment of the principal of, interest and premium, if any, on each and all of the Securities shall, to the extent and in the manner set forth in this Article Fifteen, be subordinated in right of payment to the prior payment in full, in cash or cash equivalents, of all existing and future Senior Debt.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80" w:right="23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15.2. </w:t>
      </w:r>
      <w:r>
        <w:rPr>
          <w:rFonts w:ascii="Arial" w:cs="Arial" w:eastAsia="Arial" w:hAnsi="Arial"/>
          <w:sz w:val="18"/>
          <w:szCs w:val="18"/>
          <w:u w:val="single" w:color="auto"/>
          <w:color w:val="auto"/>
        </w:rPr>
        <w:t>No Payment on Securities in Certain Circumstances</w:t>
      </w:r>
      <w:r>
        <w:rPr>
          <w:rFonts w:ascii="Arial" w:cs="Arial" w:eastAsia="Arial" w:hAnsi="Arial"/>
          <w:sz w:val="18"/>
          <w:szCs w:val="18"/>
          <w:color w:val="auto"/>
        </w:rPr>
        <w:t>.</w:t>
      </w:r>
    </w:p>
    <w:p>
      <w:pPr>
        <w:spacing w:after="0" w:line="90" w:lineRule="exact"/>
        <w:rPr>
          <w:sz w:val="20"/>
          <w:szCs w:val="20"/>
          <w:color w:val="auto"/>
        </w:rPr>
      </w:pPr>
    </w:p>
    <w:p>
      <w:pPr>
        <w:ind w:left="460" w:right="140" w:firstLine="443"/>
        <w:spacing w:after="0" w:line="255" w:lineRule="auto"/>
        <w:tabs>
          <w:tab w:leader="none" w:pos="113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 direct or indirect payment by or on behalf of the Company of the principal of, interest and premium, if any, on each and all of the Securities (other than with the money, securities or proceeds held under any defeasance trust established in accordance with this Indenture), whether pursuant to the terms of the Securities or upon acceleration or otherwise shall be made if, at the time of such payment, there exists a default in the payment of all or any portion of the obligations on any Senior Debt and such default shall not have been cured or waived or the benefits of this sentence waived by or on behalf of the holders of such Senior Debt.</w:t>
      </w:r>
    </w:p>
    <w:p>
      <w:pPr>
        <w:spacing w:after="0" w:line="61" w:lineRule="exact"/>
        <w:rPr>
          <w:rFonts w:ascii="Arial" w:cs="Arial" w:eastAsia="Arial" w:hAnsi="Arial"/>
          <w:sz w:val="18"/>
          <w:szCs w:val="18"/>
          <w:color w:val="auto"/>
        </w:rPr>
      </w:pPr>
    </w:p>
    <w:p>
      <w:pPr>
        <w:ind w:left="460" w:firstLine="443"/>
        <w:spacing w:after="0" w:line="285" w:lineRule="auto"/>
        <w:tabs>
          <w:tab w:leader="none" w:pos="114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During the continuance of any other event of default with respect to any Designated Senior Debt pursuant to which the maturity thereof may be accelerated, upon receipt by the Trustee of written notice from the trustee or other representative for the holders of such Designated Senior Debt (or the holders of at least a majority in principal amount of such Designated Senior Debt then outstanding), no payment of the principal of, interest or premium, if any, on each and all of the Securities (other than with the money, securities or proceeds held under any defeasance trust established in accordance with this Indenture) may be made by or on behalf of the Company upon or in respect of the Securities for a period (a “Payment Blockage Period”) commencing on the date of receipt of such notice and ending 179 days thereafter (unless, in each case, such Payment Blockage Period has been terminated by written notice to the Trustee from such trustee of, or other representatives for, such holders or by payment in full in cash or cash equivalents of such Designated Senior Debt or such event of default has been cured or waived). Not more than one Payment Blockage Period may be commenced with respect to the Securities during any period of 360 consecutive days. Notwithstanding anything in this Indenture to the contrary, there must be 180 consecutive days in any 360-day period in which no Payment Blockage Period is in effect. No event of default that existed or was continuing (it being acknowledged that any subsequent action that would give rise to an event of default pursuant to any provision under which an event of default previously existed or was continuing shall constitute a new event of default for this purpose) on the date of the commencement of any Payment Blockage Period with respect to the Designated Senior Debt initiating such Payment Blockage Period shall be, or shall be made, the basis for the commencement of a second Payment Blockage Period by the trustee or other representative for the holders of such Designated Senior Debt, whether or not within a period of 360 consecutive days, unless such event of default shall have been cured or waived for a period of not less than 90 consecutive days.</w:t>
      </w:r>
    </w:p>
    <w:p>
      <w:pPr>
        <w:spacing w:after="0" w:line="45" w:lineRule="exact"/>
        <w:rPr>
          <w:rFonts w:ascii="Arial" w:cs="Arial" w:eastAsia="Arial" w:hAnsi="Arial"/>
          <w:sz w:val="16"/>
          <w:szCs w:val="16"/>
          <w:color w:val="auto"/>
        </w:rPr>
      </w:pPr>
    </w:p>
    <w:p>
      <w:pPr>
        <w:ind w:left="460" w:right="20" w:firstLine="443"/>
        <w:spacing w:after="0" w:line="289" w:lineRule="auto"/>
        <w:tabs>
          <w:tab w:leader="none" w:pos="113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In the event that, notwithstanding the foregoing, any payment shall be received by the Trustee or any Holder when such payment is prohibited by clause (a) or (b) above, the Trustee shall promptly notify the holders of Senior Debt of such prohibited payment and such payment shall be held in trust for the benefit of, and shall be paid over or delivered to, the holders of Senior Debt or their respective representatives, or to the trustee or trustees under any indenture pursuant to which any of such Senior Debt may have been issued, as their respective interests may appear, but only to the extent that, upon notice from the Trustee to the holders of Senior Debt that such prohibited payment has been made, the holders of the Senior Debt (or their representative or representatives of a trustee) within 30 days of receipt of such notice from the Trustee notify the Trustee of the amounts then due and owing on the Senior Debt, if any, and only the amounts specified in such notice to the Trustee shall be paid to the holders of Senior Debt and any excess above such amounts due and owing on Senior Debt shall be paid to the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80" w:right="25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15.3. </w:t>
      </w:r>
      <w:r>
        <w:rPr>
          <w:rFonts w:ascii="Arial" w:cs="Arial" w:eastAsia="Arial" w:hAnsi="Arial"/>
          <w:sz w:val="18"/>
          <w:szCs w:val="18"/>
          <w:u w:val="single" w:color="auto"/>
          <w:color w:val="auto"/>
        </w:rPr>
        <w:t>Payment over Proceeds upon Dissolution, Etc</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85" w:lineRule="auto"/>
        <w:tabs>
          <w:tab w:leader="none" w:pos="1137" w:val="left"/>
        </w:tabs>
        <w:numPr>
          <w:ilvl w:val="0"/>
          <w:numId w:val="165"/>
        </w:numPr>
        <w:rPr>
          <w:rFonts w:ascii="Arial" w:cs="Arial" w:eastAsia="Arial" w:hAnsi="Arial"/>
          <w:sz w:val="16"/>
          <w:szCs w:val="16"/>
          <w:color w:val="auto"/>
        </w:rPr>
      </w:pPr>
      <w:r>
        <w:rPr>
          <w:rFonts w:ascii="Arial" w:cs="Arial" w:eastAsia="Arial" w:hAnsi="Arial"/>
          <w:sz w:val="16"/>
          <w:szCs w:val="16"/>
          <w:color w:val="auto"/>
        </w:rPr>
        <w:t>Upon any payment or distribution of assets or securities of the Company of any kind or character, whether in cash, property or securities (other than with the money, securities or proceeds held under any defeasance trust established in accordance with this Indenture), in connection with any dissolution or winding up or total or partial liquidation or reorganization of the Company, whether voluntary or involuntary, or in bankruptcy, insolvency, receivership or other proceedings or other marshalling of assets for the benefit of creditors, all amounts due or to become due upon all Senior Debt shall first be paid in full, in cash or cash equivalents, before the Holders or the Trustee on their behalf shall be entitled to receive any payment by (or on behalf of) the Company on account of the Securities, or any payment to acquire any of the Securities for cash, property or securities, or any distribution with respect to the Securities of any cash, property or securities. Before any payment may be made by, or on behalf of, the Company on any Security (other than with the money, securities or proceeds held under any defeasance trust established in accordance with this Indenture), in connection with any such dissolution, winding up, liquidation or reorganization, any payment or distribution of assets or securities for the Company of any kind or character, whether in cash, property or securities, to which the Holders or the Trustee on their behalf would be entitled, but for the provisions of this Article Fifteen, shall be made by the Company or by any receiver, trustee in bankruptcy, liquidating trustee, agent or other similar Person making such payment or distribution or by the Holders or the Trustee if received by them or it, directly to the holders of Senior Debt (pro rata to such holders on the basis of the respective amounts of Senior Debt held by such holders) or their representatives or to any trustee or trustees under any indenture pursuant to which any such Senior Debt may have been issued, as their respective interests appear, to the extent necessary to pay all such Senior Debt in full, in cash or cash equivalents, after giving effect to any concurrent payment, distribution or provision therefor to or for the holders of such Senior Debt.</w:t>
      </w:r>
    </w:p>
    <w:p>
      <w:pPr>
        <w:spacing w:after="0" w:line="45" w:lineRule="exact"/>
        <w:rPr>
          <w:rFonts w:ascii="Arial" w:cs="Arial" w:eastAsia="Arial" w:hAnsi="Arial"/>
          <w:sz w:val="16"/>
          <w:szCs w:val="16"/>
          <w:color w:val="auto"/>
        </w:rPr>
      </w:pPr>
    </w:p>
    <w:p>
      <w:pPr>
        <w:ind w:left="460" w:right="100" w:firstLine="443"/>
        <w:spacing w:after="0" w:line="288" w:lineRule="auto"/>
        <w:tabs>
          <w:tab w:leader="none" w:pos="1147"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To the extent any payment of Senior Debt (whether by or on behalf of the Company, as proceeds of security or enforcement of any right of setoff or otherwise) is declared to be fraudulent or preferential, set aside or required to be paid to any receiver, trustee in bankruptcy, liquidating trustee, agent or other similar Person under any bankruptcy, insolvency, receivership, fraudulent conveyance or similar law, then if such payment is recovered by, or paid over to, such receiver, trustee in bankruptcy, liquidating trustee or other similar Person, the Senior Debt or part thereof originally intended to be satisfied shall be deemed to be reinstated and outstanding as if such payment had not occurred. To the extent the obligation to repay any Senior Debt is declared to be fraudulent, invalid, or otherwise set aside under any bankruptcy, insolvency, receivership, fraudulent conveyance or similar law, then the obligation so declared fraudulent, invalid or otherwise set aside (and all other amounts that would come due with respect thereto had such obligation not been so affected) shall be deemed to be reinstated and outstanding as Senior Debt for all purposes hereof as if such declaration, invalidity or setting aside had not occurred.</w:t>
      </w:r>
    </w:p>
    <w:p>
      <w:pPr>
        <w:spacing w:after="0" w:line="38" w:lineRule="exact"/>
        <w:rPr>
          <w:rFonts w:ascii="Arial" w:cs="Arial" w:eastAsia="Arial" w:hAnsi="Arial"/>
          <w:sz w:val="16"/>
          <w:szCs w:val="16"/>
          <w:color w:val="auto"/>
        </w:rPr>
      </w:pPr>
    </w:p>
    <w:p>
      <w:pPr>
        <w:ind w:left="460" w:right="40" w:firstLine="443"/>
        <w:spacing w:after="0" w:line="291" w:lineRule="auto"/>
        <w:tabs>
          <w:tab w:leader="none" w:pos="1137"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In the event that, notwithstanding the provision in clause (a) above prohibiting such payment or distribution, any payment or distribution of assets or securities of the Company of any kind or character, whether in cash, property or securities, shall be received by the Trustee or any Holder at a time when such payment or distribution is prohibited by clause (a) above and before all obligations in respect of Senior Debt are paid in full, in cash or cash equivalents, such payment or distribution shall be received and held in trust for the benefit of, and shall be paid over or delivered to, the holders of Senior Debt (pro rata to such holders on the basis of the respective amounts of Senior Debt held by such holders) or their representatives or to any trustee or trustees under any indenture pursuant to which any such Senior Debt may have been issued, as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80" w:right="239" w:bottom="1440" w:gutter="0" w:footer="0" w:header="0"/>
        </w:sectPr>
      </w:pPr>
    </w:p>
    <w:bookmarkStart w:id="205" w:name="page206"/>
    <w:bookmarkEnd w:id="205"/>
    <w:p>
      <w:pPr>
        <w:ind w:left="460"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their respective interests appear, for application to the payment of all such Senior Debt remaining unpaid, in cash or cash equivalents, after giving effect to any concurrent payment, distribution or provision therefor to or for the holders of such Senior Debt.</w:t>
      </w:r>
    </w:p>
    <w:p>
      <w:pPr>
        <w:spacing w:after="0" w:line="51" w:lineRule="exact"/>
        <w:rPr>
          <w:sz w:val="20"/>
          <w:szCs w:val="20"/>
          <w:color w:val="auto"/>
        </w:rPr>
      </w:pPr>
    </w:p>
    <w:p>
      <w:pPr>
        <w:ind w:left="460" w:firstLine="443"/>
        <w:spacing w:after="0" w:line="286" w:lineRule="auto"/>
        <w:tabs>
          <w:tab w:leader="none" w:pos="1147"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For purposes of this Section 15.3, the words “cash, property or securities” shall not be deemed to include, so long as the effect of this clause is not to cause the Securities to be treated in any case or proceeding or similar event described in this Section 15.3 as part of the same class of claims as the Senior Debt or any class of claims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or senior to, the Senior Debt for any payment or distribution, securities of the Company or any other corporation provided for by a plan of reorganization or readjustment that are subordinated, at least to the extent that the Securities are subordinated, to the payment of all Senior Debt then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if a new corporation results from such reorganization or readjustment, such corporation assumes the Senior Debt and (ii) the rights of the holders of the Senior Debt are not, without the consent of such holders, altered by such reorganization or readjustment. The consolidation of the Company with, or the merger of the Company with or into, another corporation or the liquidation or dissolution of the Company following the sale, conveyance, transfer, lease or other disposition of all or substantially all of its property and assets to another corporation upon the terms and conditions provided in Article Eight of this Indenture shall not be deemed a dissolution, winding up, liquidation or reorganization for the purposes of this Section 15.3 if such other corporation shall, as a part of such consolidation, merger, sale, conveyance, transfer, lease or other disposition, comply (to the extent required) with the conditions stated in Article Eight of this Indenture.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15.4. </w:t>
      </w:r>
      <w:r>
        <w:rPr>
          <w:rFonts w:ascii="Arial" w:cs="Arial" w:eastAsia="Arial" w:hAnsi="Arial"/>
          <w:sz w:val="18"/>
          <w:szCs w:val="18"/>
          <w:u w:val="single" w:color="auto"/>
          <w:color w:val="auto"/>
        </w:rPr>
        <w:t>Subrogation</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89" w:lineRule="auto"/>
        <w:tabs>
          <w:tab w:leader="none" w:pos="1137" w:val="left"/>
        </w:tabs>
        <w:numPr>
          <w:ilvl w:val="0"/>
          <w:numId w:val="167"/>
        </w:numPr>
        <w:rPr>
          <w:rFonts w:ascii="Arial" w:cs="Arial" w:eastAsia="Arial" w:hAnsi="Arial"/>
          <w:sz w:val="16"/>
          <w:szCs w:val="16"/>
          <w:color w:val="auto"/>
        </w:rPr>
      </w:pPr>
      <w:r>
        <w:rPr>
          <w:rFonts w:ascii="Arial" w:cs="Arial" w:eastAsia="Arial" w:hAnsi="Arial"/>
          <w:sz w:val="16"/>
          <w:szCs w:val="16"/>
          <w:color w:val="auto"/>
        </w:rPr>
        <w:t>Upon the payment in full of all Senior Debt in cash or cash equivalents, the Holders shall be subrogated to the rights of the holders of Senior Debt to receive payments or distributions of cash, property or securities of the Company made on such Senior Debt until the principal of, premium, if any, and interest on the Securities shall be paid in full; and, for the purposes of such subrogation, no payments or distributions to the holders of the Senior Debt of any cash, property or securities to which the Holders or the Trustee on their behalf would be entitled except for the provisions of this Article Fifteen, and no payment pursuant to the provisions of this Article Fifteen to the holders of Senior Debt by the Holders or the Trustee on their behalf shall, as between the Company, its creditors other than holders of Senior Debt, and the Holders, be deemed to be a payment by the Company to or on account of the Senior Debt. It is understood that the provisions of this Article Fifteen are intended solely for the purpose of defining the relative rights of the Holders, on the one hand, and the holders of the Senior Debt, on the other hand.</w:t>
      </w:r>
    </w:p>
    <w:p>
      <w:pPr>
        <w:spacing w:after="0" w:line="37" w:lineRule="exact"/>
        <w:rPr>
          <w:rFonts w:ascii="Arial" w:cs="Arial" w:eastAsia="Arial" w:hAnsi="Arial"/>
          <w:sz w:val="16"/>
          <w:szCs w:val="16"/>
          <w:color w:val="auto"/>
        </w:rPr>
      </w:pPr>
    </w:p>
    <w:p>
      <w:pPr>
        <w:ind w:left="460" w:firstLine="443"/>
        <w:spacing w:after="0" w:line="298" w:lineRule="auto"/>
        <w:tabs>
          <w:tab w:leader="none" w:pos="1147"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If any payment or distribution to which the Holders would otherwise have been entitled but for the provisions of this Article Fifteen shall have been applied, pursuant to the provisions of this Article Fifteen, to the payment of all amounts payable under Senior Debt, then, and in such case, the Holders shall be entitled to receive from the holders of such Senior Debt any payments or distributions received by such holders of Senior Debt in excess of the amount required to make payment in full, in cash or cash equivalents, of such Senior Debt of such holders.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15.5. </w:t>
      </w:r>
      <w:r>
        <w:rPr>
          <w:rFonts w:ascii="Arial" w:cs="Arial" w:eastAsia="Arial" w:hAnsi="Arial"/>
          <w:sz w:val="18"/>
          <w:szCs w:val="18"/>
          <w:u w:val="single" w:color="auto"/>
          <w:color w:val="auto"/>
        </w:rPr>
        <w:t>Obligations of Company Unconditional</w:t>
      </w:r>
      <w:r>
        <w:rPr>
          <w:rFonts w:ascii="Arial" w:cs="Arial" w:eastAsia="Arial" w:hAnsi="Arial"/>
          <w:sz w:val="18"/>
          <w:szCs w:val="18"/>
          <w:color w:val="auto"/>
        </w:rPr>
        <w:t>.</w:t>
      </w:r>
    </w:p>
    <w:p>
      <w:pPr>
        <w:spacing w:after="0" w:line="90" w:lineRule="exact"/>
        <w:rPr>
          <w:sz w:val="20"/>
          <w:szCs w:val="20"/>
          <w:color w:val="auto"/>
        </w:rPr>
      </w:pPr>
    </w:p>
    <w:p>
      <w:pPr>
        <w:ind w:left="460" w:right="140" w:firstLine="443"/>
        <w:spacing w:after="0" w:line="268" w:lineRule="auto"/>
        <w:tabs>
          <w:tab w:leader="none" w:pos="113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Nothing contained in this Article Fifteen or elsewhere in this Indenture or in the Securities is intended to or shall impair, as among the Company and the Holders, the obligation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80" w:right="239" w:bottom="1440" w:gutter="0" w:footer="0" w:header="0"/>
        </w:sectPr>
      </w:pPr>
    </w:p>
    <w:bookmarkStart w:id="206" w:name="page207"/>
    <w:bookmarkEnd w:id="206"/>
    <w:p>
      <w:pPr>
        <w:ind w:left="460"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which is absolute and unconditional, to pay to the Holders the principal of, premium, if any, and interest on the Securities as and when the same shall become due and payable in accordance with their terms, or is intended to or shall affect the relative rights of the Holders and creditors of the Company other than the holders of the Senior Debt, nor shall anything herein or therein prevent the Holders or the Trustee on their behalf from exercising all remedies otherwise permitted by applicable law upon default under this Indenture, subject to the rights, if any, under this Article Fifteen of the holders of the Senior Debt.</w:t>
      </w:r>
    </w:p>
    <w:p>
      <w:pPr>
        <w:spacing w:after="0" w:line="62" w:lineRule="exact"/>
        <w:rPr>
          <w:sz w:val="20"/>
          <w:szCs w:val="20"/>
          <w:color w:val="auto"/>
        </w:rPr>
      </w:pPr>
    </w:p>
    <w:p>
      <w:pPr>
        <w:ind w:left="460" w:right="20" w:firstLine="443"/>
        <w:spacing w:after="0" w:line="255" w:lineRule="auto"/>
        <w:tabs>
          <w:tab w:leader="none" w:pos="114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the foregoing, nothing contained in this Article Fifteen will restrict the right of the Trustee or the Holders to take any action to declare the Securities to be due and payable prior to their Stated Maturity pursuant to Section 5.1 of this Indenture or to pursue any rights or remedies hereunder; </w:t>
      </w:r>
      <w:r>
        <w:rPr>
          <w:rFonts w:ascii="Arial" w:cs="Arial" w:eastAsia="Arial" w:hAnsi="Arial"/>
          <w:sz w:val="18"/>
          <w:szCs w:val="18"/>
          <w:i w:val="1"/>
          <w:iCs w:val="1"/>
          <w:color w:val="auto"/>
        </w:rPr>
        <w:t>provided, however</w:t>
      </w:r>
      <w:r>
        <w:rPr>
          <w:rFonts w:ascii="Arial" w:cs="Arial" w:eastAsia="Arial" w:hAnsi="Arial"/>
          <w:sz w:val="18"/>
          <w:szCs w:val="18"/>
          <w:color w:val="auto"/>
        </w:rPr>
        <w:t>, that all Senior Debt then due and payable or thereafter declared to be due and payable shall first be paid in full, in cash or cash equivalents, before the Holders or the Trustee are entitled to receive any direct or indirect payment from the Company with respect to any Security.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15.6. </w:t>
      </w:r>
      <w:r>
        <w:rPr>
          <w:rFonts w:ascii="Arial" w:cs="Arial" w:eastAsia="Arial" w:hAnsi="Arial"/>
          <w:sz w:val="18"/>
          <w:szCs w:val="18"/>
          <w:u w:val="single" w:color="auto"/>
          <w:color w:val="auto"/>
        </w:rPr>
        <w:t>Notice to Trustee</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85" w:lineRule="auto"/>
        <w:tabs>
          <w:tab w:leader="none" w:pos="1137"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The Company shall give prompt written notice to the Trustee of any fact known to the Company that would prohibit the making of any payment to or by the Trustee in respect of the Securities pursuant to the provisions of this Article Fifteen. The Trustee shall not be charged with the knowledge of the existence of any default or event of default with respect to any Senior Debt or of any other facts that would prohibit the making of any payment to or by the Trustee unless and until the Trustee shall have received notice in writing at its Corporate Trust Office to that effect signed by an Officer of the Company, or by a holder of Senior Debt or trustee or agent thereof; and prior to the receipt of any such written notice, the Trustee shall, subject to Article Six, be entitled to assume that no such facts exist;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Trustee shall not have received the notice provided for in this Section 15.6 at least two Business Days prior to the date upon which, by the terms of this Indenture, any monies shall become payable for any purpose (including, without limitation, the payment of the principal of, premium, if any, or interest on any Security), then, notwithstanding anything herein to the contrary, the Trustee shall have full power and authority to receive any monies from the Company and to apply the same to the purpose for which they were received, and shall not be affected by any notice to the contrary that may be received by it on or after such prior date except for an acceleration of the Securities prior to such application. Nothing contained in this Section 15.6 shall limit the right of the holders of Senior Debt to recover payments as contemplated by this Article Fifteen. The foregoing shall not apply if the Paying Agent is the Company. The Trustee shall be entitled to rely on the delivery to it of a written notice by a Person representing himself or itself to be a holder of any Senior Debt (or a trustee on behalf of, or other representative of, such holder) to establish that such notice has been given by a holder of such Senior Debt or a trustee or representative on behalf of any such holder.</w:t>
      </w:r>
    </w:p>
    <w:p>
      <w:pPr>
        <w:spacing w:after="0" w:line="47" w:lineRule="exact"/>
        <w:rPr>
          <w:rFonts w:ascii="Arial" w:cs="Arial" w:eastAsia="Arial" w:hAnsi="Arial"/>
          <w:sz w:val="16"/>
          <w:szCs w:val="16"/>
          <w:color w:val="auto"/>
        </w:rPr>
      </w:pPr>
    </w:p>
    <w:p>
      <w:pPr>
        <w:ind w:left="460" w:firstLine="443"/>
        <w:spacing w:after="0" w:line="294" w:lineRule="auto"/>
        <w:tabs>
          <w:tab w:leader="none" w:pos="1147"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In the event that the Trustee determines in good faith that any evidence is required with respect to the right of any Person as a holder of Senior Debt to participate in any payment or distribution pursuant to this Article Fifteen, the Trustee may request such Person to furnish evidence to the reasonable satisfaction of the Trustee as to the amount of Senior Debt held by such Person, the extent to which such Person is entitled to participate in such payment or distribution and any other facts pertinent to the rights of such Person under this Article Fifteen and, if such evidence is not furnished to the Trustee, the Trustee may defer any payment to such Person pending judicial determination as to the right of such Person to receive such payment.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0" w:right="23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15.7. </w:t>
      </w:r>
      <w:r>
        <w:rPr>
          <w:rFonts w:ascii="Arial" w:cs="Arial" w:eastAsia="Arial" w:hAnsi="Arial"/>
          <w:sz w:val="18"/>
          <w:szCs w:val="18"/>
          <w:u w:val="single" w:color="auto"/>
          <w:color w:val="auto"/>
        </w:rPr>
        <w:t>Reliance on Judicial Order or Certificate of Liquidating Agent</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Upon any payment or distribution of assets or securities referred to in this Article Fifteen, the Trustee and the Holders shall be entitled to rely upon any order or decree made by any court of competent jurisdiction in which bankruptcy, dissolution, winding up, liquidation or reorganization proceedings are pending, or upon a certificate of the receiver, trustee in bankruptcy, liquidating trustee, agent or other similar Person making such payment or distribution, delivered to the Trustee or to the Holders for the purpose of ascertaining the persons entitled to participate in such distribution, the holders of the Senior Debt and other Debt of the Company, the amount thereof or payable thereon, the amount or amounts paid or distributed thereon and all other facts pertinent thereto or to this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Article Fifteen.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15.8. </w:t>
      </w:r>
      <w:r>
        <w:rPr>
          <w:rFonts w:ascii="Arial" w:cs="Arial" w:eastAsia="Arial" w:hAnsi="Arial"/>
          <w:sz w:val="18"/>
          <w:szCs w:val="18"/>
          <w:u w:val="single" w:color="auto"/>
          <w:color w:val="auto"/>
        </w:rPr>
        <w:t>Trustee’s Relation to Senior Debt</w:t>
      </w:r>
      <w:r>
        <w:rPr>
          <w:rFonts w:ascii="Arial" w:cs="Arial" w:eastAsia="Arial" w:hAnsi="Arial"/>
          <w:sz w:val="18"/>
          <w:szCs w:val="18"/>
          <w:color w:val="auto"/>
        </w:rPr>
        <w:t>.</w:t>
      </w:r>
    </w:p>
    <w:p>
      <w:pPr>
        <w:spacing w:after="0" w:line="90" w:lineRule="exact"/>
        <w:rPr>
          <w:sz w:val="20"/>
          <w:szCs w:val="20"/>
          <w:color w:val="auto"/>
        </w:rPr>
      </w:pPr>
    </w:p>
    <w:p>
      <w:pPr>
        <w:jc w:val="both"/>
        <w:ind w:left="460" w:firstLine="443"/>
        <w:spacing w:after="0" w:line="259" w:lineRule="auto"/>
        <w:tabs>
          <w:tab w:leader="none" w:pos="113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Trustee and any Paying Agent shall be entitled to all the rights set forth in this Article Fifteen with respect to any Senior Debt that may at any time be held by it in its individual or any other capacity to the same extent as any other holder of Senior Debt and nothing in this Indenture shall deprive the Trustee or any Paying Agent of any of its rights as such holder.</w:t>
      </w:r>
    </w:p>
    <w:p>
      <w:pPr>
        <w:spacing w:after="0" w:line="59" w:lineRule="exact"/>
        <w:rPr>
          <w:rFonts w:ascii="Arial" w:cs="Arial" w:eastAsia="Arial" w:hAnsi="Arial"/>
          <w:sz w:val="18"/>
          <w:szCs w:val="18"/>
          <w:color w:val="auto"/>
        </w:rPr>
      </w:pPr>
    </w:p>
    <w:p>
      <w:pPr>
        <w:ind w:left="460" w:right="100" w:firstLine="443"/>
        <w:spacing w:after="0" w:line="254" w:lineRule="auto"/>
        <w:tabs>
          <w:tab w:leader="none" w:pos="11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With respect to the holders of Senior Debt, the Trustee undertakes to perform or to observe only such of its covenants and obligations as are specifically set forth in this Article Fifteen, and no implied covenants or obligations with respect to the holders of Senior Debt shall be read into this Indenture against the Trustee. The Trustee shall not be deemed to owe any fiduciary duty to the holders of Senior Debt (except as provided in Section 15.2 and Section 15.3 of this Indenture) and shall not be liable to any such holders if the Trustee shall in good faith mistakenly pay over or distribute to Holders of Securities or to the Company or to any other person cash, property or securities to which any holders of Senior Debt shall be entitled by virtue of this Article Fifteen or otherwise.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15.9. </w:t>
      </w:r>
      <w:r>
        <w:rPr>
          <w:rFonts w:ascii="Arial" w:cs="Arial" w:eastAsia="Arial" w:hAnsi="Arial"/>
          <w:sz w:val="18"/>
          <w:szCs w:val="18"/>
          <w:u w:val="single" w:color="auto"/>
          <w:color w:val="auto"/>
        </w:rPr>
        <w:t>Subordination Rights Not Impaired by Acts or Omissions of the Company or Holders of Senior Debt</w:t>
      </w:r>
      <w:r>
        <w:rPr>
          <w:rFonts w:ascii="Arial" w:cs="Arial" w:eastAsia="Arial" w:hAnsi="Arial"/>
          <w:sz w:val="18"/>
          <w:szCs w:val="18"/>
          <w:color w:val="auto"/>
        </w:rPr>
        <w:t>.</w:t>
      </w:r>
    </w:p>
    <w:p>
      <w:pPr>
        <w:spacing w:after="0" w:line="90"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No right of any present or future holders of any Senior Debt to enforce subordination as provided in this Article Fifteen will at any time in any way be prejudiced or impaired by any act or failure to act on the part of the Company or by any act or failure to act, in good faith, by any such holder, or by any noncompliance by the Company with the terms of this Indenture, regardless of any knowledge thereof that any such holder may have or otherwise be charged with. The provisions of this Article Fifteen are intended to be for the benefit of, and shall be enforceable directly by, the holders of Senior Debt.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15.10. </w:t>
      </w:r>
      <w:r>
        <w:rPr>
          <w:rFonts w:ascii="Arial" w:cs="Arial" w:eastAsia="Arial" w:hAnsi="Arial"/>
          <w:sz w:val="18"/>
          <w:szCs w:val="18"/>
          <w:u w:val="single" w:color="auto"/>
          <w:color w:val="auto"/>
        </w:rPr>
        <w:t>Holders Authorize Trustee to Effectuate Subordination of Securities</w:t>
      </w:r>
      <w:r>
        <w:rPr>
          <w:rFonts w:ascii="Arial" w:cs="Arial" w:eastAsia="Arial" w:hAnsi="Arial"/>
          <w:sz w:val="18"/>
          <w:szCs w:val="18"/>
          <w:color w:val="auto"/>
        </w:rPr>
        <w:t>.</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Each Holder by his acceptance of any Securities authorizes and expressly directs the Trustee on his behalf to take such action as may be necessary or appropriate to effectuate the subordination provided in this Article Fifteen, and appoints the Trustee his attorney-in-fact for such purposes, including, in the event of any dissolution, winding up, liquidation or reorganization of the Company (whether in bankruptcy, insolvency, receivership, reorganization or similar proceedings or upon an assignment for the benefit of creditors or otherwise) tending towards liquidation of the property and assets of the Company, the filing of a claim for the unpaid balance of its Securities in the form required in those proceedings. If the Trustee does not file a proper claim or proof in indebtedness in the form required in such proceeding at least 30 days before the expiration of the time to file such claim or claims, each holder of Senior Debt is hereby authorized to file an appropriate claim for and on behalf of the Holders.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80" w:right="23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15.11. </w:t>
      </w:r>
      <w:r>
        <w:rPr>
          <w:rFonts w:ascii="Arial" w:cs="Arial" w:eastAsia="Arial" w:hAnsi="Arial"/>
          <w:sz w:val="18"/>
          <w:szCs w:val="18"/>
          <w:u w:val="single" w:color="auto"/>
          <w:color w:val="auto"/>
        </w:rPr>
        <w:t>Not to Prevent Events of Default</w:t>
      </w:r>
      <w:r>
        <w:rPr>
          <w:rFonts w:ascii="Arial" w:cs="Arial" w:eastAsia="Arial" w:hAnsi="Arial"/>
          <w:sz w:val="18"/>
          <w:szCs w:val="18"/>
          <w:color w:val="auto"/>
        </w:rPr>
        <w:t>.</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failure to make a payment on account of principal of, premium, if any, or interest on the Securities by reason of any provision of this Article Fifteen will not be construed as preventing the occurrence of an Event of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15.12. </w:t>
      </w:r>
      <w:r>
        <w:rPr>
          <w:rFonts w:ascii="Arial" w:cs="Arial" w:eastAsia="Arial" w:hAnsi="Arial"/>
          <w:sz w:val="18"/>
          <w:szCs w:val="18"/>
          <w:u w:val="single" w:color="auto"/>
          <w:color w:val="auto"/>
        </w:rPr>
        <w:t>Trustee’s Compensation Not Prejudiced</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Nothing in this Article Fifteen will apply to amounts due to the Trustee pursuant to other sections of this Indenture, including Section 6.7.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15.13. </w:t>
      </w:r>
      <w:r>
        <w:rPr>
          <w:rFonts w:ascii="Arial" w:cs="Arial" w:eastAsia="Arial" w:hAnsi="Arial"/>
          <w:sz w:val="18"/>
          <w:szCs w:val="18"/>
          <w:u w:val="single" w:color="auto"/>
          <w:color w:val="auto"/>
        </w:rPr>
        <w:t>No Waiver of Subordination Provisions</w:t>
      </w:r>
      <w:r>
        <w:rPr>
          <w:rFonts w:ascii="Arial" w:cs="Arial" w:eastAsia="Arial" w:hAnsi="Arial"/>
          <w:sz w:val="18"/>
          <w:szCs w:val="18"/>
          <w:color w:val="auto"/>
        </w:rPr>
        <w:t>.</w:t>
      </w:r>
    </w:p>
    <w:p>
      <w:pPr>
        <w:spacing w:after="0" w:line="9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Without in any way limiting the generality of Section 15.9, the holders of Senior Debt may, at any time and from time to time, without the consent of or notice to the Trustee or the Holders, without incurring responsibility to the Holders and without impairing or releasing the subordination provided in this Article Fifteen or the obligations hereunder of the Holders to the holders of Senior Debt, do any one or more of the following: (a) change the manner, place or terms of payment or extend the time of payment of, or renew or alter, Senior Debt or any instrument evidencing the same or any agreement under which Senior Debt is outstanding or secured; (b) sell, exchange, release or otherwise deal with any property pledged, mortgaged or otherwise securing Senior Debt; (c) release any Person liable in any manner for the collection of Senior Debt; and (d) exercise or refrain from exercising any rights against the Company and any other Person.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15.14. </w:t>
      </w:r>
      <w:r>
        <w:rPr>
          <w:rFonts w:ascii="Arial" w:cs="Arial" w:eastAsia="Arial" w:hAnsi="Arial"/>
          <w:sz w:val="18"/>
          <w:szCs w:val="18"/>
          <w:u w:val="single" w:color="auto"/>
          <w:color w:val="auto"/>
        </w:rPr>
        <w:t>Payments May Be Paid Prior to Dissolution</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Nothing contained in this Article Fifteen or elsewhere in this Indenture shall prevent (i) the Company, except under the conditions described in Section 15.2 or Section 15.3, from making payments of principal of, premium, if any, and interest on the Securities, or from depositing with the Trustee any money for such payments, or (ii) the application by the Trustee of any money deposited with it for the purpose of making such payments of principal of, premium, if any, and interest on the Securities to the holders entitled thereto unless, at least two Business Days prior to the date upon which such payment becomes due and payable, the Trustee shall have received the written notice provided for in Section 15.2(b) of this Indenture (or there shall have been an acceleration of the Securities prior to such application) or in Section 15.15 of this Indenture. The Company shall give prompt written notice to the Trustee of any dissolution, winding up, liquidation or reorganization of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15.15. </w:t>
      </w:r>
      <w:r>
        <w:rPr>
          <w:rFonts w:ascii="Arial" w:cs="Arial" w:eastAsia="Arial" w:hAnsi="Arial"/>
          <w:sz w:val="18"/>
          <w:szCs w:val="18"/>
          <w:u w:val="single" w:color="auto"/>
          <w:color w:val="auto"/>
        </w:rPr>
        <w:t>Trust Moneys Not Subordinated</w:t>
      </w:r>
      <w:r>
        <w:rPr>
          <w:rFonts w:ascii="Arial" w:cs="Arial" w:eastAsia="Arial" w:hAnsi="Arial"/>
          <w:sz w:val="18"/>
          <w:szCs w:val="18"/>
          <w:color w:val="auto"/>
        </w:rPr>
        <w:t>.</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Notwithstanding anything contained herein to the contrary, payments from money or the proceeds of U.S. Government Obligations held in trust under Article Four by the Trustee for the payment of principal of, premium, if any, and interest on the Securities shall not be subordinated to the prior payment of any Senior Debt (provided that, at the time deposited, such deposit did not violate any then outstanding Senior Debt), and none of the Holders shall be obligated to pay over any such amount to any holder of Senior Debt.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80" w:right="2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SIXTEEN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SUBORDINATION OF GUARANTEES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16.1. </w:t>
      </w:r>
      <w:r>
        <w:rPr>
          <w:rFonts w:ascii="Arial" w:cs="Arial" w:eastAsia="Arial" w:hAnsi="Arial"/>
          <w:sz w:val="18"/>
          <w:szCs w:val="18"/>
          <w:u w:val="single" w:color="auto"/>
          <w:color w:val="auto"/>
        </w:rPr>
        <w:t>Security Guarantees Subordinated to Guarantor Senior Debt</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Each Guarantor and the Trustee each covenants and agrees, and each Holder, by its acceptance of a Security Guarantee, likewise covenants and agrees that all Guarantees shall be issued subject to the provisions of this Article Sixteen; and each Person holding any Security, whether upon original issue or upon transfer, assignment or exchange thereof, accepts and agrees that the payment of the principal of and premium, if any, and interest on each and all of the Securities shall, to the extent and in the manner set forth in this Article Sixteen, be subordinated in right of payment to the prior payment in full, in cash or cash equivalents, of all existing and future Guarantor Senior Debt of such Guarantor.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16.2. </w:t>
      </w:r>
      <w:r>
        <w:rPr>
          <w:rFonts w:ascii="Arial" w:cs="Arial" w:eastAsia="Arial" w:hAnsi="Arial"/>
          <w:sz w:val="18"/>
          <w:szCs w:val="18"/>
          <w:u w:val="single" w:color="auto"/>
          <w:color w:val="auto"/>
        </w:rPr>
        <w:t>No Payment on Guarantees in Certain Circumstances</w:t>
      </w:r>
      <w:r>
        <w:rPr>
          <w:rFonts w:ascii="Arial" w:cs="Arial" w:eastAsia="Arial" w:hAnsi="Arial"/>
          <w:sz w:val="18"/>
          <w:szCs w:val="18"/>
          <w:color w:val="auto"/>
        </w:rPr>
        <w:t>.</w:t>
      </w:r>
    </w:p>
    <w:p>
      <w:pPr>
        <w:spacing w:after="0" w:line="90" w:lineRule="exact"/>
        <w:rPr>
          <w:sz w:val="20"/>
          <w:szCs w:val="20"/>
          <w:color w:val="auto"/>
        </w:rPr>
      </w:pPr>
    </w:p>
    <w:p>
      <w:pPr>
        <w:ind w:left="460" w:right="60" w:firstLine="443"/>
        <w:spacing w:after="0" w:line="294" w:lineRule="auto"/>
        <w:tabs>
          <w:tab w:leader="none" w:pos="1137" w:val="left"/>
        </w:tabs>
        <w:numPr>
          <w:ilvl w:val="0"/>
          <w:numId w:val="172"/>
        </w:numPr>
        <w:rPr>
          <w:rFonts w:ascii="Arial" w:cs="Arial" w:eastAsia="Arial" w:hAnsi="Arial"/>
          <w:sz w:val="16"/>
          <w:szCs w:val="16"/>
          <w:color w:val="auto"/>
        </w:rPr>
      </w:pPr>
      <w:r>
        <w:rPr>
          <w:rFonts w:ascii="Arial" w:cs="Arial" w:eastAsia="Arial" w:hAnsi="Arial"/>
          <w:sz w:val="16"/>
          <w:szCs w:val="16"/>
          <w:color w:val="auto"/>
        </w:rPr>
        <w:t>No direct or indirect payment by or on behalf of any principal of and premium, if any, and interest on each and all of the Securities (other than with the money, securities or proceeds held under any defeasance trust established in accordance with this Indenture), whether pursuant to the terms of the Guarantees or upon acceleration or otherwise shall be made if, at the time of such payment, there exists a default in the payment of all or any portion of the obligations on any Guarantor Senior Debt of such Guarantor and such default shall not have been cured or waived or the benefits of this sentence waived by or on behalf of the holders of such Guarantor Senior Debt.</w:t>
      </w:r>
    </w:p>
    <w:p>
      <w:pPr>
        <w:spacing w:after="0" w:line="34" w:lineRule="exact"/>
        <w:rPr>
          <w:rFonts w:ascii="Arial" w:cs="Arial" w:eastAsia="Arial" w:hAnsi="Arial"/>
          <w:sz w:val="16"/>
          <w:szCs w:val="16"/>
          <w:color w:val="auto"/>
        </w:rPr>
      </w:pPr>
    </w:p>
    <w:p>
      <w:pPr>
        <w:ind w:left="460" w:firstLine="443"/>
        <w:spacing w:after="0" w:line="285" w:lineRule="auto"/>
        <w:tabs>
          <w:tab w:leader="none" w:pos="1147" w:val="left"/>
        </w:tabs>
        <w:numPr>
          <w:ilvl w:val="0"/>
          <w:numId w:val="172"/>
        </w:numPr>
        <w:rPr>
          <w:rFonts w:ascii="Arial" w:cs="Arial" w:eastAsia="Arial" w:hAnsi="Arial"/>
          <w:sz w:val="16"/>
          <w:szCs w:val="16"/>
          <w:color w:val="auto"/>
        </w:rPr>
      </w:pPr>
      <w:r>
        <w:rPr>
          <w:rFonts w:ascii="Arial" w:cs="Arial" w:eastAsia="Arial" w:hAnsi="Arial"/>
          <w:sz w:val="16"/>
          <w:szCs w:val="16"/>
          <w:color w:val="auto"/>
        </w:rPr>
        <w:t>During the continuance of any other event of default with respect to any Designated Guarantor Senior Debt pursuant to which the maturity thereof may be accelerated, upon receipt by the Trustee of written notice from the trustee or other representative for the holders of such Designated Guarantor Senior Debt (or the holders of at least a majority in principal amount of such Designated Guarantor Senior Debt then outstanding), no payment of Senior Subordinated Obligations (other than with the money, securities or proceeds held under any defeasance trust established in accordance with this Indenture) may be made by or on behalf of any Guarantor upon or in respect of the Guarantees for a period (a “Guarantee Payment Blockage Period”) commencing on the date of receipt of such notice and ending 179 days thereafter (unless, in each case, such Guarantee Payment Blockage Period has been terminated by written notice to the Trustee from such trustee of, or other representatives for, such holders or by payment in full in cash or cash equivalents of such Designated Guarantor Senior Debt or such event of default has been cured or waived). Not more than one Guarantee Payment Blockage Period may be commenced with respect to the Guarantees during any period of 360 consecutive days. Notwithstanding anything in this Indenture to the contrary, there must be 180 consecutive days in any 360-day period in which no Guarantee Payment Blockage Period is in effect. No event of default that existed or was continuing (it being acknowledged that any subsequent action that would give rise to an event of default pursuant to any provision under which an event of default previously existed or was continuing shall constitute a new event of default for this purpose) on the date of the commencement of any Guarantee Payment Blockage Period with respect to the Designated Guarantor Senior Debt initiating such Guarantee Payment Blockage Period shall be, or shall be made, the basis for the commencement of a second Guarantee Payment Blockage Period by the trustee or other representative for the holders of such Designated Guarantor Senior Debt, whether or not within a period of 360 consecutive days, unless such event of default shall have been cured or waived for a period of not less than 90 consecutive days.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4" w:right="239" w:bottom="1440" w:gutter="0" w:footer="0" w:header="0"/>
        </w:sectPr>
      </w:pPr>
    </w:p>
    <w:bookmarkStart w:id="210" w:name="page211"/>
    <w:bookmarkEnd w:id="210"/>
    <w:p>
      <w:pPr>
        <w:ind w:left="460" w:right="20" w:firstLine="443"/>
        <w:spacing w:after="0" w:line="310" w:lineRule="auto"/>
        <w:tabs>
          <w:tab w:leader="none" w:pos="1137" w:val="left"/>
        </w:tabs>
        <w:numPr>
          <w:ilvl w:val="0"/>
          <w:numId w:val="17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that, notwithstanding the foregoing, any payment shall be received by the Trustee or any Holder when such payment is prohibited by clause (a) or (b) above, the Trustee shall promptly notify the holders of Guarantor Senior Debt of such prohibited payment and such payment shall be held in trust for the benefit of, and shall be paid over or delivered to, the holders of Guarantor Senior Debt or their respective representatives, or to the trustee or trustees under any indenture pursuant to which any of such Guarantor Senior Debt may have been issued, as their respective interests may appear, but only to the extent that, upon notice from the Trustee to the holders of Guarantor Senior Debt that such prohibited payment has been made, the holders of the Guarantor Senior Debt (or their representative or representatives of a trustee) within 30 days of receipt of such notice from the Trustee notify the Trustee of the amounts then due and owing on the Guarantor Senior Debt, if any, and only the amounts specified in such notice to the Trustee shall be paid to the holders of Guarantor Senior Debt and any excess above such amounts due and owing on Guarantor Senior Debt shall be paid to such Guarantor.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16.3. </w:t>
      </w:r>
      <w:r>
        <w:rPr>
          <w:rFonts w:ascii="Arial" w:cs="Arial" w:eastAsia="Arial" w:hAnsi="Arial"/>
          <w:sz w:val="18"/>
          <w:szCs w:val="18"/>
          <w:u w:val="single" w:color="auto"/>
          <w:color w:val="auto"/>
        </w:rPr>
        <w:t>Payment over Proceeds upon Dissolution, Etc</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85" w:lineRule="auto"/>
        <w:tabs>
          <w:tab w:leader="none" w:pos="1137" w:val="left"/>
        </w:tabs>
        <w:numPr>
          <w:ilvl w:val="0"/>
          <w:numId w:val="174"/>
        </w:numPr>
        <w:rPr>
          <w:rFonts w:ascii="Arial" w:cs="Arial" w:eastAsia="Arial" w:hAnsi="Arial"/>
          <w:sz w:val="16"/>
          <w:szCs w:val="16"/>
          <w:color w:val="auto"/>
        </w:rPr>
      </w:pPr>
      <w:r>
        <w:rPr>
          <w:rFonts w:ascii="Arial" w:cs="Arial" w:eastAsia="Arial" w:hAnsi="Arial"/>
          <w:sz w:val="16"/>
          <w:szCs w:val="16"/>
          <w:color w:val="auto"/>
        </w:rPr>
        <w:t>Upon any payment or distribution of assets or securities of a Guarantor of any kind or character, whether in cash, property or securities (other than with the money, securities or proceeds held under any defeasance trust established in accordance with this Indenture), in connection with any dissolution or winding up or total or partial liquidation or reorganization of such Guarantor, whether voluntary or involuntary, or in bankruptcy, insolvency, receivership or other proceedings or other marshalling of assets for the benefit of creditors, all amounts due or to become due upon all Guarantor Senior Debt shall first be paid in full, in cash or cash equivalents, before the Holders or the Trustee on their behalf shall be entitled to receive any payment by (or on behalf of) such Guarantor on account of Senior Subordinated Obligations, or any payment to acquire any of the Guarantees for cash, property or securities, or any distribution with respect to the Guarantees of any cash, property or securities. Before any payment may be made by, or on behalf of, any Guarantor on any Senior Subordinated Obligations (other than with the money, securities or proceeds held under any defeasance trust established in accordance with this Indenture), in connection with any such dissolution, winding up, liquidation or reorganization, any payment or distribution of assets or securities for such Guarantor of any kind or character, whether in cash, property or securities, to which the Holders or the Trustee on their behalf would be entitled, but for the provisions of this Article Sixteen, shall be made by such Guarantor or by any receiver, trustee in bankruptcy, liquidating trustee, agent or other similar Person making such payment or distribution or by the Holders or the Trustee if received by them or it, directly to the holders of Guarantor Senior Debt (pro rata to such holders on the basis of the respective amounts of Guarantor Senior Debt held by such holders) or their representatives or to any trustee or trustees under any indenture pursuant to which any such Guarantor Senior Debt may have been issued, as their respective interests appear, to the extent necessary to pay all such Guarantor Senior Debt in full, in cash or cash equivalents, after giving effect to any concurrent payment, distribution or provision therefor to or for the holders of such Guarantor Senior Debt.</w:t>
      </w:r>
    </w:p>
    <w:p>
      <w:pPr>
        <w:spacing w:after="0" w:line="42" w:lineRule="exact"/>
        <w:rPr>
          <w:rFonts w:ascii="Arial" w:cs="Arial" w:eastAsia="Arial" w:hAnsi="Arial"/>
          <w:sz w:val="16"/>
          <w:szCs w:val="16"/>
          <w:color w:val="auto"/>
        </w:rPr>
      </w:pPr>
    </w:p>
    <w:p>
      <w:pPr>
        <w:ind w:left="460" w:right="240" w:firstLine="443"/>
        <w:spacing w:after="0" w:line="291" w:lineRule="auto"/>
        <w:tabs>
          <w:tab w:leader="none" w:pos="1147"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To the extent any payment of Guarantor Senior Debt (whether by or on behalf of any Guarantor, as proceeds of security or enforcement of any right of setoff or otherwise) is declared to be fraudulent or preferential, set aside or required to be paid to any receiver, trustee in bankruptcy, liquidating trustee, agent or other similar Person under any bankruptcy, insolvency, receivership, fraudulent conveyance or similar law, then if such payment is recovered by, or paid over to, such receiver, trustee in bankruptcy, liquidating trustee or other similar Person, the Guarantor Senior Debt or part thereof originally intended to be satisfied shall be deemed to be reinstated and outstanding as if such payment had not occurred. To the extent the obligation to repay any Guarantor Senior Debt is declared to be fraudulent, invalid, or otherwise set aside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80" w:right="259" w:bottom="1440" w:gutter="0" w:footer="0" w:header="0"/>
        </w:sectPr>
      </w:pPr>
    </w:p>
    <w:bookmarkStart w:id="211" w:name="page212"/>
    <w:bookmarkEnd w:id="211"/>
    <w:p>
      <w:pPr>
        <w:ind w:left="460"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any bankruptcy, insolvency, receivership, fraudulent conveyance or similar law, then the obligation so declared fraudulent, invalid or otherwise set aside (and all other amounts that would come due with respect thereto had such obligation not been so affected) shall be deemed to be reinstated and outstanding as Guarantor Senior Debt for all purposes hereof as if such declaration, invalidity or setting aside had not occurred.</w:t>
      </w:r>
    </w:p>
    <w:p>
      <w:pPr>
        <w:spacing w:after="0" w:line="26" w:lineRule="exact"/>
        <w:rPr>
          <w:sz w:val="20"/>
          <w:szCs w:val="20"/>
          <w:color w:val="auto"/>
        </w:rPr>
      </w:pPr>
    </w:p>
    <w:p>
      <w:pPr>
        <w:ind w:left="460" w:right="40" w:firstLine="443"/>
        <w:spacing w:after="0" w:line="289" w:lineRule="auto"/>
        <w:tabs>
          <w:tab w:leader="none" w:pos="1137"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In the event that, notwithstanding clause (a) above prohibiting such payment or distribution, any payment or distribution of assets or securities of any Guarantor of any kind or character, whether in cash, property or securities, shall be received by the Trustee or any Holder at a time when such payment or distribution is prohibited by clause (a) above and before all obligations in respect of Guarantor Senior Debt are paid in full, in cash or cash equivalents, such payment or distribution shall be received and held in trust for the benefit of, and shall be paid over or delivered to, the holders of Guarantor Senior Debt (pro rata to such holders on the basis of the respective amounts of Guarantor Senior Debt held by such holders) or their representatives or to any trustee or trustees under any indenture pursuant to which any such Guarantor Senior Debt may have been issued, as their respective interests appear, for application to the payment of all such Guarantor Senior Debt remaining unpaid in full, in cash or cash equivalents, after giving effect to any concurrent payment, distribution or provision therefor to or for the holders of such Guarantor Senior Debt.</w:t>
      </w:r>
    </w:p>
    <w:p>
      <w:pPr>
        <w:spacing w:after="0" w:line="37" w:lineRule="exact"/>
        <w:rPr>
          <w:rFonts w:ascii="Arial" w:cs="Arial" w:eastAsia="Arial" w:hAnsi="Arial"/>
          <w:sz w:val="16"/>
          <w:szCs w:val="16"/>
          <w:color w:val="auto"/>
        </w:rPr>
      </w:pPr>
    </w:p>
    <w:p>
      <w:pPr>
        <w:ind w:left="460" w:firstLine="443"/>
        <w:spacing w:after="0" w:line="307" w:lineRule="auto"/>
        <w:tabs>
          <w:tab w:leader="none" w:pos="1147" w:val="left"/>
        </w:tabs>
        <w:numPr>
          <w:ilvl w:val="0"/>
          <w:numId w:val="175"/>
        </w:numPr>
        <w:rPr>
          <w:rFonts w:ascii="Arial" w:cs="Arial" w:eastAsia="Arial" w:hAnsi="Arial"/>
          <w:sz w:val="15"/>
          <w:szCs w:val="15"/>
          <w:color w:val="auto"/>
        </w:rPr>
      </w:pPr>
      <w:r>
        <w:rPr>
          <w:rFonts w:ascii="Arial" w:cs="Arial" w:eastAsia="Arial" w:hAnsi="Arial"/>
          <w:sz w:val="15"/>
          <w:szCs w:val="15"/>
          <w:color w:val="auto"/>
        </w:rPr>
        <w:t xml:space="preserve">For purposes of this Section 16.3, the words “cash, property or securities” shall not be deemed to include, so long as the effect of this clause is not to cause the Guarantees to be treated in any case or proceeding or similar event described in this Section 16.3 as part of the same class of claims as the Guarantor Senior Debt or any class of claims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or senior to, the Guarantor Senior Debt for any payment or distribution, securities of any Guarantor or any other corporation provided for by a plan of reorganization or readjustment that are subordinated, at least to the extent that the Guarantees are subordinated, to the payment of all Guarantor Senior Debt then outstanding;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(1) if a new corporation results from such reorganization or readjustment, such corporation assumes the Guarantor Senior Debt and (2) the rights of the holders of the Guarantor Senior Debt are not, without the consent of such holders, altered by such reorganization or readjustment. The consolidation of a Guarantor with, or the merger of a Guarantor with or into, another corporation or the liquidation or dissolution of a Guarantor following the sale, conveyance, transfer, lease or other disposition of all or substantially all of its property and assets to another corporation upon the terms and conditions provided in Article Eight of this Indenture shall not be deemed a dissolution, winding up, liquidation or reorganization for the purposes of this Section 16.3 if such other corporation shall, as a part of such consolidation, merger, sale, conveyance, transfer, lease or other disposition, comply (to the extent required) with the conditions stated in Article Eight of this Indenture.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16.4. </w:t>
      </w:r>
      <w:r>
        <w:rPr>
          <w:rFonts w:ascii="Arial" w:cs="Arial" w:eastAsia="Arial" w:hAnsi="Arial"/>
          <w:sz w:val="18"/>
          <w:szCs w:val="18"/>
          <w:u w:val="single" w:color="auto"/>
          <w:color w:val="auto"/>
        </w:rPr>
        <w:t>Subrogation</w:t>
      </w:r>
      <w:r>
        <w:rPr>
          <w:rFonts w:ascii="Arial" w:cs="Arial" w:eastAsia="Arial" w:hAnsi="Arial"/>
          <w:sz w:val="18"/>
          <w:szCs w:val="18"/>
          <w:color w:val="auto"/>
        </w:rPr>
        <w:t>.</w:t>
      </w:r>
    </w:p>
    <w:p>
      <w:pPr>
        <w:spacing w:after="0" w:line="90" w:lineRule="exact"/>
        <w:rPr>
          <w:sz w:val="20"/>
          <w:szCs w:val="20"/>
          <w:color w:val="auto"/>
        </w:rPr>
      </w:pPr>
    </w:p>
    <w:p>
      <w:pPr>
        <w:ind w:left="460" w:right="20" w:firstLine="443"/>
        <w:spacing w:after="0" w:line="290" w:lineRule="auto"/>
        <w:tabs>
          <w:tab w:leader="none" w:pos="1137" w:val="left"/>
        </w:tabs>
        <w:numPr>
          <w:ilvl w:val="0"/>
          <w:numId w:val="176"/>
        </w:numPr>
        <w:rPr>
          <w:rFonts w:ascii="Arial" w:cs="Arial" w:eastAsia="Arial" w:hAnsi="Arial"/>
          <w:sz w:val="16"/>
          <w:szCs w:val="16"/>
          <w:color w:val="auto"/>
        </w:rPr>
      </w:pPr>
      <w:r>
        <w:rPr>
          <w:rFonts w:ascii="Arial" w:cs="Arial" w:eastAsia="Arial" w:hAnsi="Arial"/>
          <w:sz w:val="16"/>
          <w:szCs w:val="16"/>
          <w:color w:val="auto"/>
        </w:rPr>
        <w:t>Upon the payment in full of all Guarantor Senior Debt in cash or cash equivalents, the Holders shall be subrogated to the rights of the holders of Guarantor Senior Debt to receive payments or distributions of cash, property or securities of the Guarantors made on such Guarantor Senior Debt until all obligations arising under the Guarantees shall be paid in full; and, for the purposes of such subrogation, no payments or distributions to the holders of the Guarantor Senior Debt of any cash, property or securities to which the Holders or the Trustee on their behalf would be entitled except for the provisions of this Article Sixteen, and no payment pursuant to the provisions of this Article Sixteen to the holders of Guarantor Senior Debt by the Holders or the Trustee on their behalf shall, as between each Guarantor, its creditors other than holders of Guarantor Senior Debt, and the Holders, be deemed to be a payment by such Guarantor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80" w:right="239" w:bottom="1440" w:gutter="0" w:footer="0" w:header="0"/>
        </w:sectPr>
      </w:pPr>
    </w:p>
    <w:bookmarkStart w:id="212" w:name="page213"/>
    <w:bookmarkEnd w:id="212"/>
    <w:p>
      <w:pPr>
        <w:ind w:left="460"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or on account of the Guarantor Senior Debt. It is understood that the provisions of this Article Sixteen are intended solely for the purpose of defining the relative rights of the Holders, on the one hand, and the holders of the Guarantor Senior Debt, on the other hand.</w:t>
      </w:r>
    </w:p>
    <w:p>
      <w:pPr>
        <w:spacing w:after="0" w:line="51" w:lineRule="exact"/>
        <w:rPr>
          <w:sz w:val="20"/>
          <w:szCs w:val="20"/>
          <w:color w:val="auto"/>
        </w:rPr>
      </w:pPr>
    </w:p>
    <w:p>
      <w:pPr>
        <w:ind w:left="460" w:right="40" w:firstLine="443"/>
        <w:spacing w:after="0" w:line="255" w:lineRule="auto"/>
        <w:tabs>
          <w:tab w:leader="none" w:pos="114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any payment or distribution to which the Holders would otherwise have been entitled but for the provisions of this Article Sixteen shall have been applied, pursuant to the provisions of this Article Sixteen, to the payment of all amounts payable under Guarantor Senior Debt, then, and in such case, the Holders shall be entitled to receive from the holders of such Guarantor Senior Debt any payments or distributions received by such holders of Guarantor Senior Debt in excess of the amount required to make payment in full, in cash or cash equivalents, of such Guarantor Senior Debt of such 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16.5. </w:t>
      </w:r>
      <w:r>
        <w:rPr>
          <w:rFonts w:ascii="Arial" w:cs="Arial" w:eastAsia="Arial" w:hAnsi="Arial"/>
          <w:sz w:val="18"/>
          <w:szCs w:val="18"/>
          <w:u w:val="single" w:color="auto"/>
          <w:color w:val="auto"/>
        </w:rPr>
        <w:t>Obligations of Subsidiary Guarantor Unconditional</w:t>
      </w:r>
      <w:r>
        <w:rPr>
          <w:rFonts w:ascii="Arial" w:cs="Arial" w:eastAsia="Arial" w:hAnsi="Arial"/>
          <w:sz w:val="18"/>
          <w:szCs w:val="18"/>
          <w:color w:val="auto"/>
        </w:rPr>
        <w:t>.</w:t>
      </w:r>
    </w:p>
    <w:p>
      <w:pPr>
        <w:spacing w:after="0" w:line="90" w:lineRule="exact"/>
        <w:rPr>
          <w:sz w:val="20"/>
          <w:szCs w:val="20"/>
          <w:color w:val="auto"/>
        </w:rPr>
      </w:pPr>
    </w:p>
    <w:p>
      <w:pPr>
        <w:ind w:left="460" w:right="20" w:firstLine="443"/>
        <w:spacing w:after="0" w:line="291" w:lineRule="auto"/>
        <w:tabs>
          <w:tab w:leader="none" w:pos="1137" w:val="left"/>
        </w:tabs>
        <w:numPr>
          <w:ilvl w:val="0"/>
          <w:numId w:val="178"/>
        </w:numPr>
        <w:rPr>
          <w:rFonts w:ascii="Arial" w:cs="Arial" w:eastAsia="Arial" w:hAnsi="Arial"/>
          <w:sz w:val="16"/>
          <w:szCs w:val="16"/>
          <w:color w:val="auto"/>
        </w:rPr>
      </w:pPr>
      <w:r>
        <w:rPr>
          <w:rFonts w:ascii="Arial" w:cs="Arial" w:eastAsia="Arial" w:hAnsi="Arial"/>
          <w:sz w:val="16"/>
          <w:szCs w:val="16"/>
          <w:color w:val="auto"/>
        </w:rPr>
        <w:t>Nothing contained in this Article Sixteen or elsewhere in this Indenture or in the Securities is intended to or shall impair, as among the Guarantors and the Holders, the obligation of such Guarantors, which is absolute and unconditional, to pay to the Holders all obligations arising under the Guarantees as and when the same shall become due and payable in accordance with their terms, or is intended to or shall affect the relative rights of the Holders and creditors of the Guarantors other than the holders of the Guarantor Senior Debt, nor shall anything herein or therein prevent the Holders or the Trustee on their behalf from exercising all remedies otherwise permitted by applicable law upon default under this Indenture, subject to the rights, if any, under this Article Sixteen of the holders of the Guarantor Senior Debt.</w:t>
      </w:r>
    </w:p>
    <w:p>
      <w:pPr>
        <w:spacing w:after="0" w:line="39" w:lineRule="exact"/>
        <w:rPr>
          <w:rFonts w:ascii="Arial" w:cs="Arial" w:eastAsia="Arial" w:hAnsi="Arial"/>
          <w:sz w:val="16"/>
          <w:szCs w:val="16"/>
          <w:color w:val="auto"/>
        </w:rPr>
      </w:pPr>
    </w:p>
    <w:p>
      <w:pPr>
        <w:ind w:left="460" w:right="20" w:firstLine="443"/>
        <w:spacing w:after="0" w:line="255" w:lineRule="auto"/>
        <w:tabs>
          <w:tab w:leader="none" w:pos="114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Without limiting the generality of the foregoing, nothing contained in this Article Sixteen will restrict the right of the Trustee or the Holders to take any action to declare the Securities to be due and payable prior to their Stated Maturity pursuant to Section 5.1 of this Indenture or to pursue any rights or remedies hereunder; provided, however, that all Guarantor Senior Debt then due and payable or thereafter declared to be due and payable shall first be paid in full, in cash or cash equivalents, before the Holders or the Trustee are entitled to receive any direct or indirect payment from any Guarantor on the Securities.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16.6. </w:t>
      </w:r>
      <w:r>
        <w:rPr>
          <w:rFonts w:ascii="Arial" w:cs="Arial" w:eastAsia="Arial" w:hAnsi="Arial"/>
          <w:sz w:val="18"/>
          <w:szCs w:val="18"/>
          <w:u w:val="single" w:color="auto"/>
          <w:color w:val="auto"/>
        </w:rPr>
        <w:t>Notice to Trustee</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86" w:lineRule="auto"/>
        <w:tabs>
          <w:tab w:leader="none" w:pos="1137" w:val="left"/>
        </w:tabs>
        <w:numPr>
          <w:ilvl w:val="0"/>
          <w:numId w:val="179"/>
        </w:numPr>
        <w:rPr>
          <w:rFonts w:ascii="Arial" w:cs="Arial" w:eastAsia="Arial" w:hAnsi="Arial"/>
          <w:sz w:val="16"/>
          <w:szCs w:val="16"/>
          <w:color w:val="auto"/>
        </w:rPr>
      </w:pPr>
      <w:r>
        <w:rPr>
          <w:rFonts w:ascii="Arial" w:cs="Arial" w:eastAsia="Arial" w:hAnsi="Arial"/>
          <w:sz w:val="16"/>
          <w:szCs w:val="16"/>
          <w:color w:val="auto"/>
        </w:rPr>
        <w:t xml:space="preserve">Each Guarantor shall give prompt written notice to the Trustee of any fact known to such Guarantor that would prohibit the making of any payment to or by the Trustee in respect of the Guarantees pursuant to the provisions of this Article Sixteen. The Trustee shall not be charged with the knowledge of the existence of any default or event of default with respect to any Guarantor Senior Debt of any Guarantor or of any other facts that would prohibit the making of any payment to or by the Trustee unless and until the Trustee shall have received notice in writing at its Corporate Trust Office to that effect signed by an Officer of such Guarantor, or by a holder of such Guarantor Senior Debt or trustee or agent thereof; and prior to the receipt of any such written notice, the Trustee shall, subject to Article Six, be entitled to assume that no such facts exist;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Trustee shall not have received the notice provided for in this Section 16.6 at least two Business Days prior to the date upon which, by the terms of this Indenture, any monies shall become payable for any purpose (including, without limitation, the payment of all obligations arising under any Security Guarantee), then, notwithstanding anything herein to the contrary, the Trustee shall have full power and authority to receive any monies from such Guarantor and to apply the same to the purpose for which they were received, and shall not be affected by any notice to the contrary that may be received by it on or after such prior date except for an acceleration of the Securities prior to such application. Nothing contained in this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80" w:right="239" w:bottom="1440" w:gutter="0" w:footer="0" w:header="0"/>
        </w:sectPr>
      </w:pPr>
    </w:p>
    <w:bookmarkStart w:id="213" w:name="page214"/>
    <w:bookmarkEnd w:id="213"/>
    <w:p>
      <w:pPr>
        <w:jc w:val="both"/>
        <w:ind w:left="460"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16.6 shall limit the right of the holders of Guarantor Senior Debt to recover payments as contemplated by this Article Sixteen. The foregoing shall not apply if the Paying Agent is the Company. The Trustee shall be entitled to rely on the delivery to it of a written notice by a Person representing himself or itself to be a holder of any Guarantor Senior Debt (or a trustee on behalf of, or other representative of, such holder) to establish that such notice has been given by a holder of such Guarantor Senior Debt or a trustee or representative on behalf of any such holder.</w:t>
      </w:r>
    </w:p>
    <w:p>
      <w:pPr>
        <w:spacing w:after="0" w:line="32" w:lineRule="exact"/>
        <w:rPr>
          <w:sz w:val="20"/>
          <w:szCs w:val="20"/>
          <w:color w:val="auto"/>
        </w:rPr>
      </w:pPr>
    </w:p>
    <w:p>
      <w:pPr>
        <w:ind w:left="460" w:firstLine="443"/>
        <w:spacing w:after="0" w:line="254" w:lineRule="auto"/>
        <w:tabs>
          <w:tab w:leader="none" w:pos="114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the event that the Trustee determines in good faith that any evidence is required with respect to the right of any Person as a holder of Guarantor Senior Debt to participate in any payment or distribution pursuant to this Article Sixteen, the Trustee may request such Person to furnish evidence to the reasonable satisfaction of the Trustee as to the amount of Guarantor Senior Debt held by such Person, the extent to which such Person is entitled to participate in such payment or distribution and any other facts pertinent to the rights of such Person under this Article Sixteen and, if such evidence is not furnished to the Trustee, the Trustee may defer any payment to such Person pending judicial determination as to the right of such Person to receive such payment.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16.7. </w:t>
      </w:r>
      <w:r>
        <w:rPr>
          <w:rFonts w:ascii="Arial" w:cs="Arial" w:eastAsia="Arial" w:hAnsi="Arial"/>
          <w:sz w:val="18"/>
          <w:szCs w:val="18"/>
          <w:u w:val="single" w:color="auto"/>
          <w:color w:val="auto"/>
        </w:rPr>
        <w:t>Reliance on Judicial Order or Certificate of Liquidating Agent</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Upon any payment or distribution of assets or securities referred to in this Article Sixteen, the Trustee and the Holders shall be entitled to rely upon any order or decree made by any court of competent jurisdiction in which bankruptcy, dissolution, winding up, liquidation or reorganization proceedings are pending, or upon a certificate of the receiver, trustee in bankruptcy, liquidating trustee, agent or other similar Person making such payment or distribution, delivered to the Trustee or to the Holders for the purpose of ascertaining the persons entitled to participate in such distribution, the holders of the Guarantor Senior Debt and other Debt of a Guarantor, the amount thereof or payable thereon, the amount or amounts paid or distributed thereon and all other facts pertinent thereto or to this Article Sixteen.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16.8. </w:t>
      </w:r>
      <w:r>
        <w:rPr>
          <w:rFonts w:ascii="Arial" w:cs="Arial" w:eastAsia="Arial" w:hAnsi="Arial"/>
          <w:sz w:val="18"/>
          <w:szCs w:val="18"/>
          <w:u w:val="single" w:color="auto"/>
          <w:color w:val="auto"/>
        </w:rPr>
        <w:t>Trustee’s Relation to Guarantor Senior Debt</w:t>
      </w:r>
      <w:r>
        <w:rPr>
          <w:rFonts w:ascii="Arial" w:cs="Arial" w:eastAsia="Arial" w:hAnsi="Arial"/>
          <w:sz w:val="18"/>
          <w:szCs w:val="18"/>
          <w:color w:val="auto"/>
        </w:rPr>
        <w:t>.</w:t>
      </w:r>
    </w:p>
    <w:p>
      <w:pPr>
        <w:spacing w:after="0" w:line="90" w:lineRule="exact"/>
        <w:rPr>
          <w:sz w:val="20"/>
          <w:szCs w:val="20"/>
          <w:color w:val="auto"/>
        </w:rPr>
      </w:pPr>
    </w:p>
    <w:p>
      <w:pPr>
        <w:ind w:left="460" w:right="40" w:firstLine="443"/>
        <w:spacing w:after="0" w:line="259" w:lineRule="auto"/>
        <w:tabs>
          <w:tab w:leader="none" w:pos="113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Trustee and any Paying Agent shall be entitled to all the rights set forth in this Article Sixteen with respect to any Guarantor Senior Debt that may at any time be held by it in its individual or any other capacity to the same extent as any other holder of Guarantor Senior Debt and nothing in this Indenture shall deprive the Trustee or any Paying Agent of any of its rights as such holder.</w:t>
      </w:r>
    </w:p>
    <w:p>
      <w:pPr>
        <w:spacing w:after="0" w:line="59" w:lineRule="exact"/>
        <w:rPr>
          <w:rFonts w:ascii="Arial" w:cs="Arial" w:eastAsia="Arial" w:hAnsi="Arial"/>
          <w:sz w:val="18"/>
          <w:szCs w:val="18"/>
          <w:color w:val="auto"/>
        </w:rPr>
      </w:pPr>
    </w:p>
    <w:p>
      <w:pPr>
        <w:ind w:left="460" w:right="120" w:firstLine="443"/>
        <w:spacing w:after="0" w:line="291" w:lineRule="auto"/>
        <w:tabs>
          <w:tab w:leader="none" w:pos="1147" w:val="left"/>
        </w:tabs>
        <w:numPr>
          <w:ilvl w:val="0"/>
          <w:numId w:val="181"/>
        </w:numPr>
        <w:rPr>
          <w:rFonts w:ascii="Arial" w:cs="Arial" w:eastAsia="Arial" w:hAnsi="Arial"/>
          <w:sz w:val="16"/>
          <w:szCs w:val="16"/>
          <w:color w:val="auto"/>
        </w:rPr>
      </w:pPr>
      <w:r>
        <w:rPr>
          <w:rFonts w:ascii="Arial" w:cs="Arial" w:eastAsia="Arial" w:hAnsi="Arial"/>
          <w:sz w:val="16"/>
          <w:szCs w:val="16"/>
          <w:color w:val="auto"/>
        </w:rPr>
        <w:t>With respect to the holders of Guarantor Senior Debt, the Trustee undertakes to perform or to observe only such of its covenants and obligations as are specifically set forth in this Article Sixteen, and no implied covenants or obligations with respect to the holders of Guarantor Senior Debt shall be read into this Indenture against the Trustee. The Trustee shall not be deemed to owe any fiduciary duty to the holders of Guarantor Senior Debt (except as provided in Section 16.2(c) and Section 16.3(c) of this Indenture) and shall not be liable to any such holders if the Trustee shall in good faith mistakenly pay over or distribute to Holders of Guarantees or to a Guarantor or to any other person cash, property or securities to which any holders of Guarantor Senior Debt shall be entitled by virtue of this Article Sixteen or otherwise.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16.9. </w:t>
      </w:r>
      <w:r>
        <w:rPr>
          <w:rFonts w:ascii="Arial" w:cs="Arial" w:eastAsia="Arial" w:hAnsi="Arial"/>
          <w:sz w:val="18"/>
          <w:szCs w:val="18"/>
          <w:u w:val="single" w:color="auto"/>
          <w:color w:val="auto"/>
        </w:rPr>
        <w:t>Subordination Rights Not Impaired by Acts or Omissions of a Guarantor or Holders of Guarantor Senior Debt</w:t>
      </w:r>
      <w:r>
        <w:rPr>
          <w:rFonts w:ascii="Arial" w:cs="Arial" w:eastAsia="Arial" w:hAnsi="Arial"/>
          <w:sz w:val="18"/>
          <w:szCs w:val="18"/>
          <w:color w:val="auto"/>
        </w:rPr>
        <w:t>.</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 right of any present or future holders of any Guarantor Senior Debt to enforce subordination as provided in this Article Sixteen will at any time in any way be prejudiced or impaired by any act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80" w:right="259" w:bottom="1440" w:gutter="0" w:footer="0" w:header="0"/>
        </w:sectPr>
      </w:pPr>
    </w:p>
    <w:bookmarkStart w:id="214" w:name="page215"/>
    <w:bookmarkEnd w:id="214"/>
    <w:p>
      <w:pPr>
        <w:ind w:right="1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failure to act on the part of a Guarantor or by any act or failure to act, in good faith, by any such holder, or by any noncompliance by such Guarantor with the terms of this Indenture, regardless of any knowledge thereof that any such holder may have or otherwise be charged with. The provisions of this Article Sixteen are intended to be for the benefit of, and shall be enforceable directly by, the holders of Guarantor Senior Debt.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16.10. </w:t>
      </w:r>
      <w:r>
        <w:rPr>
          <w:rFonts w:ascii="Arial" w:cs="Arial" w:eastAsia="Arial" w:hAnsi="Arial"/>
          <w:sz w:val="18"/>
          <w:szCs w:val="18"/>
          <w:u w:val="single" w:color="auto"/>
          <w:color w:val="auto"/>
        </w:rPr>
        <w:t>Holders Authorize Trustee to Effectuate Subordination of Guarantees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Holder by his acceptance of any Guarantees authorizes and expressly directs the Trustee on his behalf to take such action as may be necessary or appropriate to effectuate the subordination provided in this Article Sixteen, and appoints the Trustee his attorney-in-fact for such purposes, including, in the event of any dissolution, winding up, liquidation or reorganization of a Guarantor (whether in bankruptcy, insolvency, receivership, reorganization or similar proceedings or upon an assignment for the benefit of creditors or otherwise) tending towards liquidation of the property and assets of such Guarantor, the filing of a claim for the unpaid balance of its Guarantees in the form required in those proceedings. If the Trustee does not file a proper claim or proof in indebtedness in the form required in such proceeding at least 30 days before the expiration of the time to file such claim or claims, each holder of Guarantor Senior Debt is hereby authorized to file an appropriate claim for and on behalf of the 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16.11. </w:t>
      </w:r>
      <w:r>
        <w:rPr>
          <w:rFonts w:ascii="Arial" w:cs="Arial" w:eastAsia="Arial" w:hAnsi="Arial"/>
          <w:sz w:val="18"/>
          <w:szCs w:val="18"/>
          <w:u w:val="single" w:color="auto"/>
          <w:color w:val="auto"/>
        </w:rPr>
        <w:t>Not to Prevent Events of Default</w:t>
      </w:r>
      <w:r>
        <w:rPr>
          <w:rFonts w:ascii="Arial" w:cs="Arial" w:eastAsia="Arial" w:hAnsi="Arial"/>
          <w:sz w:val="18"/>
          <w:szCs w:val="18"/>
          <w:color w:val="auto"/>
        </w:rPr>
        <w:t>.</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failure to fulfill any obligation arising under the Guarantees by reason of any provision of this Article Sixteen will not be construed as preventing the occurrence of an Event of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16.12. </w:t>
      </w:r>
      <w:r>
        <w:rPr>
          <w:rFonts w:ascii="Arial" w:cs="Arial" w:eastAsia="Arial" w:hAnsi="Arial"/>
          <w:sz w:val="18"/>
          <w:szCs w:val="18"/>
          <w:u w:val="single" w:color="auto"/>
          <w:color w:val="auto"/>
        </w:rPr>
        <w:t>Trustee’s Compensation Not Prejudiced</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Nothing in this Article Sixteen will apply to amounts due to the Trustee pursuant to other sections of this Indenture, including Section 6.7.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16.13. </w:t>
      </w:r>
      <w:r>
        <w:rPr>
          <w:rFonts w:ascii="Arial" w:cs="Arial" w:eastAsia="Arial" w:hAnsi="Arial"/>
          <w:sz w:val="18"/>
          <w:szCs w:val="18"/>
          <w:u w:val="single" w:color="auto"/>
          <w:color w:val="auto"/>
        </w:rPr>
        <w:t>No Waiver of Subordination Provisions</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Without in any way limiting the generality of Section 16.9, the holders of Guarantor Senior Debt may, at any time and from time to time, without the consent of or notice to the Trustee or the Holders, without incurring responsibility to the Holders and without impairing or releasing the subordination provided in this Article Sixteen or the obligations hereunder of the Holders to the holders of Guarantor Senior Debt, do any one or more of the following: (a) change the manner, place or terms of payment or extend the time of payment of, or renew or alter, Guarantor Senior Debt or any instrument evidencing the same or any agreement under which Guarantor Senior Debt is outstanding or secured; (b) sell, exchange, release or otherwise deal with any property pledged, mortgaged or otherwise securing Senior Debt; (c) release any Person liable in any manner for the collection of Guarantor Senior Debt; and (d) exercise or refrain from exercising any rights against the Company and any other Person.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16.14. </w:t>
      </w:r>
      <w:r>
        <w:rPr>
          <w:rFonts w:ascii="Arial" w:cs="Arial" w:eastAsia="Arial" w:hAnsi="Arial"/>
          <w:sz w:val="18"/>
          <w:szCs w:val="18"/>
          <w:u w:val="single" w:color="auto"/>
          <w:color w:val="auto"/>
        </w:rPr>
        <w:t>Payments May Be Paid Prior to Dissolution</w:t>
      </w:r>
      <w:r>
        <w:rPr>
          <w:rFonts w:ascii="Arial" w:cs="Arial" w:eastAsia="Arial" w:hAnsi="Arial"/>
          <w:sz w:val="18"/>
          <w:szCs w:val="18"/>
          <w:color w:val="auto"/>
        </w:rPr>
        <w:t>.</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Nothing contained in this Article Sixteen or elsewhere in this Indenture shall prevent (i) a Guarantor, except under the conditions described in Section 16.2 or Section 16.3, from fulfilling any obligation arising under the Guarantees, or from depositing with the Trustee any money for such payments, or (ii) the application by the Trustee of any money deposited with it for the purpose of fulfilling any obligation arising under the Guarantees to the holders entitled thereto unless, at least two Business Days prior to the date upon which such payment becomes due and payable, the Trustee shall have received the written notice provided for in Section 16.2(b) of this Indenture (or there shall have been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80" w:right="259" w:bottom="1440" w:gutter="0" w:footer="0" w:header="0"/>
        </w:sectPr>
      </w:pPr>
    </w:p>
    <w:bookmarkStart w:id="215" w:name="page216"/>
    <w:bookmarkEnd w:id="21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acceleration of the Guarantees prior to such application) or in Section 16.6 of this Indenture. The Company shall give prompt written notice to the Trustee of any dissolution, winding up, liquidation or reorganization of such Guarantor.</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280" w:right="439" w:bottom="1440" w:gutter="0" w:footer="0" w:header="0"/>
        </w:sectPr>
      </w:pPr>
    </w:p>
    <w:bookmarkStart w:id="216" w:name="page217"/>
    <w:bookmarkEnd w:id="216"/>
    <w:p>
      <w:pPr>
        <w:ind w:right="3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instrument may be executed in any number of counterparts, each of which so executed shall be deemed to be an original, but all such counterparts shall together constitute but one and the same instrument.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WITNESS WHEREOF, the parties hereto have caused this Indenture to be duly executed, and their respective corporate seals to be hereunto affixed and attested, all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2540</wp:posOffset>
            </wp:positionV>
            <wp:extent cx="25730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2540</wp:posOffset>
            </wp:positionV>
            <wp:extent cx="25730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2540</wp:posOffset>
            </wp:positionV>
            <wp:extent cx="25730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Six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4"/>
                <w:szCs w:val="14"/>
                <w:b w:val="1"/>
                <w:bCs w:val="1"/>
                <w:color w:val="auto"/>
                <w:w w:val="85"/>
              </w:rPr>
              <w:t>Years Ended December 31,</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2"/>
                <w:szCs w:val="12"/>
                <w:color w:val="auto"/>
              </w:rPr>
            </w:pPr>
          </w:p>
        </w:tc>
        <w:tc>
          <w:tcPr>
            <w:tcW w:w="64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2"/>
                <w:szCs w:val="12"/>
                <w:color w:val="auto"/>
              </w:rPr>
            </w:pPr>
          </w:p>
        </w:tc>
        <w:tc>
          <w:tcPr>
            <w:tcW w:w="6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ind w:left="320"/>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3"/>
              </w:rPr>
              <w:t>thousands, except</w:t>
            </w:r>
          </w:p>
        </w:tc>
        <w:tc>
          <w:tcPr>
            <w:tcW w:w="1080" w:type="dxa"/>
            <w:vAlign w:val="bottom"/>
            <w:gridSpan w:val="4"/>
          </w:tcPr>
          <w:p>
            <w:pPr>
              <w:jc w:val="right"/>
              <w:ind w:right="500"/>
              <w:spacing w:after="0" w:line="142" w:lineRule="exact"/>
              <w:rPr>
                <w:sz w:val="20"/>
                <w:szCs w:val="20"/>
                <w:color w:val="auto"/>
              </w:rPr>
            </w:pPr>
            <w:r>
              <w:rPr>
                <w:rFonts w:ascii="Arial" w:cs="Arial" w:eastAsia="Arial" w:hAnsi="Arial"/>
                <w:sz w:val="14"/>
                <w:szCs w:val="14"/>
                <w:b w:val="1"/>
                <w:bCs w:val="1"/>
                <w:color w:val="auto"/>
                <w:w w:val="85"/>
              </w:rPr>
              <w:t>for ratios)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Earnings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Pretax income (loss) from operations and interest expense</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 (27,962)</w:t>
            </w:r>
          </w:p>
        </w:tc>
        <w:tc>
          <w:tcPr>
            <w:tcW w:w="900" w:type="dxa"/>
            <w:vAlign w:val="bottom"/>
            <w:gridSpan w:val="2"/>
          </w:tcPr>
          <w:p>
            <w:pPr>
              <w:jc w:val="right"/>
              <w:ind w:right="132"/>
              <w:spacing w:after="0"/>
              <w:rPr>
                <w:sz w:val="20"/>
                <w:szCs w:val="20"/>
                <w:color w:val="auto"/>
              </w:rPr>
            </w:pPr>
            <w:r>
              <w:rPr>
                <w:rFonts w:ascii="Arial" w:cs="Arial" w:eastAsia="Arial" w:hAnsi="Arial"/>
                <w:sz w:val="18"/>
                <w:szCs w:val="18"/>
                <w:color w:val="auto"/>
                <w:w w:val="82"/>
              </w:rPr>
              <w:t>$ (27,623)</w:t>
            </w:r>
          </w:p>
        </w:tc>
        <w:tc>
          <w:tcPr>
            <w:tcW w:w="820" w:type="dxa"/>
            <w:vAlign w:val="bottom"/>
            <w:gridSpan w:val="2"/>
          </w:tcPr>
          <w:p>
            <w:pPr>
              <w:jc w:val="right"/>
              <w:ind w:right="32"/>
              <w:spacing w:after="0"/>
              <w:rPr>
                <w:sz w:val="20"/>
                <w:szCs w:val="20"/>
                <w:color w:val="auto"/>
              </w:rPr>
            </w:pPr>
            <w:r>
              <w:rPr>
                <w:rFonts w:ascii="Arial" w:cs="Arial" w:eastAsia="Arial" w:hAnsi="Arial"/>
                <w:sz w:val="18"/>
                <w:szCs w:val="18"/>
                <w:color w:val="auto"/>
                <w:w w:val="85"/>
              </w:rPr>
              <w:t>$ (21,703)</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 (27,780)</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 (22,891)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5"/>
              </w:rPr>
              <w:t>$ (12,044)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Charges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expense</w:t>
            </w:r>
          </w:p>
        </w:tc>
        <w:tc>
          <w:tcPr>
            <w:tcW w:w="102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fixed charges</w:t>
            </w:r>
          </w:p>
        </w:tc>
        <w:tc>
          <w:tcPr>
            <w:tcW w:w="10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00" w:type="dxa"/>
            <w:vAlign w:val="bottom"/>
            <w:gridSpan w:val="2"/>
          </w:tcPr>
          <w:p>
            <w:pPr>
              <w:spacing w:after="0"/>
              <w:rPr>
                <w:sz w:val="20"/>
                <w:szCs w:val="20"/>
                <w:color w:val="auto"/>
              </w:rPr>
            </w:pPr>
            <w:r>
              <w:rPr>
                <w:rFonts w:ascii="Arial" w:cs="Arial" w:eastAsia="Arial" w:hAnsi="Arial"/>
                <w:sz w:val="18"/>
                <w:szCs w:val="18"/>
                <w:color w:val="auto"/>
              </w:rPr>
              <w:t>Earnings (loss) available to cover fixed charges</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(27,692)</w:t>
            </w:r>
          </w:p>
        </w:tc>
        <w:tc>
          <w:tcPr>
            <w:tcW w:w="900" w:type="dxa"/>
            <w:vAlign w:val="bottom"/>
            <w:gridSpan w:val="2"/>
          </w:tcPr>
          <w:p>
            <w:pPr>
              <w:jc w:val="right"/>
              <w:ind w:right="132"/>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(27,623)</w:t>
            </w:r>
          </w:p>
        </w:tc>
        <w:tc>
          <w:tcPr>
            <w:tcW w:w="820" w:type="dxa"/>
            <w:vAlign w:val="bottom"/>
            <w:gridSpan w:val="2"/>
          </w:tcPr>
          <w:p>
            <w:pPr>
              <w:jc w:val="right"/>
              <w:ind w:right="32"/>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(21,703)</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(27,780)</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(22,891)</w:t>
            </w: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(12,044)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 (1)</w:t>
            </w:r>
          </w:p>
        </w:tc>
        <w:tc>
          <w:tcPr>
            <w:tcW w:w="10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140" w:hanging="452"/>
        <w:spacing w:after="0" w:line="268" w:lineRule="auto"/>
        <w:tabs>
          <w:tab w:leader="none" w:pos="4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Earnings were inadequate to cover fixed charges by $27.7 million, $27.6 million, $21.7 million, $27.8 million, $22.9 million and $12 million for the years ended December 31, 2001, 2002, 2003, 2004 and 2005 and the six months ended June 30, 2006, respectively.</w:t>
      </w:r>
    </w:p>
    <w:p>
      <w:pPr>
        <w:sectPr>
          <w:pgSz w:w="11900" w:h="16838" w:orient="portrait"/>
          <w:cols w:equalWidth="0" w:num="1">
            <w:col w:w="11420"/>
          </w:cols>
          <w:pgMar w:left="240" w:top="125"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consent to the reference to our firm under the caption “Experts” in this Registration Statement (Form S-3) and related Prospectus of Active Power, Inc. for the registration of Debt Securities, Preferred Stock, Common Stock, and Debt and Equity Warrants and Units and to the incorporation by reference therein of our reports dated February 24, 2006, with respect to the consolidated financial statements and schedule(s) of Active Power, Inc, Active Power, Inc.’s management’s assessment of the effectiveness of internal control over financial reporting, and the effectiveness of internal control over financial reporting of Active Power, Inc. included in its Annual Report (Form 10-K) for the year ended December 31, 2005, filed with the Securities and Exchange Commission.</w:t>
      </w:r>
    </w:p>
    <w:p>
      <w:pPr>
        <w:spacing w:after="0" w:line="116" w:lineRule="exact"/>
        <w:rPr>
          <w:sz w:val="20"/>
          <w:szCs w:val="20"/>
          <w:color w:val="auto"/>
        </w:rPr>
      </w:pPr>
    </w:p>
    <w:p>
      <w:pPr>
        <w:ind w:left="94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31, 2006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2AC315"/>
    <w:multiLevelType w:val="hybridMultilevel"/>
    <w:lvl w:ilvl="0">
      <w:lvlJc w:val="left"/>
      <w:lvlText w:val="(%1)"/>
      <w:numFmt w:val="decimal"/>
      <w:start w:val="1"/>
    </w:lvl>
  </w:abstractNum>
  <w:abstractNum w:abstractNumId="1">
    <w:nsid w:val="39EE015C"/>
    <w:multiLevelType w:val="hybridMultilevel"/>
    <w:lvl w:ilvl="0">
      <w:lvlJc w:val="left"/>
      <w:lvlText w:val="•"/>
      <w:numFmt w:val="bullet"/>
      <w:start w:val="1"/>
    </w:lvl>
  </w:abstractNum>
  <w:abstractNum w:abstractNumId="2">
    <w:nsid w:val="57FC4FBB"/>
    <w:multiLevelType w:val="hybridMultilevel"/>
    <w:lvl w:ilvl="0">
      <w:lvlJc w:val="left"/>
      <w:lvlText w:val="•"/>
      <w:numFmt w:val="bullet"/>
      <w:start w:val="1"/>
    </w:lvl>
  </w:abstractNum>
  <w:abstractNum w:abstractNumId="3">
    <w:nsid w:val="CC1016F"/>
    <w:multiLevelType w:val="hybridMultilevel"/>
    <w:lvl w:ilvl="0">
      <w:lvlJc w:val="left"/>
      <w:lvlText w:val="•"/>
      <w:numFmt w:val="bullet"/>
      <w:start w:val="1"/>
    </w:lvl>
  </w:abstractNum>
  <w:abstractNum w:abstractNumId="4">
    <w:nsid w:val="43F18422"/>
    <w:multiLevelType w:val="hybridMultilevel"/>
    <w:lvl w:ilvl="0">
      <w:lvlJc w:val="left"/>
      <w:lvlText w:val="•"/>
      <w:numFmt w:val="bullet"/>
      <w:start w:val="1"/>
    </w:lvl>
  </w:abstractNum>
  <w:abstractNum w:abstractNumId="5">
    <w:nsid w:val="60EF0119"/>
    <w:multiLevelType w:val="hybridMultilevel"/>
    <w:lvl w:ilvl="0">
      <w:lvlJc w:val="left"/>
      <w:lvlText w:val="•"/>
      <w:numFmt w:val="bullet"/>
      <w:start w:val="1"/>
    </w:lvl>
  </w:abstractNum>
  <w:abstractNum w:abstractNumId="6">
    <w:nsid w:val="26F324BA"/>
    <w:multiLevelType w:val="hybridMultilevel"/>
    <w:lvl w:ilvl="0">
      <w:lvlJc w:val="left"/>
      <w:lvlText w:val="•"/>
      <w:numFmt w:val="bullet"/>
      <w:start w:val="1"/>
    </w:lvl>
  </w:abstractNum>
  <w:abstractNum w:abstractNumId="7">
    <w:nsid w:val="7F01579B"/>
    <w:multiLevelType w:val="hybridMultilevel"/>
    <w:lvl w:ilvl="0">
      <w:lvlJc w:val="left"/>
      <w:lvlText w:val="•"/>
      <w:numFmt w:val="bullet"/>
      <w:start w:val="1"/>
    </w:lvl>
  </w:abstractNum>
  <w:abstractNum w:abstractNumId="8">
    <w:nsid w:val="49DA307D"/>
    <w:multiLevelType w:val="hybridMultilevel"/>
    <w:lvl w:ilvl="0">
      <w:lvlJc w:val="left"/>
      <w:lvlText w:val="•"/>
      <w:numFmt w:val="bullet"/>
      <w:start w:val="1"/>
    </w:lvl>
  </w:abstractNum>
  <w:abstractNum w:abstractNumId="9">
    <w:nsid w:val="7055A5F5"/>
    <w:multiLevelType w:val="hybridMultilevel"/>
    <w:lvl w:ilvl="0">
      <w:lvlJc w:val="left"/>
      <w:lvlText w:val="•"/>
      <w:numFmt w:val="bullet"/>
      <w:start w:val="1"/>
    </w:lvl>
  </w:abstractNum>
  <w:abstractNum w:abstractNumId="10">
    <w:nsid w:val="5FB8370B"/>
    <w:multiLevelType w:val="hybridMultilevel"/>
    <w:lvl w:ilvl="0">
      <w:lvlJc w:val="left"/>
      <w:lvlText w:val="•"/>
      <w:numFmt w:val="bullet"/>
      <w:start w:val="1"/>
    </w:lvl>
  </w:abstractNum>
  <w:abstractNum w:abstractNumId="11">
    <w:nsid w:val="50801EE1"/>
    <w:multiLevelType w:val="hybridMultilevel"/>
    <w:lvl w:ilvl="0">
      <w:lvlJc w:val="left"/>
      <w:lvlText w:val="•"/>
      <w:numFmt w:val="bullet"/>
      <w:start w:val="1"/>
    </w:lvl>
  </w:abstractNum>
  <w:abstractNum w:abstractNumId="12">
    <w:nsid w:val="488AC1A"/>
    <w:multiLevelType w:val="hybridMultilevel"/>
    <w:lvl w:ilvl="0">
      <w:lvlJc w:val="left"/>
      <w:lvlText w:val="•"/>
      <w:numFmt w:val="bullet"/>
      <w:start w:val="1"/>
    </w:lvl>
  </w:abstractNum>
  <w:abstractNum w:abstractNumId="13">
    <w:nsid w:val="5FB8011C"/>
    <w:multiLevelType w:val="hybridMultilevel"/>
    <w:lvl w:ilvl="0">
      <w:lvlJc w:val="left"/>
      <w:lvlText w:val="•"/>
      <w:numFmt w:val="bullet"/>
      <w:start w:val="1"/>
    </w:lvl>
  </w:abstractNum>
  <w:abstractNum w:abstractNumId="14">
    <w:nsid w:val="6AA78F7F"/>
    <w:multiLevelType w:val="hybridMultilevel"/>
    <w:lvl w:ilvl="0">
      <w:lvlJc w:val="left"/>
      <w:lvlText w:val="•"/>
      <w:numFmt w:val="bullet"/>
      <w:start w:val="1"/>
    </w:lvl>
  </w:abstractNum>
  <w:abstractNum w:abstractNumId="15">
    <w:nsid w:val="7672BD23"/>
    <w:multiLevelType w:val="hybridMultilevel"/>
    <w:lvl w:ilvl="0">
      <w:lvlJc w:val="left"/>
      <w:lvlText w:val="•"/>
      <w:numFmt w:val="bullet"/>
      <w:start w:val="1"/>
    </w:lvl>
  </w:abstractNum>
  <w:abstractNum w:abstractNumId="16">
    <w:nsid w:val="6FC75AF8"/>
    <w:multiLevelType w:val="hybridMultilevel"/>
    <w:lvl w:ilvl="0">
      <w:lvlJc w:val="left"/>
      <w:lvlText w:val="•"/>
      <w:numFmt w:val="bullet"/>
      <w:start w:val="1"/>
    </w:lvl>
  </w:abstractNum>
  <w:abstractNum w:abstractNumId="17">
    <w:nsid w:val="6A5F7029"/>
    <w:multiLevelType w:val="hybridMultilevel"/>
    <w:lvl w:ilvl="0">
      <w:lvlJc w:val="left"/>
      <w:lvlText w:val="•"/>
      <w:numFmt w:val="bullet"/>
      <w:start w:val="1"/>
    </w:lvl>
  </w:abstractNum>
  <w:abstractNum w:abstractNumId="18">
    <w:nsid w:val="7D5E18F8"/>
    <w:multiLevelType w:val="hybridMultilevel"/>
    <w:lvl w:ilvl="0">
      <w:lvlJc w:val="left"/>
      <w:lvlText w:val="•"/>
      <w:numFmt w:val="bullet"/>
      <w:start w:val="1"/>
    </w:lvl>
  </w:abstractNum>
  <w:abstractNum w:abstractNumId="19">
    <w:nsid w:val="5F3534A4"/>
    <w:multiLevelType w:val="hybridMultilevel"/>
    <w:lvl w:ilvl="0">
      <w:lvlJc w:val="left"/>
      <w:lvlText w:val="•"/>
      <w:numFmt w:val="bullet"/>
      <w:start w:val="1"/>
    </w:lvl>
  </w:abstractNum>
  <w:abstractNum w:abstractNumId="20">
    <w:nsid w:val="73A1821B"/>
    <w:multiLevelType w:val="hybridMultilevel"/>
    <w:lvl w:ilvl="0">
      <w:lvlJc w:val="left"/>
      <w:lvlText w:val="•"/>
      <w:numFmt w:val="bullet"/>
      <w:start w:val="1"/>
    </w:lvl>
  </w:abstractNum>
  <w:abstractNum w:abstractNumId="21">
    <w:nsid w:val="7DE67713"/>
    <w:multiLevelType w:val="hybridMultilevel"/>
    <w:lvl w:ilvl="0">
      <w:lvlJc w:val="left"/>
      <w:lvlText w:val="•"/>
      <w:numFmt w:val="bullet"/>
      <w:start w:val="1"/>
    </w:lvl>
  </w:abstractNum>
  <w:abstractNum w:abstractNumId="22">
    <w:nsid w:val="555C55B5"/>
    <w:multiLevelType w:val="hybridMultilevel"/>
    <w:lvl w:ilvl="0">
      <w:lvlJc w:val="left"/>
      <w:lvlText w:val="•"/>
      <w:numFmt w:val="bullet"/>
      <w:start w:val="1"/>
    </w:lvl>
  </w:abstractNum>
  <w:abstractNum w:abstractNumId="23">
    <w:nsid w:val="3FA62ACA"/>
    <w:multiLevelType w:val="hybridMultilevel"/>
    <w:lvl w:ilvl="0">
      <w:lvlJc w:val="left"/>
      <w:lvlText w:val="•"/>
      <w:numFmt w:val="bullet"/>
      <w:start w:val="1"/>
    </w:lvl>
  </w:abstractNum>
  <w:abstractNum w:abstractNumId="24">
    <w:nsid w:val="14FCE74E"/>
    <w:multiLevelType w:val="hybridMultilevel"/>
    <w:lvl w:ilvl="0">
      <w:lvlJc w:val="left"/>
      <w:lvlText w:val="•"/>
      <w:numFmt w:val="bullet"/>
      <w:start w:val="1"/>
    </w:lvl>
  </w:abstractNum>
  <w:abstractNum w:abstractNumId="25">
    <w:nsid w:val="6A3DD3E8"/>
    <w:multiLevelType w:val="hybridMultilevel"/>
    <w:lvl w:ilvl="0">
      <w:lvlJc w:val="left"/>
      <w:lvlText w:val="•"/>
      <w:numFmt w:val="bullet"/>
      <w:start w:val="1"/>
    </w:lvl>
  </w:abstractNum>
  <w:abstractNum w:abstractNumId="26">
    <w:nsid w:val="71C91298"/>
    <w:multiLevelType w:val="hybridMultilevel"/>
    <w:lvl w:ilvl="0">
      <w:lvlJc w:val="left"/>
      <w:lvlText w:val="•"/>
      <w:numFmt w:val="bullet"/>
      <w:start w:val="1"/>
    </w:lvl>
  </w:abstractNum>
  <w:abstractNum w:abstractNumId="27">
    <w:nsid w:val="9DAF632"/>
    <w:multiLevelType w:val="hybridMultilevel"/>
    <w:lvl w:ilvl="0">
      <w:lvlJc w:val="left"/>
      <w:lvlText w:val="•"/>
      <w:numFmt w:val="bullet"/>
      <w:start w:val="1"/>
    </w:lvl>
  </w:abstractNum>
  <w:abstractNum w:abstractNumId="28">
    <w:nsid w:val="53299938"/>
    <w:multiLevelType w:val="hybridMultilevel"/>
    <w:lvl w:ilvl="0">
      <w:lvlJc w:val="left"/>
      <w:lvlText w:val="•"/>
      <w:numFmt w:val="bullet"/>
      <w:start w:val="1"/>
    </w:lvl>
  </w:abstractNum>
  <w:abstractNum w:abstractNumId="29">
    <w:nsid w:val="1FBFE8E0"/>
    <w:multiLevelType w:val="hybridMultilevel"/>
    <w:lvl w:ilvl="0">
      <w:lvlJc w:val="left"/>
      <w:lvlText w:val="•"/>
      <w:numFmt w:val="bullet"/>
      <w:start w:val="1"/>
    </w:lvl>
  </w:abstractNum>
  <w:abstractNum w:abstractNumId="30">
    <w:nsid w:val="5092CA79"/>
    <w:multiLevelType w:val="hybridMultilevel"/>
    <w:lvl w:ilvl="0">
      <w:lvlJc w:val="left"/>
      <w:lvlText w:val="•"/>
      <w:numFmt w:val="bullet"/>
      <w:start w:val="1"/>
    </w:lvl>
  </w:abstractNum>
  <w:abstractNum w:abstractNumId="31">
    <w:nsid w:val="1D545C4D"/>
    <w:multiLevelType w:val="hybridMultilevel"/>
    <w:lvl w:ilvl="0">
      <w:lvlJc w:val="left"/>
      <w:lvlText w:val="•"/>
      <w:numFmt w:val="bullet"/>
      <w:start w:val="1"/>
    </w:lvl>
  </w:abstractNum>
  <w:abstractNum w:abstractNumId="32">
    <w:nsid w:val="59ADEA3D"/>
    <w:multiLevelType w:val="hybridMultilevel"/>
    <w:lvl w:ilvl="0">
      <w:lvlJc w:val="left"/>
      <w:lvlText w:val="•"/>
      <w:numFmt w:val="bullet"/>
      <w:start w:val="1"/>
    </w:lvl>
  </w:abstractNum>
  <w:abstractNum w:abstractNumId="33">
    <w:nsid w:val="288F1A34"/>
    <w:multiLevelType w:val="hybridMultilevel"/>
    <w:lvl w:ilvl="0">
      <w:lvlJc w:val="left"/>
      <w:lvlText w:val="•"/>
      <w:numFmt w:val="bullet"/>
      <w:start w:val="1"/>
    </w:lvl>
  </w:abstractNum>
  <w:abstractNum w:abstractNumId="34">
    <w:nsid w:val="2A155DBC"/>
    <w:multiLevelType w:val="hybridMultilevel"/>
    <w:lvl w:ilvl="0">
      <w:lvlJc w:val="left"/>
      <w:lvlText w:val="•"/>
      <w:numFmt w:val="bullet"/>
      <w:start w:val="1"/>
    </w:lvl>
  </w:abstractNum>
  <w:abstractNum w:abstractNumId="35">
    <w:nsid w:val="1D9F6E5F"/>
    <w:multiLevelType w:val="hybridMultilevel"/>
    <w:lvl w:ilvl="0">
      <w:lvlJc w:val="left"/>
      <w:lvlText w:val="•"/>
      <w:numFmt w:val="bullet"/>
      <w:start w:val="1"/>
    </w:lvl>
  </w:abstractNum>
  <w:abstractNum w:abstractNumId="36">
    <w:nsid w:val="97E1B4E"/>
    <w:multiLevelType w:val="hybridMultilevel"/>
    <w:lvl w:ilvl="0">
      <w:lvlJc w:val="left"/>
      <w:lvlText w:val="•"/>
      <w:numFmt w:val="bullet"/>
      <w:start w:val="1"/>
    </w:lvl>
  </w:abstractNum>
  <w:abstractNum w:abstractNumId="37">
    <w:nsid w:val="51088277"/>
    <w:multiLevelType w:val="hybridMultilevel"/>
    <w:lvl w:ilvl="0">
      <w:lvlJc w:val="left"/>
      <w:lvlText w:val="•"/>
      <w:numFmt w:val="bullet"/>
      <w:start w:val="1"/>
    </w:lvl>
  </w:abstractNum>
  <w:abstractNum w:abstractNumId="38">
    <w:nsid w:val="1CA0C5FA"/>
    <w:multiLevelType w:val="hybridMultilevel"/>
    <w:lvl w:ilvl="0">
      <w:lvlJc w:val="left"/>
      <w:lvlText w:val="*"/>
      <w:numFmt w:val="bullet"/>
      <w:start w:val="1"/>
    </w:lvl>
  </w:abstractNum>
  <w:abstractNum w:abstractNumId="39">
    <w:nsid w:val="53584BCB"/>
    <w:multiLevelType w:val="hybridMultilevel"/>
    <w:lvl w:ilvl="0">
      <w:lvlJc w:val="left"/>
      <w:lvlText w:val="**"/>
      <w:numFmt w:val="bullet"/>
      <w:start w:val="1"/>
    </w:lvl>
  </w:abstractNum>
  <w:abstractNum w:abstractNumId="40">
    <w:nsid w:val="415E286C"/>
    <w:multiLevelType w:val="hybridMultilevel"/>
    <w:lvl w:ilvl="0">
      <w:lvlJc w:val="left"/>
      <w:lvlText w:val="(%1)"/>
      <w:numFmt w:val="decimal"/>
      <w:start w:val="1"/>
    </w:lvl>
    <w:lvl w:ilvl="1">
      <w:lvlJc w:val="left"/>
      <w:lvlText w:val="(%2)"/>
      <w:numFmt w:val="lowerRoman"/>
      <w:start w:val="1"/>
    </w:lvl>
  </w:abstractNum>
  <w:abstractNum w:abstractNumId="41">
    <w:nsid w:val="7C58FD05"/>
    <w:multiLevelType w:val="hybridMultilevel"/>
    <w:lvl w:ilvl="0">
      <w:lvlJc w:val="left"/>
      <w:lvlText w:val="(%1)"/>
      <w:numFmt w:val="lowerRoman"/>
      <w:start w:val="3"/>
    </w:lvl>
  </w:abstractNum>
  <w:abstractNum w:abstractNumId="42">
    <w:nsid w:val="23D86AAC"/>
    <w:multiLevelType w:val="hybridMultilevel"/>
    <w:lvl w:ilvl="0">
      <w:lvlJc w:val="left"/>
      <w:lvlText w:val="(%1)"/>
      <w:numFmt w:val="decimal"/>
      <w:start w:val="2"/>
    </w:lvl>
    <w:lvl w:ilvl="1">
      <w:lvlJc w:val="left"/>
      <w:lvlText w:val="(%2)"/>
      <w:numFmt w:val="upperLetter"/>
      <w:start w:val="1"/>
    </w:lvl>
  </w:abstractNum>
  <w:abstractNum w:abstractNumId="43">
    <w:nsid w:val="45E6D486"/>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lvl w:ilvl="3">
      <w:lvlJc w:val="left"/>
      <w:lvlText w:val="%4"/>
      <w:numFmt w:val="decimal"/>
      <w:start w:val="1"/>
    </w:lvl>
    <w:lvl w:ilvl="4">
      <w:lvlJc w:val="left"/>
      <w:lvlText w:val="(%5)"/>
      <w:numFmt w:val="lowerRoman"/>
      <w:start w:val="1"/>
    </w:lvl>
  </w:abstractNum>
  <w:abstractNum w:abstractNumId="44">
    <w:nsid w:val="5C10FE21"/>
    <w:multiLevelType w:val="hybridMultilevel"/>
    <w:lvl w:ilvl="0">
      <w:lvlJc w:val="left"/>
      <w:lvlText w:val="%1"/>
      <w:numFmt w:val="lowerLetter"/>
      <w:start w:val="1"/>
    </w:lvl>
    <w:lvl w:ilvl="1">
      <w:lvlJc w:val="left"/>
      <w:lvlText w:val="%2."/>
      <w:numFmt w:val="upperLetter"/>
      <w:start w:val="2"/>
    </w:lvl>
    <w:lvl w:ilvl="2">
      <w:lvlJc w:val="left"/>
      <w:lvlText w:val="(%3)"/>
      <w:numFmt w:val="decimal"/>
      <w:start w:val="1"/>
    </w:lvl>
    <w:lvl w:ilvl="3">
      <w:lvlJc w:val="left"/>
      <w:lvlText w:val="(%4)"/>
      <w:numFmt w:val="decimal"/>
      <w:start w:val="4"/>
    </w:lvl>
    <w:lvl w:ilvl="4">
      <w:lvlJc w:val="left"/>
      <w:lvlText w:val="%5"/>
      <w:numFmt w:val="lowerRoman"/>
      <w:start w:val="1"/>
    </w:lvl>
  </w:abstractNum>
  <w:abstractNum w:abstractNumId="45">
    <w:nsid w:val="E7FFA2B"/>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lvl w:ilvl="3">
      <w:lvlJc w:val="left"/>
      <w:lvlText w:val="%4"/>
      <w:numFmt w:val="decimal"/>
      <w:start w:val="1"/>
    </w:lvl>
    <w:lvl w:ilvl="4">
      <w:lvlJc w:val="left"/>
      <w:lvlText w:val="%5"/>
      <w:numFmt w:val="lowerRoman"/>
      <w:start w:val="1"/>
    </w:lvl>
  </w:abstractNum>
  <w:abstractNum w:abstractNumId="46">
    <w:nsid w:val="3C5991AA"/>
    <w:multiLevelType w:val="hybridMultilevel"/>
    <w:lvl w:ilvl="0">
      <w:lvlJc w:val="left"/>
      <w:lvlText w:val="*"/>
      <w:numFmt w:val="bullet"/>
      <w:start w:val="1"/>
    </w:lvl>
  </w:abstractNum>
  <w:abstractNum w:abstractNumId="47">
    <w:nsid w:val="4BD8591A"/>
    <w:multiLevelType w:val="hybridMultilevel"/>
    <w:lvl w:ilvl="0">
      <w:lvlJc w:val="left"/>
      <w:lvlText w:val="**"/>
      <w:numFmt w:val="bullet"/>
      <w:start w:val="1"/>
    </w:lvl>
  </w:abstractNum>
  <w:abstractNum w:abstractNumId="48">
    <w:nsid w:val="78DF6A55"/>
    <w:multiLevelType w:val="hybridMultilevel"/>
    <w:lvl w:ilvl="0">
      <w:lvlJc w:val="left"/>
      <w:lvlText w:val="(%1)"/>
      <w:numFmt w:val="lowerLetter"/>
      <w:start w:val="1"/>
    </w:lvl>
  </w:abstractNum>
  <w:abstractNum w:abstractNumId="49">
    <w:nsid w:val="39B7AAA2"/>
    <w:multiLevelType w:val="hybridMultilevel"/>
    <w:lvl w:ilvl="0">
      <w:lvlJc w:val="left"/>
      <w:lvlText w:val="(%1)"/>
      <w:numFmt w:val="lowerLetter"/>
      <w:start w:val="1"/>
    </w:lvl>
  </w:abstractNum>
  <w:abstractNum w:abstractNumId="50">
    <w:nsid w:val="2B0D8DBE"/>
    <w:multiLevelType w:val="hybridMultilevel"/>
    <w:lvl w:ilvl="0">
      <w:lvlJc w:val="left"/>
      <w:lvlText w:val="(%1)"/>
      <w:numFmt w:val="lowerLetter"/>
      <w:start w:val="1"/>
    </w:lvl>
  </w:abstractNum>
  <w:abstractNum w:abstractNumId="51">
    <w:nsid w:val="6C80EC70"/>
    <w:multiLevelType w:val="hybridMultilevel"/>
    <w:lvl w:ilvl="0">
      <w:lvlJc w:val="left"/>
      <w:lvlText w:val="(%1)"/>
      <w:numFmt w:val="lowerLetter"/>
      <w:start w:val="1"/>
    </w:lvl>
  </w:abstractNum>
  <w:abstractNum w:abstractNumId="52">
    <w:nsid w:val="379E21B5"/>
    <w:multiLevelType w:val="hybridMultilevel"/>
    <w:lvl w:ilvl="0">
      <w:lvlJc w:val="left"/>
      <w:lvlText w:val="(%1)"/>
      <w:numFmt w:val="lowerLetter"/>
      <w:start w:val="3"/>
    </w:lvl>
  </w:abstractNum>
  <w:abstractNum w:abstractNumId="53">
    <w:nsid w:val="69E373"/>
    <w:multiLevelType w:val="hybridMultilevel"/>
    <w:lvl w:ilvl="0">
      <w:lvlJc w:val="left"/>
      <w:lvlText w:val="(%1)"/>
      <w:numFmt w:val="lowerLetter"/>
      <w:start w:val="1"/>
    </w:lvl>
  </w:abstractNum>
  <w:abstractNum w:abstractNumId="54">
    <w:nsid w:val="2C27173B"/>
    <w:multiLevelType w:val="hybridMultilevel"/>
    <w:lvl w:ilvl="0">
      <w:lvlJc w:val="left"/>
      <w:lvlText w:val="%"/>
      <w:numFmt w:val="bullet"/>
      <w:start w:val="1"/>
    </w:lvl>
  </w:abstractNum>
  <w:abstractNum w:abstractNumId="55">
    <w:nsid w:val="4C9B0904"/>
    <w:multiLevelType w:val="hybridMultilevel"/>
    <w:lvl w:ilvl="0">
      <w:lvlJc w:val="left"/>
      <w:lvlText w:val="(%1)"/>
      <w:numFmt w:val="lowerLetter"/>
      <w:start w:val="1"/>
    </w:lvl>
  </w:abstractNum>
  <w:abstractNum w:abstractNumId="56">
    <w:nsid w:val="6AA7B75C"/>
    <w:multiLevelType w:val="hybridMultilevel"/>
    <w:lvl w:ilvl="0">
      <w:lvlJc w:val="left"/>
      <w:lvlText w:val="(%1)"/>
      <w:numFmt w:val="lowerLetter"/>
      <w:start w:val="2"/>
    </w:lvl>
  </w:abstractNum>
  <w:abstractNum w:abstractNumId="57">
    <w:nsid w:val="1DF029D3"/>
    <w:multiLevelType w:val="hybridMultilevel"/>
    <w:lvl w:ilvl="0">
      <w:lvlJc w:val="left"/>
      <w:lvlText w:val="(%1)"/>
      <w:numFmt w:val="lowerLetter"/>
      <w:start w:val="12"/>
    </w:lvl>
  </w:abstractNum>
  <w:abstractNum w:abstractNumId="58">
    <w:nsid w:val="5675FF36"/>
    <w:multiLevelType w:val="hybridMultilevel"/>
    <w:lvl w:ilvl="0">
      <w:lvlJc w:val="left"/>
      <w:lvlText w:val="(%1)"/>
      <w:numFmt w:val="lowerLetter"/>
      <w:start w:val="1"/>
    </w:lvl>
  </w:abstractNum>
  <w:abstractNum w:abstractNumId="59">
    <w:nsid w:val="3DD15094"/>
    <w:multiLevelType w:val="hybridMultilevel"/>
    <w:lvl w:ilvl="0">
      <w:lvlJc w:val="left"/>
      <w:lvlText w:val="(%1)"/>
      <w:numFmt w:val="lowerLetter"/>
      <w:start w:val="2"/>
    </w:lvl>
  </w:abstractNum>
  <w:abstractNum w:abstractNumId="60">
    <w:nsid w:val="3DB012B3"/>
    <w:multiLevelType w:val="hybridMultilevel"/>
    <w:lvl w:ilvl="0">
      <w:lvlJc w:val="left"/>
      <w:lvlText w:val="(%1)"/>
      <w:numFmt w:val="lowerLetter"/>
      <w:start w:val="1"/>
    </w:lvl>
  </w:abstractNum>
  <w:abstractNum w:abstractNumId="61">
    <w:nsid w:val="2708C9AF"/>
    <w:multiLevelType w:val="hybridMultilevel"/>
    <w:lvl w:ilvl="0">
      <w:lvlJc w:val="left"/>
      <w:lvlText w:val="(%1)"/>
      <w:numFmt w:val="lowerLetter"/>
      <w:start w:val="1"/>
    </w:lvl>
  </w:abstractNum>
  <w:abstractNum w:abstractNumId="62">
    <w:nsid w:val="5B25ACE2"/>
    <w:multiLevelType w:val="hybridMultilevel"/>
    <w:lvl w:ilvl="0">
      <w:lvlJc w:val="left"/>
      <w:lvlText w:val="(%1)"/>
      <w:numFmt w:val="lowerLetter"/>
      <w:start w:val="1"/>
    </w:lvl>
  </w:abstractNum>
  <w:abstractNum w:abstractNumId="63">
    <w:nsid w:val="175DFCF0"/>
    <w:multiLevelType w:val="hybridMultilevel"/>
    <w:lvl w:ilvl="0">
      <w:lvlJc w:val="left"/>
      <w:lvlText w:val="(%1)"/>
      <w:numFmt w:val="lowerLetter"/>
      <w:start w:val="2"/>
    </w:lvl>
  </w:abstractNum>
  <w:abstractNum w:abstractNumId="64">
    <w:nsid w:val="4F97E3E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5">
    <w:nsid w:val="53B0A9E"/>
    <w:multiLevelType w:val="hybridMultilevel"/>
    <w:lvl w:ilvl="0">
      <w:lvlJc w:val="left"/>
      <w:lvlText w:val="(%1)"/>
      <w:numFmt w:val="lowerLetter"/>
      <w:start w:val="2"/>
    </w:lvl>
  </w:abstractNum>
  <w:abstractNum w:abstractNumId="66">
    <w:nsid w:val="34FD6B4F"/>
    <w:multiLevelType w:val="hybridMultilevel"/>
    <w:lvl w:ilvl="0">
      <w:lvlJc w:val="left"/>
      <w:lvlText w:val="(%1)"/>
      <w:numFmt w:val="lowerLetter"/>
      <w:start w:val="1"/>
    </w:lvl>
  </w:abstractNum>
  <w:abstractNum w:abstractNumId="67">
    <w:nsid w:val="5915FF32"/>
    <w:multiLevelType w:val="hybridMultilevel"/>
    <w:lvl w:ilvl="0">
      <w:lvlJc w:val="left"/>
      <w:lvlText w:val="(%1)"/>
      <w:numFmt w:val="lowerLetter"/>
      <w:start w:val="4"/>
    </w:lvl>
  </w:abstractNum>
  <w:abstractNum w:abstractNumId="68">
    <w:nsid w:val="56438D15"/>
    <w:multiLevelType w:val="hybridMultilevel"/>
    <w:lvl w:ilvl="0">
      <w:lvlJc w:val="left"/>
      <w:lvlText w:val="(%1)"/>
      <w:numFmt w:val="lowerLetter"/>
      <w:start w:val="1"/>
    </w:lvl>
    <w:lvl w:ilvl="1">
      <w:lvlJc w:val="left"/>
      <w:lvlText w:val="(%2)"/>
      <w:numFmt w:val="lowerLetter"/>
      <w:start w:val="9"/>
    </w:lvl>
  </w:abstractNum>
  <w:abstractNum w:abstractNumId="69">
    <w:nsid w:val="519E3149"/>
    <w:multiLevelType w:val="hybridMultilevel"/>
    <w:lvl w:ilvl="0">
      <w:lvlJc w:val="left"/>
      <w:lvlText w:val="%1"/>
      <w:numFmt w:val="lowerLetter"/>
      <w:start w:val="1"/>
    </w:lvl>
    <w:lvl w:ilvl="1">
      <w:lvlJc w:val="left"/>
      <w:lvlText w:val="(%2)"/>
      <w:numFmt w:val="lowerRoman"/>
      <w:start w:val="2"/>
    </w:lvl>
  </w:abstractNum>
  <w:abstractNum w:abstractNumId="70">
    <w:nsid w:val="2C6E4AFD"/>
    <w:multiLevelType w:val="hybridMultilevel"/>
    <w:lvl w:ilvl="0">
      <w:lvlJc w:val="left"/>
      <w:lvlText w:val="(%1)"/>
      <w:numFmt w:val="lowerLetter"/>
      <w:start w:val="2"/>
    </w:lvl>
    <w:lvl w:ilvl="1">
      <w:lvlJc w:val="left"/>
      <w:lvlText w:val="%2"/>
      <w:numFmt w:val="lowerRoman"/>
      <w:start w:val="1"/>
    </w:lvl>
  </w:abstractNum>
  <w:abstractNum w:abstractNumId="71">
    <w:nsid w:val="17A1B582"/>
    <w:multiLevelType w:val="hybridMultilevel"/>
    <w:lvl w:ilvl="0">
      <w:lvlJc w:val="left"/>
      <w:lvlText w:val="(%1)"/>
      <w:numFmt w:val="lowerLetter"/>
      <w:start w:val="1"/>
    </w:lvl>
  </w:abstractNum>
  <w:abstractNum w:abstractNumId="72">
    <w:nsid w:val="4DF72E4E"/>
    <w:multiLevelType w:val="hybridMultilevel"/>
    <w:lvl w:ilvl="0">
      <w:lvlJc w:val="left"/>
      <w:lvlText w:val="(%1)"/>
      <w:numFmt w:val="lowerLetter"/>
      <w:start w:val="1"/>
    </w:lvl>
  </w:abstractNum>
  <w:abstractNum w:abstractNumId="73">
    <w:nsid w:val="5046B5A9"/>
    <w:multiLevelType w:val="hybridMultilevel"/>
    <w:lvl w:ilvl="0">
      <w:lvlJc w:val="left"/>
      <w:lvlText w:val="(%1)"/>
      <w:numFmt w:val="lowerLetter"/>
      <w:start w:val="1"/>
    </w:lvl>
  </w:abstractNum>
  <w:abstractNum w:abstractNumId="74">
    <w:nsid w:val="5D888A08"/>
    <w:multiLevelType w:val="hybridMultilevel"/>
    <w:lvl w:ilvl="0">
      <w:lvlJc w:val="left"/>
      <w:lvlText w:val="(%1)"/>
      <w:numFmt w:val="lowerLetter"/>
      <w:start w:val="1"/>
    </w:lvl>
  </w:abstractNum>
  <w:abstractNum w:abstractNumId="75">
    <w:nsid w:val="2A082C70"/>
    <w:multiLevelType w:val="hybridMultilevel"/>
    <w:lvl w:ilvl="0">
      <w:lvlJc w:val="left"/>
      <w:lvlText w:val="(%1)"/>
      <w:numFmt w:val="lowerLetter"/>
      <w:start w:val="1"/>
    </w:lvl>
  </w:abstractNum>
  <w:abstractNum w:abstractNumId="76">
    <w:nsid w:val="5EC6AFD4"/>
    <w:multiLevelType w:val="hybridMultilevel"/>
    <w:lvl w:ilvl="0">
      <w:lvlJc w:val="left"/>
      <w:lvlText w:val="(%1)"/>
      <w:numFmt w:val="lowerLetter"/>
      <w:start w:val="2"/>
    </w:lvl>
  </w:abstractNum>
  <w:abstractNum w:abstractNumId="77">
    <w:nsid w:val="19E21BB2"/>
    <w:multiLevelType w:val="hybridMultilevel"/>
    <w:lvl w:ilvl="0">
      <w:lvlJc w:val="left"/>
      <w:lvlText w:val="(%1)"/>
      <w:numFmt w:val="lowerLetter"/>
      <w:start w:val="1"/>
    </w:lvl>
    <w:lvl w:ilvl="1">
      <w:lvlJc w:val="left"/>
      <w:lvlText w:val="(%2)"/>
      <w:numFmt w:val="lowerRoman"/>
      <w:start w:val="1"/>
    </w:lvl>
  </w:abstractNum>
  <w:abstractNum w:abstractNumId="78">
    <w:nsid w:val="75E0858A"/>
    <w:multiLevelType w:val="hybridMultilevel"/>
    <w:lvl w:ilvl="0">
      <w:lvlJc w:val="left"/>
      <w:lvlText w:val="(%1)"/>
      <w:numFmt w:val="lowerLetter"/>
      <w:start w:val="2"/>
    </w:lvl>
    <w:lvl w:ilvl="1">
      <w:lvlJc w:val="left"/>
      <w:lvlText w:val="(%2)"/>
      <w:numFmt w:val="lowerRoman"/>
      <w:start w:val="1"/>
    </w:lvl>
  </w:abstractNum>
  <w:abstractNum w:abstractNumId="79">
    <w:nsid w:val="57A61A29"/>
    <w:multiLevelType w:val="hybridMultilevel"/>
    <w:lvl w:ilvl="0">
      <w:lvlJc w:val="left"/>
      <w:lvlText w:val="(%1)"/>
      <w:numFmt w:val="lowerLetter"/>
      <w:start w:val="1"/>
    </w:lvl>
  </w:abstractNum>
  <w:abstractNum w:abstractNumId="80">
    <w:nsid w:val="5399C654"/>
    <w:multiLevelType w:val="hybridMultilevel"/>
    <w:lvl w:ilvl="0">
      <w:lvlJc w:val="left"/>
      <w:lvlText w:val="(%1)"/>
      <w:numFmt w:val="lowerRoman"/>
      <w:start w:val="1"/>
    </w:lvl>
  </w:abstractNum>
  <w:abstractNum w:abstractNumId="81">
    <w:nsid w:val="20EE1348"/>
    <w:multiLevelType w:val="hybridMultilevel"/>
    <w:lvl w:ilvl="0">
      <w:lvlJc w:val="left"/>
      <w:lvlText w:val="(%1)"/>
      <w:numFmt w:val="lowerLetter"/>
      <w:start w:val="1"/>
    </w:lvl>
  </w:abstractNum>
  <w:abstractNum w:abstractNumId="82">
    <w:nsid w:val="4427069A"/>
    <w:multiLevelType w:val="hybridMultilevel"/>
    <w:lvl w:ilvl="0">
      <w:lvlJc w:val="left"/>
      <w:lvlText w:val="(%1)"/>
      <w:numFmt w:val="lowerLetter"/>
      <w:start w:val="1"/>
    </w:lvl>
  </w:abstractNum>
  <w:abstractNum w:abstractNumId="83">
    <w:nsid w:val="B37E80A"/>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84">
    <w:nsid w:val="2157F6BC"/>
    <w:multiLevelType w:val="hybridMultilevel"/>
    <w:lvl w:ilvl="0">
      <w:lvlJc w:val="left"/>
      <w:lvlText w:val="(%1)"/>
      <w:numFmt w:val="lowerLetter"/>
      <w:start w:val="1"/>
    </w:lvl>
  </w:abstractNum>
  <w:abstractNum w:abstractNumId="85">
    <w:nsid w:val="704E1DD5"/>
    <w:multiLevelType w:val="hybridMultilevel"/>
    <w:lvl w:ilvl="0">
      <w:lvlJc w:val="left"/>
      <w:lvlText w:val="(%1)"/>
      <w:numFmt w:val="lowerLetter"/>
      <w:start w:val="1"/>
    </w:lvl>
  </w:abstractNum>
  <w:abstractNum w:abstractNumId="86">
    <w:nsid w:val="57D2F10E"/>
    <w:multiLevelType w:val="hybridMultilevel"/>
    <w:lvl w:ilvl="0">
      <w:lvlJc w:val="left"/>
      <w:lvlText w:val="(%1)"/>
      <w:numFmt w:val="lowerLetter"/>
      <w:start w:val="1"/>
    </w:lvl>
  </w:abstractNum>
  <w:abstractNum w:abstractNumId="87">
    <w:nsid w:val="BFFAE18"/>
    <w:multiLevelType w:val="hybridMultilevel"/>
    <w:lvl w:ilvl="0">
      <w:lvlJc w:val="left"/>
      <w:lvlText w:val="(%1)"/>
      <w:numFmt w:val="lowerLetter"/>
      <w:start w:val="1"/>
    </w:lvl>
    <w:lvl w:ilvl="1">
      <w:lvlJc w:val="left"/>
      <w:lvlText w:val="(%2)"/>
      <w:numFmt w:val="lowerRoman"/>
      <w:start w:val="1"/>
    </w:lvl>
  </w:abstractNum>
  <w:abstractNum w:abstractNumId="88">
    <w:nsid w:val="E3E47A8"/>
    <w:multiLevelType w:val="hybridMultilevel"/>
    <w:lvl w:ilvl="0">
      <w:lvlJc w:val="left"/>
      <w:lvlText w:val="(%1)"/>
      <w:numFmt w:val="lowerLetter"/>
      <w:start w:val="3"/>
    </w:lvl>
  </w:abstractNum>
  <w:abstractNum w:abstractNumId="89">
    <w:nsid w:val="2E48F044"/>
    <w:multiLevelType w:val="hybridMultilevel"/>
    <w:lvl w:ilvl="0">
      <w:lvlJc w:val="left"/>
      <w:lvlText w:val="(%1)"/>
      <w:numFmt w:val="lowerLetter"/>
      <w:start w:val="1"/>
    </w:lvl>
  </w:abstractNum>
  <w:abstractNum w:abstractNumId="90">
    <w:nsid w:val="49D0FEAC"/>
    <w:multiLevelType w:val="hybridMultilevel"/>
    <w:lvl w:ilvl="0">
      <w:lvlJc w:val="left"/>
      <w:lvlText w:val="(%1)"/>
      <w:numFmt w:val="lowerLetter"/>
      <w:start w:val="3"/>
    </w:lvl>
  </w:abstractNum>
  <w:abstractNum w:abstractNumId="91">
    <w:nsid w:val="4BEE5A5B"/>
    <w:multiLevelType w:val="hybridMultilevel"/>
    <w:lvl w:ilvl="0">
      <w:lvlJc w:val="left"/>
      <w:lvlText w:val="(%1)"/>
      <w:numFmt w:val="lowerLetter"/>
      <w:start w:val="1"/>
    </w:lvl>
  </w:abstractNum>
  <w:abstractNum w:abstractNumId="92">
    <w:nsid w:val="5551B9F3"/>
    <w:multiLevelType w:val="hybridMultilevel"/>
    <w:lvl w:ilvl="0">
      <w:lvlJc w:val="left"/>
      <w:lvlText w:val="(%1)"/>
      <w:numFmt w:val="lowerLetter"/>
      <w:start w:val="1"/>
    </w:lvl>
  </w:abstractNum>
  <w:abstractNum w:abstractNumId="93">
    <w:nsid w:val="24F6AB8E"/>
    <w:multiLevelType w:val="hybridMultilevel"/>
    <w:lvl w:ilvl="0">
      <w:lvlJc w:val="left"/>
      <w:lvlText w:val="(%1)"/>
      <w:numFmt w:val="lowerLetter"/>
      <w:start w:val="10"/>
    </w:lvl>
  </w:abstractNum>
  <w:abstractNum w:abstractNumId="94">
    <w:nsid w:val="634C574C"/>
    <w:multiLevelType w:val="hybridMultilevel"/>
    <w:lvl w:ilvl="0">
      <w:lvlJc w:val="left"/>
      <w:lvlText w:val="(%1)"/>
      <w:numFmt w:val="lowerLetter"/>
      <w:start w:val="1"/>
    </w:lvl>
  </w:abstractNum>
  <w:abstractNum w:abstractNumId="95">
    <w:nsid w:val="24E99DD7"/>
    <w:multiLevelType w:val="hybridMultilevel"/>
    <w:lvl w:ilvl="0">
      <w:lvlJc w:val="left"/>
      <w:lvlText w:val="(%1)"/>
      <w:numFmt w:val="lowerLetter"/>
      <w:start w:val="5"/>
    </w:lvl>
  </w:abstractNum>
  <w:abstractNum w:abstractNumId="96">
    <w:nsid w:val="2A31B62D"/>
    <w:multiLevelType w:val="hybridMultilevel"/>
    <w:lvl w:ilvl="0">
      <w:lvlJc w:val="left"/>
      <w:lvlText w:val="(%1)"/>
      <w:numFmt w:val="lowerLetter"/>
      <w:start w:val="1"/>
    </w:lvl>
  </w:abstractNum>
  <w:abstractNum w:abstractNumId="97">
    <w:nsid w:val="1849C29B"/>
    <w:multiLevelType w:val="hybridMultilevel"/>
    <w:lvl w:ilvl="0">
      <w:lvlJc w:val="left"/>
      <w:lvlText w:val="(%1)"/>
      <w:numFmt w:val="lowerLetter"/>
      <w:start w:val="1"/>
    </w:lvl>
  </w:abstractNum>
  <w:abstractNum w:abstractNumId="98">
    <w:nsid w:val="7DFF9D09"/>
    <w:multiLevelType w:val="hybridMultilevel"/>
    <w:lvl w:ilvl="0">
      <w:lvlJc w:val="left"/>
      <w:lvlText w:val="(%1)"/>
      <w:numFmt w:val="lowerLetter"/>
      <w:start w:val="4"/>
    </w:lvl>
  </w:abstractNum>
  <w:abstractNum w:abstractNumId="99">
    <w:nsid w:val="754342"/>
    <w:multiLevelType w:val="hybridMultilevel"/>
    <w:lvl w:ilvl="0">
      <w:lvlJc w:val="left"/>
      <w:lvlText w:val="(%1)"/>
      <w:numFmt w:val="lowerLetter"/>
      <w:start w:val="1"/>
    </w:lvl>
  </w:abstractNum>
  <w:abstractNum w:abstractNumId="100">
    <w:nsid w:val="69E7F3E5"/>
    <w:multiLevelType w:val="hybridMultilevel"/>
    <w:lvl w:ilvl="0">
      <w:lvlJc w:val="left"/>
      <w:lvlText w:val="(%1)"/>
      <w:numFmt w:val="lowerLetter"/>
      <w:start w:val="1"/>
    </w:lvl>
    <w:lvl w:ilvl="1">
      <w:lvlJc w:val="left"/>
      <w:lvlText w:val="(%2)"/>
      <w:numFmt w:val="lowerRoman"/>
      <w:start w:val="1"/>
    </w:lvl>
  </w:abstractNum>
  <w:abstractNum w:abstractNumId="101">
    <w:nsid w:val="2A6DE806"/>
    <w:multiLevelType w:val="hybridMultilevel"/>
    <w:lvl w:ilvl="0">
      <w:lvlJc w:val="left"/>
      <w:lvlText w:val="(%1)"/>
      <w:numFmt w:val="lowerLetter"/>
      <w:start w:val="3"/>
    </w:lvl>
  </w:abstractNum>
  <w:abstractNum w:abstractNumId="102">
    <w:nsid w:val="1816F8C4"/>
    <w:multiLevelType w:val="hybridMultilevel"/>
    <w:lvl w:ilvl="0">
      <w:lvlJc w:val="left"/>
      <w:lvlText w:val="(%1)"/>
      <w:numFmt w:val="lowerLetter"/>
      <w:start w:val="5"/>
    </w:lvl>
  </w:abstractNum>
  <w:abstractNum w:abstractNumId="103">
    <w:nsid w:val="37DF2233"/>
    <w:multiLevelType w:val="hybridMultilevel"/>
    <w:lvl w:ilvl="0">
      <w:lvlJc w:val="left"/>
      <w:lvlText w:val="(%1)"/>
      <w:numFmt w:val="lowerLetter"/>
      <w:start w:val="1"/>
    </w:lvl>
    <w:lvl w:ilvl="1">
      <w:lvlJc w:val="left"/>
      <w:lvlText w:val="(%2)"/>
      <w:numFmt w:val="lowerLetter"/>
      <w:start w:val="9"/>
    </w:lvl>
  </w:abstractNum>
  <w:abstractNum w:abstractNumId="104">
    <w:nsid w:val="7AB49DAF"/>
    <w:multiLevelType w:val="hybridMultilevel"/>
    <w:lvl w:ilvl="0">
      <w:lvlJc w:val="left"/>
      <w:lvlText w:val="(%1)"/>
      <w:numFmt w:val="lowerRoman"/>
      <w:start w:val="2"/>
    </w:lvl>
  </w:abstractNum>
  <w:abstractNum w:abstractNumId="105">
    <w:nsid w:val="759F82CD"/>
    <w:multiLevelType w:val="hybridMultilevel"/>
    <w:lvl w:ilvl="0">
      <w:lvlJc w:val="left"/>
      <w:lvlText w:val="(%1)"/>
      <w:numFmt w:val="lowerLetter"/>
      <w:start w:val="2"/>
    </w:lvl>
  </w:abstractNum>
  <w:abstractNum w:abstractNumId="106">
    <w:nsid w:val="61E74EA3"/>
    <w:multiLevelType w:val="hybridMultilevel"/>
    <w:lvl w:ilvl="0">
      <w:lvlJc w:val="left"/>
      <w:lvlText w:val="(%1)"/>
      <w:numFmt w:val="lowerLetter"/>
      <w:start w:val="1"/>
    </w:lvl>
  </w:abstractNum>
  <w:abstractNum w:abstractNumId="107">
    <w:nsid w:val="597B4D84"/>
    <w:multiLevelType w:val="hybridMultilevel"/>
    <w:lvl w:ilvl="0">
      <w:lvlJc w:val="left"/>
      <w:lvlText w:val="(%1)"/>
      <w:numFmt w:val="lowerLetter"/>
      <w:start w:val="1"/>
    </w:lvl>
  </w:abstractNum>
  <w:abstractNum w:abstractNumId="108">
    <w:nsid w:val="F819E7F"/>
    <w:multiLevelType w:val="hybridMultilevel"/>
    <w:lvl w:ilvl="0">
      <w:lvlJc w:val="left"/>
      <w:lvlText w:val="(%1)"/>
      <w:numFmt w:val="lowerLetter"/>
      <w:start w:val="4"/>
    </w:lvl>
  </w:abstractNum>
  <w:abstractNum w:abstractNumId="109">
    <w:nsid w:val="57C7D42D"/>
    <w:multiLevelType w:val="hybridMultilevel"/>
    <w:lvl w:ilvl="0">
      <w:lvlJc w:val="left"/>
      <w:lvlText w:val="(%1)"/>
      <w:numFmt w:val="lowerLetter"/>
      <w:start w:val="1"/>
    </w:lvl>
  </w:abstractNum>
  <w:abstractNum w:abstractNumId="110">
    <w:nsid w:val="312167AD"/>
    <w:multiLevelType w:val="hybridMultilevel"/>
    <w:lvl w:ilvl="0">
      <w:lvlJc w:val="left"/>
      <w:lvlText w:val="(%1)"/>
      <w:numFmt w:val="lowerLetter"/>
      <w:start w:val="1"/>
    </w:lvl>
  </w:abstractNum>
  <w:abstractNum w:abstractNumId="111">
    <w:nsid w:val="631B64D4"/>
    <w:multiLevelType w:val="hybridMultilevel"/>
    <w:lvl w:ilvl="0">
      <w:lvlJc w:val="left"/>
      <w:lvlText w:val="(%1)"/>
      <w:numFmt w:val="lowerLetter"/>
      <w:start w:val="2"/>
    </w:lvl>
  </w:abstractNum>
  <w:abstractNum w:abstractNumId="112">
    <w:nsid w:val="78B5E776"/>
    <w:multiLevelType w:val="hybridMultilevel"/>
    <w:lvl w:ilvl="0">
      <w:lvlJc w:val="left"/>
      <w:lvlText w:val="(%1)"/>
      <w:numFmt w:val="lowerLetter"/>
      <w:start w:val="1"/>
    </w:lvl>
  </w:abstractNum>
  <w:abstractNum w:abstractNumId="113">
    <w:nsid w:val="75486E47"/>
    <w:multiLevelType w:val="hybridMultilevel"/>
    <w:lvl w:ilvl="0">
      <w:lvlJc w:val="left"/>
      <w:lvlText w:val="%"/>
      <w:numFmt w:val="bullet"/>
      <w:start w:val="1"/>
    </w:lvl>
  </w:abstractNum>
  <w:abstractNum w:abstractNumId="114">
    <w:nsid w:val="6E534CDE"/>
    <w:multiLevelType w:val="hybridMultilevel"/>
    <w:lvl w:ilvl="0">
      <w:lvlJc w:val="left"/>
      <w:lvlText w:val="(%1)"/>
      <w:numFmt w:val="lowerLetter"/>
      <w:start w:val="1"/>
    </w:lvl>
  </w:abstractNum>
  <w:abstractNum w:abstractNumId="115">
    <w:nsid w:val="1A0DDE32"/>
    <w:multiLevelType w:val="hybridMultilevel"/>
    <w:lvl w:ilvl="0">
      <w:lvlJc w:val="left"/>
      <w:lvlText w:val="(%1)"/>
      <w:numFmt w:val="lowerLetter"/>
      <w:start w:val="6"/>
    </w:lvl>
  </w:abstractNum>
  <w:abstractNum w:abstractNumId="116">
    <w:nsid w:val="65968C1C"/>
    <w:multiLevelType w:val="hybridMultilevel"/>
    <w:lvl w:ilvl="0">
      <w:lvlJc w:val="left"/>
      <w:lvlText w:val="(%1)"/>
      <w:numFmt w:val="lowerLetter"/>
      <w:start w:val="16"/>
    </w:lvl>
  </w:abstractNum>
  <w:abstractNum w:abstractNumId="117">
    <w:nsid w:val="46263DEC"/>
    <w:multiLevelType w:val="hybridMultilevel"/>
    <w:lvl w:ilvl="0">
      <w:lvlJc w:val="left"/>
      <w:lvlText w:val="(%1)"/>
      <w:numFmt w:val="lowerLetter"/>
      <w:start w:val="1"/>
    </w:lvl>
  </w:abstractNum>
  <w:abstractNum w:abstractNumId="118">
    <w:nsid w:val="260D8C4A"/>
    <w:multiLevelType w:val="hybridMultilevel"/>
    <w:lvl w:ilvl="0">
      <w:lvlJc w:val="left"/>
      <w:lvlText w:val="(%1)"/>
      <w:numFmt w:val="lowerLetter"/>
      <w:start w:val="1"/>
    </w:lvl>
  </w:abstractNum>
  <w:abstractNum w:abstractNumId="119">
    <w:nsid w:val="73D4D3C4"/>
    <w:multiLevelType w:val="hybridMultilevel"/>
    <w:lvl w:ilvl="0">
      <w:lvlJc w:val="left"/>
      <w:lvlText w:val="(%1)"/>
      <w:numFmt w:val="lowerLetter"/>
      <w:start w:val="1"/>
    </w:lvl>
  </w:abstractNum>
  <w:abstractNum w:abstractNumId="120">
    <w:nsid w:val="746F2E30"/>
    <w:multiLevelType w:val="hybridMultilevel"/>
    <w:lvl w:ilvl="0">
      <w:lvlJc w:val="left"/>
      <w:lvlText w:val="(%1)"/>
      <w:numFmt w:val="lowerLetter"/>
      <w:start w:val="1"/>
    </w:lvl>
  </w:abstractNum>
  <w:abstractNum w:abstractNumId="121">
    <w:nsid w:val="6FDE8AF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2">
    <w:nsid w:val="3FC32E20"/>
    <w:multiLevelType w:val="hybridMultilevel"/>
    <w:lvl w:ilvl="0">
      <w:lvlJc w:val="left"/>
      <w:lvlText w:val="(%1)"/>
      <w:numFmt w:val="lowerLetter"/>
      <w:start w:val="2"/>
    </w:lvl>
  </w:abstractNum>
  <w:abstractNum w:abstractNumId="123">
    <w:nsid w:val="49C0E823"/>
    <w:multiLevelType w:val="hybridMultilevel"/>
    <w:lvl w:ilvl="0">
      <w:lvlJc w:val="left"/>
      <w:lvlText w:val="(%1)"/>
      <w:numFmt w:val="lowerLetter"/>
      <w:start w:val="1"/>
    </w:lvl>
  </w:abstractNum>
  <w:abstractNum w:abstractNumId="124">
    <w:nsid w:val="14D53685"/>
    <w:multiLevelType w:val="hybridMultilevel"/>
    <w:lvl w:ilvl="0">
      <w:lvlJc w:val="left"/>
      <w:lvlText w:val="(%1)"/>
      <w:numFmt w:val="lowerLetter"/>
      <w:start w:val="5"/>
    </w:lvl>
  </w:abstractNum>
  <w:abstractNum w:abstractNumId="125">
    <w:nsid w:val="230F856C"/>
    <w:multiLevelType w:val="hybridMultilevel"/>
    <w:lvl w:ilvl="0">
      <w:lvlJc w:val="left"/>
      <w:lvlText w:val="(%1)"/>
      <w:numFmt w:val="lowerLetter"/>
      <w:start w:val="1"/>
    </w:lvl>
    <w:lvl w:ilvl="1">
      <w:lvlJc w:val="left"/>
      <w:lvlText w:val="(%2)"/>
      <w:numFmt w:val="lowerRoman"/>
      <w:start w:val="1"/>
    </w:lvl>
  </w:abstractNum>
  <w:abstractNum w:abstractNumId="126">
    <w:nsid w:val="6EAA85FB"/>
    <w:multiLevelType w:val="hybridMultilevel"/>
    <w:lvl w:ilvl="0">
      <w:lvlJc w:val="left"/>
      <w:lvlText w:val="(%1)"/>
      <w:numFmt w:val="lowerLetter"/>
      <w:start w:val="2"/>
    </w:lvl>
  </w:abstractNum>
  <w:abstractNum w:abstractNumId="127">
    <w:nsid w:val="3F06ECB2"/>
    <w:multiLevelType w:val="hybridMultilevel"/>
    <w:lvl w:ilvl="0">
      <w:lvlJc w:val="left"/>
      <w:lvlText w:val="(%1)"/>
      <w:numFmt w:val="lowerLetter"/>
      <w:start w:val="1"/>
    </w:lvl>
  </w:abstractNum>
  <w:abstractNum w:abstractNumId="128">
    <w:nsid w:val="3B594807"/>
    <w:multiLevelType w:val="hybridMultilevel"/>
    <w:lvl w:ilvl="0">
      <w:lvlJc w:val="left"/>
      <w:lvlText w:val="(%1)"/>
      <w:numFmt w:val="lowerLetter"/>
      <w:start w:val="1"/>
    </w:lvl>
  </w:abstractNum>
  <w:abstractNum w:abstractNumId="129">
    <w:nsid w:val="6CAA2304"/>
    <w:multiLevelType w:val="hybridMultilevel"/>
    <w:lvl w:ilvl="0">
      <w:lvlJc w:val="left"/>
      <w:lvlText w:val="(%1)"/>
      <w:numFmt w:val="lowerLetter"/>
      <w:start w:val="1"/>
    </w:lvl>
  </w:abstractNum>
  <w:abstractNum w:abstractNumId="130">
    <w:nsid w:val="3F7C2FF4"/>
    <w:multiLevelType w:val="hybridMultilevel"/>
    <w:lvl w:ilvl="0">
      <w:lvlJc w:val="left"/>
      <w:lvlText w:val="(%1)"/>
      <w:numFmt w:val="lowerLetter"/>
      <w:start w:val="1"/>
    </w:lvl>
  </w:abstractNum>
  <w:abstractNum w:abstractNumId="131">
    <w:nsid w:val="25413BEC"/>
    <w:multiLevelType w:val="hybridMultilevel"/>
    <w:lvl w:ilvl="0">
      <w:lvlJc w:val="left"/>
      <w:lvlText w:val="(%1)"/>
      <w:numFmt w:val="lowerLetter"/>
      <w:start w:val="1"/>
    </w:lvl>
  </w:abstractNum>
  <w:abstractNum w:abstractNumId="132">
    <w:nsid w:val="17180B0B"/>
    <w:multiLevelType w:val="hybridMultilevel"/>
    <w:lvl w:ilvl="0">
      <w:lvlJc w:val="left"/>
      <w:lvlText w:val="(%1)"/>
      <w:numFmt w:val="lowerLetter"/>
      <w:start w:val="1"/>
    </w:lvl>
    <w:lvl w:ilvl="1">
      <w:lvlJc w:val="left"/>
      <w:lvlText w:val="(%2)"/>
      <w:numFmt w:val="lowerRoman"/>
      <w:start w:val="1"/>
    </w:lvl>
  </w:abstractNum>
  <w:abstractNum w:abstractNumId="133">
    <w:nsid w:val="579328B9"/>
    <w:multiLevelType w:val="hybridMultilevel"/>
    <w:lvl w:ilvl="0">
      <w:lvlJc w:val="left"/>
      <w:lvlText w:val="(%1)"/>
      <w:numFmt w:val="lowerLetter"/>
      <w:start w:val="3"/>
    </w:lvl>
    <w:lvl w:ilvl="1">
      <w:lvlJc w:val="left"/>
      <w:lvlText w:val="(%2)"/>
      <w:numFmt w:val="lowerRoman"/>
      <w:start w:val="1"/>
    </w:lvl>
  </w:abstractNum>
  <w:abstractNum w:abstractNumId="134">
    <w:nsid w:val="5D205E20"/>
    <w:multiLevelType w:val="hybridMultilevel"/>
    <w:lvl w:ilvl="0">
      <w:lvlJc w:val="left"/>
      <w:lvlText w:val="(%1)"/>
      <w:numFmt w:val="lowerLetter"/>
      <w:start w:val="1"/>
    </w:lvl>
  </w:abstractNum>
  <w:abstractNum w:abstractNumId="135">
    <w:nsid w:val="11CCA8BA"/>
    <w:multiLevelType w:val="hybridMultilevel"/>
    <w:lvl w:ilvl="0">
      <w:lvlJc w:val="left"/>
      <w:lvlText w:val="(%1)"/>
      <w:numFmt w:val="lowerLetter"/>
      <w:start w:val="2"/>
    </w:lvl>
  </w:abstractNum>
  <w:abstractNum w:abstractNumId="136">
    <w:nsid w:val="4D32AB86"/>
    <w:multiLevelType w:val="hybridMultilevel"/>
    <w:lvl w:ilvl="0">
      <w:lvlJc w:val="left"/>
      <w:lvlText w:val="(%1)"/>
      <w:numFmt w:val="lowerLetter"/>
      <w:start w:val="1"/>
    </w:lvl>
  </w:abstractNum>
  <w:abstractNum w:abstractNumId="137">
    <w:nsid w:val="3F07ACC3"/>
    <w:multiLevelType w:val="hybridMultilevel"/>
    <w:lvl w:ilvl="0">
      <w:lvlJc w:val="left"/>
      <w:lvlText w:val="(%1)"/>
      <w:numFmt w:val="lowerLetter"/>
      <w:start w:val="1"/>
    </w:lvl>
    <w:lvl w:ilvl="1">
      <w:lvlJc w:val="left"/>
      <w:lvlText w:val="(%2)"/>
      <w:numFmt w:val="lowerLetter"/>
      <w:start w:val="9"/>
    </w:lvl>
  </w:abstractNum>
  <w:abstractNum w:abstractNumId="138">
    <w:nsid w:val="6B47F63E"/>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139">
    <w:nsid w:val="5CB44A05"/>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1"/>
    </w:lvl>
  </w:abstractNum>
  <w:abstractNum w:abstractNumId="140">
    <w:nsid w:val="16CF80F1"/>
    <w:multiLevelType w:val="hybridMultilevel"/>
    <w:lvl w:ilvl="0">
      <w:lvlJc w:val="left"/>
      <w:lvlText w:val="(%1)"/>
      <w:numFmt w:val="lowerLetter"/>
      <w:start w:val="5"/>
    </w:lvl>
    <w:lvl w:ilvl="1">
      <w:lvlJc w:val="left"/>
      <w:lvlText w:val="%2"/>
      <w:numFmt w:val="upperLetter"/>
      <w:start w:val="1"/>
    </w:lvl>
    <w:lvl w:ilvl="2">
      <w:lvlJc w:val="left"/>
      <w:lvlText w:val="%3"/>
      <w:numFmt w:val="lowerRoman"/>
      <w:start w:val="1"/>
    </w:lvl>
  </w:abstractNum>
  <w:abstractNum w:abstractNumId="141">
    <w:nsid w:val="1C695DEC"/>
    <w:multiLevelType w:val="hybridMultilevel"/>
    <w:lvl w:ilvl="0">
      <w:lvlJc w:val="left"/>
      <w:lvlText w:val="(%1)"/>
      <w:numFmt w:val="lowerLetter"/>
      <w:start w:val="1"/>
    </w:lvl>
  </w:abstractNum>
  <w:abstractNum w:abstractNumId="142">
    <w:nsid w:val="3FCFAED9"/>
    <w:multiLevelType w:val="hybridMultilevel"/>
    <w:lvl w:ilvl="0">
      <w:lvlJc w:val="left"/>
      <w:lvlText w:val="(%1)"/>
      <w:numFmt w:val="lowerLetter"/>
      <w:start w:val="2"/>
    </w:lvl>
  </w:abstractNum>
  <w:abstractNum w:abstractNumId="143">
    <w:nsid w:val="F856867"/>
    <w:multiLevelType w:val="hybridMultilevel"/>
    <w:lvl w:ilvl="0">
      <w:lvlJc w:val="left"/>
      <w:lvlText w:val="(%1)"/>
      <w:numFmt w:val="lowerLetter"/>
      <w:start w:val="1"/>
    </w:lvl>
  </w:abstractNum>
  <w:abstractNum w:abstractNumId="144">
    <w:nsid w:val="11B1CC33"/>
    <w:multiLevelType w:val="hybridMultilevel"/>
    <w:lvl w:ilvl="0">
      <w:lvlJc w:val="left"/>
      <w:lvlText w:val="(%1)"/>
      <w:numFmt w:val="lowerLetter"/>
      <w:start w:val="1"/>
    </w:lvl>
  </w:abstractNum>
  <w:abstractNum w:abstractNumId="145">
    <w:nsid w:val="2E22FBB7"/>
    <w:multiLevelType w:val="hybridMultilevel"/>
    <w:lvl w:ilvl="0">
      <w:lvlJc w:val="left"/>
      <w:lvlText w:val="(%1)"/>
      <w:numFmt w:val="lowerLetter"/>
      <w:start w:val="1"/>
    </w:lvl>
  </w:abstractNum>
  <w:abstractNum w:abstractNumId="146">
    <w:nsid w:val="29934699"/>
    <w:multiLevelType w:val="hybridMultilevel"/>
    <w:lvl w:ilvl="0">
      <w:lvlJc w:val="left"/>
      <w:lvlText w:val="(%1)"/>
      <w:numFmt w:val="lowerLetter"/>
      <w:start w:val="2"/>
    </w:lvl>
    <w:lvl w:ilvl="1">
      <w:lvlJc w:val="left"/>
      <w:lvlText w:val="(%2)"/>
      <w:numFmt w:val="lowerRoman"/>
      <w:start w:val="1"/>
    </w:lvl>
  </w:abstractNum>
  <w:abstractNum w:abstractNumId="147">
    <w:nsid w:val="77485850"/>
    <w:multiLevelType w:val="hybridMultilevel"/>
    <w:lvl w:ilvl="0">
      <w:lvlJc w:val="left"/>
      <w:lvlText w:val="(%1)"/>
      <w:numFmt w:val="lowerLetter"/>
      <w:start w:val="3"/>
    </w:lvl>
  </w:abstractNum>
  <w:abstractNum w:abstractNumId="148">
    <w:nsid w:val="744939A3"/>
    <w:multiLevelType w:val="hybridMultilevel"/>
    <w:lvl w:ilvl="0">
      <w:lvlJc w:val="left"/>
      <w:lvlText w:val="(%1)"/>
      <w:numFmt w:val="lowerLetter"/>
      <w:start w:val="1"/>
    </w:lvl>
  </w:abstractNum>
  <w:abstractNum w:abstractNumId="149">
    <w:nsid w:val="4FA0D2E3"/>
    <w:multiLevelType w:val="hybridMultilevel"/>
    <w:lvl w:ilvl="0">
      <w:lvlJc w:val="left"/>
      <w:lvlText w:val="(%1)"/>
      <w:numFmt w:val="lowerLetter"/>
      <w:start w:val="1"/>
    </w:lvl>
  </w:abstractNum>
  <w:abstractNum w:abstractNumId="150">
    <w:nsid w:val="6B1D2C14"/>
    <w:multiLevelType w:val="hybridMultilevel"/>
    <w:lvl w:ilvl="0">
      <w:lvlJc w:val="left"/>
      <w:lvlText w:val="(%1)"/>
      <w:numFmt w:val="lowerLetter"/>
      <w:start w:val="2"/>
    </w:lvl>
  </w:abstractNum>
  <w:abstractNum w:abstractNumId="151">
    <w:nsid w:val="68B867D3"/>
    <w:multiLevelType w:val="hybridMultilevel"/>
    <w:lvl w:ilvl="0">
      <w:lvlJc w:val="left"/>
      <w:lvlText w:val="(%1)"/>
      <w:numFmt w:val="lowerLetter"/>
      <w:start w:val="1"/>
    </w:lvl>
  </w:abstractNum>
  <w:abstractNum w:abstractNumId="152">
    <w:nsid w:val="3F7F5DD9"/>
    <w:multiLevelType w:val="hybridMultilevel"/>
    <w:lvl w:ilvl="0">
      <w:lvlJc w:val="left"/>
      <w:lvlText w:val="(%1)"/>
      <w:numFmt w:val="lowerLetter"/>
      <w:start w:val="5"/>
    </w:lvl>
  </w:abstractNum>
  <w:abstractNum w:abstractNumId="153">
    <w:nsid w:val="2AE05A34"/>
    <w:multiLevelType w:val="hybridMultilevel"/>
    <w:lvl w:ilvl="0">
      <w:lvlJc w:val="left"/>
      <w:lvlText w:val="(%1)"/>
      <w:numFmt w:val="lowerLetter"/>
      <w:start w:val="15"/>
    </w:lvl>
  </w:abstractNum>
  <w:abstractNum w:abstractNumId="154">
    <w:nsid w:val="32794FF7"/>
    <w:multiLevelType w:val="hybridMultilevel"/>
    <w:lvl w:ilvl="0">
      <w:lvlJc w:val="left"/>
      <w:lvlText w:val="(%1)"/>
      <w:numFmt w:val="lowerLetter"/>
      <w:start w:val="1"/>
    </w:lvl>
  </w:abstractNum>
  <w:abstractNum w:abstractNumId="155">
    <w:nsid w:val="5454945E"/>
    <w:multiLevelType w:val="hybridMultilevel"/>
    <w:lvl w:ilvl="0">
      <w:lvlJc w:val="left"/>
      <w:lvlText w:val="(%1)"/>
      <w:numFmt w:val="lowerLetter"/>
      <w:start w:val="1"/>
    </w:lvl>
  </w:abstractNum>
  <w:abstractNum w:abstractNumId="156">
    <w:nsid w:val="4DEFDFA0"/>
    <w:multiLevelType w:val="hybridMultilevel"/>
    <w:lvl w:ilvl="0">
      <w:lvlJc w:val="left"/>
      <w:lvlText w:val="(%1)"/>
      <w:numFmt w:val="lowerLetter"/>
      <w:start w:val="1"/>
    </w:lvl>
  </w:abstractNum>
  <w:abstractNum w:abstractNumId="157">
    <w:nsid w:val="2123D5F2"/>
    <w:multiLevelType w:val="hybridMultilevel"/>
    <w:lvl w:ilvl="0">
      <w:lvlJc w:val="left"/>
      <w:lvlText w:val="(%1)"/>
      <w:numFmt w:val="lowerLetter"/>
      <w:start w:val="1"/>
    </w:lvl>
  </w:abstractNum>
  <w:abstractNum w:abstractNumId="158">
    <w:nsid w:val="135B8110"/>
    <w:multiLevelType w:val="hybridMultilevel"/>
    <w:lvl w:ilvl="0">
      <w:lvlJc w:val="left"/>
      <w:lvlText w:val="(%1)"/>
      <w:numFmt w:val="lowerLetter"/>
      <w:start w:val="1"/>
    </w:lvl>
    <w:lvl w:ilvl="1">
      <w:lvlJc w:val="left"/>
      <w:lvlText w:val="(%2)"/>
      <w:numFmt w:val="lowerRoman"/>
      <w:start w:val="1"/>
    </w:lvl>
  </w:abstractNum>
  <w:abstractNum w:abstractNumId="159">
    <w:nsid w:val="94927A8"/>
    <w:multiLevelType w:val="hybridMultilevel"/>
    <w:lvl w:ilvl="0">
      <w:lvlJc w:val="left"/>
      <w:lvlText w:val="(%1)"/>
      <w:numFmt w:val="lowerLetter"/>
      <w:start w:val="3"/>
    </w:lvl>
  </w:abstractNum>
  <w:abstractNum w:abstractNumId="160">
    <w:nsid w:val="DCDF8F6"/>
    <w:multiLevelType w:val="hybridMultilevel"/>
    <w:lvl w:ilvl="0">
      <w:lvlJc w:val="left"/>
      <w:lvlText w:val="(%1)"/>
      <w:numFmt w:val="lowerLetter"/>
      <w:start w:val="1"/>
    </w:lvl>
  </w:abstractNum>
  <w:abstractNum w:abstractNumId="161">
    <w:nsid w:val="52D7B105"/>
    <w:multiLevelType w:val="hybridMultilevel"/>
    <w:lvl w:ilvl="0">
      <w:lvlJc w:val="left"/>
      <w:lvlText w:val="(%1)"/>
      <w:numFmt w:val="lowerRoman"/>
      <w:start w:val="1"/>
    </w:lvl>
  </w:abstractNum>
  <w:abstractNum w:abstractNumId="162">
    <w:nsid w:val="2E8A6394"/>
    <w:multiLevelType w:val="hybridMultilevel"/>
    <w:lvl w:ilvl="0">
      <w:lvlJc w:val="left"/>
      <w:lvlText w:val="(%1)"/>
      <w:numFmt w:val="lowerLetter"/>
      <w:start w:val="2"/>
    </w:lvl>
  </w:abstractNum>
  <w:abstractNum w:abstractNumId="163">
    <w:nsid w:val="24E60401"/>
    <w:multiLevelType w:val="hybridMultilevel"/>
    <w:lvl w:ilvl="0">
      <w:lvlJc w:val="left"/>
      <w:lvlText w:val="(%1)"/>
      <w:numFmt w:val="lowerLetter"/>
      <w:start w:val="1"/>
    </w:lvl>
  </w:abstractNum>
  <w:abstractNum w:abstractNumId="164">
    <w:nsid w:val="2A6AD9BE"/>
    <w:multiLevelType w:val="hybridMultilevel"/>
    <w:lvl w:ilvl="0">
      <w:lvlJc w:val="left"/>
      <w:lvlText w:val="(%1)"/>
      <w:numFmt w:val="lowerLetter"/>
      <w:start w:val="1"/>
    </w:lvl>
  </w:abstractNum>
  <w:abstractNum w:abstractNumId="165">
    <w:nsid w:val="BAAC1B4"/>
    <w:multiLevelType w:val="hybridMultilevel"/>
    <w:lvl w:ilvl="0">
      <w:lvlJc w:val="left"/>
      <w:lvlText w:val="(%1)"/>
      <w:numFmt w:val="lowerLetter"/>
      <w:start w:val="4"/>
    </w:lvl>
  </w:abstractNum>
  <w:abstractNum w:abstractNumId="166">
    <w:nsid w:val="36B2ACBC"/>
    <w:multiLevelType w:val="hybridMultilevel"/>
    <w:lvl w:ilvl="0">
      <w:lvlJc w:val="left"/>
      <w:lvlText w:val="(%1)"/>
      <w:numFmt w:val="lowerLetter"/>
      <w:start w:val="1"/>
    </w:lvl>
  </w:abstractNum>
  <w:abstractNum w:abstractNumId="167">
    <w:nsid w:val="779D8544"/>
    <w:multiLevelType w:val="hybridMultilevel"/>
    <w:lvl w:ilvl="0">
      <w:lvlJc w:val="left"/>
      <w:lvlText w:val="(%1)"/>
      <w:numFmt w:val="lowerLetter"/>
      <w:start w:val="1"/>
    </w:lvl>
  </w:abstractNum>
  <w:abstractNum w:abstractNumId="168">
    <w:nsid w:val="4AB26E78"/>
    <w:multiLevelType w:val="hybridMultilevel"/>
    <w:lvl w:ilvl="0">
      <w:lvlJc w:val="left"/>
      <w:lvlText w:val="(%1)"/>
      <w:numFmt w:val="lowerLetter"/>
      <w:start w:val="2"/>
    </w:lvl>
  </w:abstractNum>
  <w:abstractNum w:abstractNumId="169">
    <w:nsid w:val="21FAA2FA"/>
    <w:multiLevelType w:val="hybridMultilevel"/>
    <w:lvl w:ilvl="0">
      <w:lvlJc w:val="left"/>
      <w:lvlText w:val="(%1)"/>
      <w:numFmt w:val="lowerLetter"/>
      <w:start w:val="1"/>
    </w:lvl>
  </w:abstractNum>
  <w:abstractNum w:abstractNumId="170">
    <w:nsid w:val="5451CF49"/>
    <w:multiLevelType w:val="hybridMultilevel"/>
    <w:lvl w:ilvl="0">
      <w:lvlJc w:val="left"/>
      <w:lvlText w:val="(%1)"/>
      <w:numFmt w:val="lowerLetter"/>
      <w:start w:val="1"/>
    </w:lvl>
  </w:abstractNum>
  <w:abstractNum w:abstractNumId="171">
    <w:nsid w:val="6181EF69"/>
    <w:multiLevelType w:val="hybridMultilevel"/>
    <w:lvl w:ilvl="0">
      <w:lvlJc w:val="left"/>
      <w:lvlText w:val="(%1)"/>
      <w:numFmt w:val="lowerLetter"/>
      <w:start w:val="1"/>
    </w:lvl>
  </w:abstractNum>
  <w:abstractNum w:abstractNumId="172">
    <w:nsid w:val="3E6400E6"/>
    <w:multiLevelType w:val="hybridMultilevel"/>
    <w:lvl w:ilvl="0">
      <w:lvlJc w:val="left"/>
      <w:lvlText w:val="(%1)"/>
      <w:numFmt w:val="lowerLetter"/>
      <w:start w:val="3"/>
    </w:lvl>
  </w:abstractNum>
  <w:abstractNum w:abstractNumId="173">
    <w:nsid w:val="14217E23"/>
    <w:multiLevelType w:val="hybridMultilevel"/>
    <w:lvl w:ilvl="0">
      <w:lvlJc w:val="left"/>
      <w:lvlText w:val="(%1)"/>
      <w:numFmt w:val="lowerLetter"/>
      <w:start w:val="1"/>
    </w:lvl>
  </w:abstractNum>
  <w:abstractNum w:abstractNumId="174">
    <w:nsid w:val="710757D0"/>
    <w:multiLevelType w:val="hybridMultilevel"/>
    <w:lvl w:ilvl="0">
      <w:lvlJc w:val="left"/>
      <w:lvlText w:val="(%1)"/>
      <w:numFmt w:val="lowerLetter"/>
      <w:start w:val="3"/>
    </w:lvl>
  </w:abstractNum>
  <w:abstractNum w:abstractNumId="175">
    <w:nsid w:val="5015CD1A"/>
    <w:multiLevelType w:val="hybridMultilevel"/>
    <w:lvl w:ilvl="0">
      <w:lvlJc w:val="left"/>
      <w:lvlText w:val="(%1)"/>
      <w:numFmt w:val="lowerLetter"/>
      <w:start w:val="1"/>
    </w:lvl>
  </w:abstractNum>
  <w:abstractNum w:abstractNumId="176">
    <w:nsid w:val="424479DA"/>
    <w:multiLevelType w:val="hybridMultilevel"/>
    <w:lvl w:ilvl="0">
      <w:lvlJc w:val="left"/>
      <w:lvlText w:val="(%1)"/>
      <w:numFmt w:val="lowerLetter"/>
      <w:start w:val="2"/>
    </w:lvl>
  </w:abstractNum>
  <w:abstractNum w:abstractNumId="177">
    <w:nsid w:val="1A9A9E69"/>
    <w:multiLevelType w:val="hybridMultilevel"/>
    <w:lvl w:ilvl="0">
      <w:lvlJc w:val="left"/>
      <w:lvlText w:val="(%1)"/>
      <w:numFmt w:val="lowerLetter"/>
      <w:start w:val="1"/>
    </w:lvl>
  </w:abstractNum>
  <w:abstractNum w:abstractNumId="178">
    <w:nsid w:val="475E256A"/>
    <w:multiLevelType w:val="hybridMultilevel"/>
    <w:lvl w:ilvl="0">
      <w:lvlJc w:val="left"/>
      <w:lvlText w:val="(%1)"/>
      <w:numFmt w:val="lowerLetter"/>
      <w:start w:val="1"/>
    </w:lvl>
  </w:abstractNum>
  <w:abstractNum w:abstractNumId="179">
    <w:nsid w:val="368DB37E"/>
    <w:multiLevelType w:val="hybridMultilevel"/>
    <w:lvl w:ilvl="0">
      <w:lvlJc w:val="left"/>
      <w:lvlText w:val="(%1)"/>
      <w:numFmt w:val="lowerLetter"/>
      <w:start w:val="2"/>
    </w:lvl>
  </w:abstractNum>
  <w:abstractNum w:abstractNumId="180">
    <w:nsid w:val="6A3B714C"/>
    <w:multiLevelType w:val="hybridMultilevel"/>
    <w:lvl w:ilvl="0">
      <w:lvlJc w:val="left"/>
      <w:lvlText w:val="(%1)"/>
      <w:numFmt w:val="lowerLetter"/>
      <w:start w:val="1"/>
    </w:lvl>
  </w:abstractNum>
  <w:abstractNum w:abstractNumId="181">
    <w:nsid w:val="327B517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2019-12-14T18:13:48Z</dcterms:created>
  <dcterms:modified xsi:type="dcterms:W3CDTF">2019-12-14T18:13:48Z</dcterms:modified>
</cp:coreProperties>
</file>