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536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right="360"/>
        <w:spacing w:after="0" w:line="237"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Jon I. Madorsky Revocable Trust dated</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December 1, 2008</w:t>
        </w:r>
      </w:hyperlink>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12/05/2023</w:t>
            </w:r>
          </w:p>
        </w:tc>
        <w:tc>
          <w:tcPr>
            <w:tcW w:w="180" w:type="dxa"/>
            <w:vAlign w:val="bottom"/>
          </w:tcPr>
          <w:p>
            <w:pPr>
              <w:spacing w:after="0"/>
              <w:rPr>
                <w:sz w:val="18"/>
                <w:szCs w:val="18"/>
                <w:color w:val="auto"/>
              </w:rPr>
            </w:pPr>
          </w:p>
        </w:tc>
        <w:tc>
          <w:tcPr>
            <w:tcW w:w="19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12/05/2023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91"/>
              </w:rPr>
              <w:t>C</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50,000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(2)(3)</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75,275</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12/05/2023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G</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50,000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25,275</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1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(2)(3)</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(2)(3)</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12/05/2023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0000FF"/>
              </w:rPr>
              <w:t>3,896,939</w:t>
            </w: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may be deemed to beneficially own the shares of Class B Common Stock owned directly by the Madorsky Trust.</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6"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33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6"/>
          <w:szCs w:val="16"/>
          <w:color w:val="0000FF"/>
        </w:rPr>
        <w:t>01/11/2024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5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4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543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2024-01-11T14:03:22Z</dcterms:created>
  <dcterms:modified xsi:type="dcterms:W3CDTF">2024-01-11T14:03:22Z</dcterms:modified>
</cp:coreProperties>
</file>