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3920" w:right="1860" w:hanging="3912"/>
        <w:spacing w:after="0" w:line="418" w:lineRule="auto"/>
        <w:tabs>
          <w:tab w:leader="none" w:pos="4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2005</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3822065</wp:posOffset>
            </wp:positionH>
            <wp:positionV relativeFrom="paragraph">
              <wp:posOffset>-13970</wp:posOffset>
            </wp:positionV>
            <wp:extent cx="780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03"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5060" w:type="dxa"/>
            <w:vAlign w:val="bottom"/>
          </w:tcPr>
          <w:p>
            <w:pPr>
              <w:jc w:val="center"/>
              <w:ind w:right="1482"/>
              <w:spacing w:after="0"/>
              <w:rPr>
                <w:sz w:val="20"/>
                <w:szCs w:val="20"/>
                <w:color w:val="auto"/>
              </w:rPr>
            </w:pPr>
            <w:r>
              <w:rPr>
                <w:rFonts w:ascii="Arial" w:cs="Arial" w:eastAsia="Arial" w:hAnsi="Arial"/>
                <w:sz w:val="18"/>
                <w:szCs w:val="18"/>
                <w:b w:val="1"/>
                <w:bCs w:val="1"/>
                <w:color w:val="auto"/>
                <w:w w:val="88"/>
              </w:rPr>
              <w:t>Delaware</w:t>
            </w:r>
          </w:p>
        </w:tc>
        <w:tc>
          <w:tcPr>
            <w:tcW w:w="3660" w:type="dxa"/>
            <w:vAlign w:val="bottom"/>
          </w:tcPr>
          <w:p>
            <w:pPr>
              <w:jc w:val="right"/>
              <w:ind w:right="542"/>
              <w:spacing w:after="0"/>
              <w:rPr>
                <w:sz w:val="20"/>
                <w:szCs w:val="20"/>
                <w:color w:val="auto"/>
              </w:rPr>
            </w:pPr>
            <w:r>
              <w:rPr>
                <w:rFonts w:ascii="Arial" w:cs="Arial" w:eastAsia="Arial" w:hAnsi="Arial"/>
                <w:sz w:val="18"/>
                <w:szCs w:val="18"/>
                <w:b w:val="1"/>
                <w:bCs w:val="1"/>
                <w:color w:val="auto"/>
              </w:rPr>
              <w:t>74-2961657</w:t>
            </w:r>
          </w:p>
        </w:tc>
      </w:tr>
      <w:tr>
        <w:trPr>
          <w:trHeight w:val="174"/>
        </w:trPr>
        <w:tc>
          <w:tcPr>
            <w:tcW w:w="5060" w:type="dxa"/>
            <w:vAlign w:val="bottom"/>
          </w:tcPr>
          <w:p>
            <w:pPr>
              <w:jc w:val="center"/>
              <w:ind w:right="1482"/>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660" w:type="dxa"/>
            <w:vAlign w:val="bottom"/>
          </w:tcPr>
          <w:p>
            <w:pPr>
              <w:jc w:val="center"/>
              <w:ind w:left="150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06"/>
        </w:trPr>
        <w:tc>
          <w:tcPr>
            <w:tcW w:w="5060" w:type="dxa"/>
            <w:vAlign w:val="bottom"/>
          </w:tcPr>
          <w:p>
            <w:pPr>
              <w:jc w:val="center"/>
              <w:ind w:right="1482"/>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3660" w:type="dxa"/>
            <w:vAlign w:val="bottom"/>
          </w:tcPr>
          <w:p>
            <w:pPr>
              <w:jc w:val="right"/>
              <w:ind w:right="742"/>
              <w:spacing w:after="0"/>
              <w:rPr>
                <w:sz w:val="20"/>
                <w:szCs w:val="20"/>
                <w:color w:val="auto"/>
              </w:rPr>
            </w:pPr>
            <w:r>
              <w:rPr>
                <w:rFonts w:ascii="Arial" w:cs="Arial" w:eastAsia="Arial" w:hAnsi="Arial"/>
                <w:sz w:val="18"/>
                <w:szCs w:val="18"/>
                <w:b w:val="1"/>
                <w:bCs w:val="1"/>
                <w:color w:val="auto"/>
              </w:rPr>
              <w:t>78758</w:t>
            </w:r>
          </w:p>
        </w:tc>
      </w:tr>
      <w:tr>
        <w:trPr>
          <w:trHeight w:val="174"/>
        </w:trPr>
        <w:tc>
          <w:tcPr>
            <w:tcW w:w="5060" w:type="dxa"/>
            <w:vAlign w:val="bottom"/>
          </w:tcPr>
          <w:p>
            <w:pPr>
              <w:jc w:val="center"/>
              <w:ind w:right="14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60" w:type="dxa"/>
            <w:vAlign w:val="bottom"/>
          </w:tcPr>
          <w:p>
            <w:pPr>
              <w:jc w:val="center"/>
              <w:ind w:left="1502"/>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240" w:top="230" w:right="419" w:bottom="1440" w:gutter="0" w:footer="0" w:header="0"/>
        </w:sectPr>
      </w:pPr>
    </w:p>
    <w:p>
      <w:pPr>
        <w:spacing w:after="0" w:line="9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an accelerated filer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48" w:lineRule="exact"/>
        <w:rPr>
          <w:sz w:val="24"/>
          <w:szCs w:val="24"/>
          <w:color w:val="auto"/>
        </w:rPr>
      </w:pPr>
    </w:p>
    <w:p>
      <w:pPr>
        <w:sectPr>
          <w:pgSz w:w="11900" w:h="16838" w:orient="portrait"/>
          <w:cols w:equalWidth="0" w:num="3">
            <w:col w:w="8680" w:space="220"/>
            <w:col w:w="160" w:space="40"/>
            <w:col w:w="2140"/>
          </w:cols>
          <w:pgMar w:left="240" w:top="230" w:right="41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81" w:lineRule="exact"/>
        <w:rPr>
          <w:sz w:val="24"/>
          <w:szCs w:val="24"/>
          <w:color w:val="auto"/>
        </w:rPr>
      </w:pPr>
    </w:p>
    <w:p>
      <w:pPr>
        <w:sectPr>
          <w:pgSz w:w="11900" w:h="16838" w:orient="portrait"/>
          <w:cols w:equalWidth="0" w:num="3">
            <w:col w:w="8560" w:space="220"/>
            <w:col w:w="140" w:space="60"/>
            <w:col w:w="2260"/>
          </w:cols>
          <w:pgMar w:left="240" w:top="23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color w:val="auto"/>
        </w:rPr>
        <w:t>APPLICABLE ONLY TO CORPORATE ISSUERS:</w:t>
      </w:r>
    </w:p>
    <w:p>
      <w:pPr>
        <w:spacing w:after="0" w:line="158"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ectPr>
          <w:pgSz w:w="11900" w:h="16838" w:orient="portrait"/>
          <w:cols w:equalWidth="0" w:num="1">
            <w:col w:w="11240"/>
          </w:cols>
          <w:pgMar w:left="240" w:top="230" w:right="419" w:bottom="1440" w:gutter="0" w:footer="0" w:header="0"/>
          <w:type w:val="continuous"/>
        </w:sectPr>
      </w:pP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number of shares of common stock, par value of $0.001 per share, outstanding at October 24, 2005 was 48,751,874.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 FINANCIAL INFORMATION</w:t>
              </w:r>
            </w:hyperlink>
          </w:p>
        </w:tc>
        <w:tc>
          <w:tcPr>
            <w:tcW w:w="6160" w:type="dxa"/>
            <w:vAlign w:val="bottom"/>
            <w:gridSpan w:val="5"/>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7020" w:type="dxa"/>
            <w:vAlign w:val="bottom"/>
            <w:gridSpan w:val="9"/>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40" w:type="dxa"/>
            <w:vAlign w:val="bottom"/>
            <w:gridSpan w:val="1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47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20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4. Controls and Procedures</w:t>
              </w:r>
            </w:hyperlink>
          </w:p>
        </w:tc>
        <w:tc>
          <w:tcPr>
            <w:tcW w:w="6760" w:type="dxa"/>
            <w:vAlign w:val="bottom"/>
            <w:gridSpan w:val="8"/>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904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 OTHER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8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1. Legal Proceedings</w:t>
              </w:r>
            </w:hyperlink>
          </w:p>
        </w:tc>
        <w:tc>
          <w:tcPr>
            <w:tcW w:w="740" w:type="dxa"/>
            <w:vAlign w:val="bottom"/>
            <w:tcBorders>
              <w:top w:val="single" w:sz="8" w:color="0000EE"/>
            </w:tcBorders>
            <w:gridSpan w:val="3"/>
          </w:tcPr>
          <w:p>
            <w:pPr>
              <w:spacing w:after="0"/>
              <w:rPr>
                <w:sz w:val="24"/>
                <w:szCs w:val="24"/>
                <w:color w:val="auto"/>
              </w:rPr>
            </w:pPr>
          </w:p>
        </w:tc>
        <w:tc>
          <w:tcPr>
            <w:tcW w:w="6440" w:type="dxa"/>
            <w:vAlign w:val="bottom"/>
            <w:gridSpan w:val="7"/>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48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2. Unregistered Sales of Equity Securities and Use of Proceeds</w:t>
              </w:r>
            </w:hyperlink>
          </w:p>
        </w:tc>
        <w:tc>
          <w:tcPr>
            <w:tcW w:w="4240" w:type="dxa"/>
            <w:vAlign w:val="bottom"/>
            <w:gridSpan w:val="2"/>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2300" w:type="dxa"/>
            <w:vAlign w:val="bottom"/>
            <w:tcBorders>
              <w:bottom w:val="single" w:sz="8" w:color="0000EE"/>
            </w:tcBorders>
            <w:gridSpan w:val="7"/>
          </w:tcPr>
          <w:p>
            <w:pPr>
              <w:ind w:left="20"/>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Defaults Upon Senior Securities</w:t>
              </w:r>
            </w:hyperlink>
          </w:p>
        </w:tc>
        <w:tc>
          <w:tcPr>
            <w:tcW w:w="6220" w:type="dxa"/>
            <w:vAlign w:val="bottom"/>
            <w:gridSpan w:val="6"/>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8520" w:type="dxa"/>
            <w:vAlign w:val="bottom"/>
            <w:gridSpan w:val="13"/>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Submission of Matters to a Vote of Security Holders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1320" w:type="dxa"/>
            <w:vAlign w:val="bottom"/>
            <w:tcBorders>
              <w:top w:val="single" w:sz="8" w:color="0000EE"/>
              <w:bottom w:val="single" w:sz="8" w:color="0000EE"/>
            </w:tcBorders>
            <w:gridSpan w:val="2"/>
          </w:tcPr>
          <w:p>
            <w:pPr>
              <w:ind w:left="20"/>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Other Information</w:t>
              </w:r>
            </w:hyperlink>
          </w:p>
        </w:tc>
        <w:tc>
          <w:tcPr>
            <w:tcW w:w="2380" w:type="dxa"/>
            <w:vAlign w:val="bottom"/>
            <w:tcBorders>
              <w:top w:val="single" w:sz="8" w:color="0000EE"/>
            </w:tcBorders>
            <w:gridSpan w:val="7"/>
          </w:tcPr>
          <w:p>
            <w:pPr>
              <w:spacing w:after="0"/>
              <w:rPr>
                <w:sz w:val="24"/>
                <w:szCs w:val="24"/>
                <w:color w:val="auto"/>
              </w:rPr>
            </w:pPr>
          </w:p>
        </w:tc>
        <w:tc>
          <w:tcPr>
            <w:tcW w:w="4820" w:type="dxa"/>
            <w:vAlign w:val="bottom"/>
            <w:gridSpan w:val="4"/>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8520" w:type="dxa"/>
            <w:vAlign w:val="bottom"/>
            <w:gridSpan w:val="13"/>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3"/>
        </w:trPr>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gridSpan w:val="2"/>
          </w:tcPr>
          <w:p>
            <w:pPr>
              <w:ind w:left="880"/>
              <w:spacing w:after="0"/>
              <w:rPr>
                <w:sz w:val="20"/>
                <w:szCs w:val="20"/>
                <w:color w:val="auto"/>
              </w:rPr>
            </w:pPr>
            <w:r>
              <w:rPr>
                <w:rFonts w:ascii="Arial" w:cs="Arial" w:eastAsia="Arial" w:hAnsi="Arial"/>
                <w:sz w:val="18"/>
                <w:szCs w:val="18"/>
                <w:color w:val="auto"/>
              </w:rPr>
              <w:t>i</w:t>
            </w:r>
          </w:p>
        </w:tc>
        <w:tc>
          <w:tcPr>
            <w:tcW w:w="2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50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760" w:type="dxa"/>
            <w:vAlign w:val="bottom"/>
            <w:gridSpan w:val="2"/>
          </w:tcPr>
          <w:p>
            <w:pPr>
              <w:jc w:val="center"/>
              <w:ind w:right="1772"/>
              <w:spacing w:after="0"/>
              <w:rPr>
                <w:sz w:val="20"/>
                <w:szCs w:val="20"/>
                <w:color w:val="auto"/>
              </w:rPr>
            </w:pPr>
            <w:r>
              <w:rPr>
                <w:rFonts w:ascii="Arial" w:cs="Arial" w:eastAsia="Arial" w:hAnsi="Arial"/>
                <w:sz w:val="18"/>
                <w:szCs w:val="18"/>
                <w:b w:val="1"/>
                <w:bCs w:val="1"/>
                <w:color w:val="auto"/>
                <w:w w:val="88"/>
              </w:rPr>
              <w:t>Active Power, Inc.</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760" w:type="dxa"/>
            <w:vAlign w:val="bottom"/>
            <w:gridSpan w:val="2"/>
          </w:tcPr>
          <w:p>
            <w:pPr>
              <w:jc w:val="center"/>
              <w:ind w:right="1792"/>
              <w:spacing w:after="0"/>
              <w:rPr>
                <w:sz w:val="20"/>
                <w:szCs w:val="20"/>
                <w:color w:val="auto"/>
              </w:rPr>
            </w:pPr>
            <w:r>
              <w:rPr>
                <w:rFonts w:ascii="Arial" w:cs="Arial" w:eastAsia="Arial" w:hAnsi="Arial"/>
                <w:sz w:val="18"/>
                <w:szCs w:val="18"/>
                <w:b w:val="1"/>
                <w:bCs w:val="1"/>
                <w:color w:val="auto"/>
                <w:w w:val="83"/>
              </w:rPr>
              <w:t>Condensed Balance Sheets</w:t>
            </w: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760" w:type="dxa"/>
            <w:vAlign w:val="bottom"/>
            <w:gridSpan w:val="2"/>
          </w:tcPr>
          <w:p>
            <w:pPr>
              <w:jc w:val="center"/>
              <w:ind w:right="1772"/>
              <w:spacing w:after="0"/>
              <w:rPr>
                <w:sz w:val="20"/>
                <w:szCs w:val="20"/>
                <w:color w:val="auto"/>
              </w:rPr>
            </w:pPr>
            <w:r>
              <w:rPr>
                <w:rFonts w:ascii="Arial" w:cs="Arial" w:eastAsia="Arial" w:hAnsi="Arial"/>
                <w:sz w:val="18"/>
                <w:szCs w:val="18"/>
                <w:color w:val="auto"/>
                <w:w w:val="87"/>
              </w:rPr>
              <w:t>(in thousands)</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6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5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760" w:type="dxa"/>
            <w:vAlign w:val="bottom"/>
            <w:gridSpan w:val="2"/>
            <w:shd w:val="clear" w:color="auto" w:fill="CCEEFF"/>
          </w:tcPr>
          <w:p>
            <w:pPr>
              <w:ind w:left="46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Short-term investments in marketable securities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4,727</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Long-term investments in marketable securities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760" w:type="dxa"/>
            <w:vAlign w:val="bottom"/>
            <w:gridSpan w:val="2"/>
            <w:shd w:val="clear" w:color="auto" w:fill="CCEEFF"/>
          </w:tcPr>
          <w:p>
            <w:pPr>
              <w:ind w:left="46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gridSpan w:val="2"/>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760" w:type="dxa"/>
            <w:vAlign w:val="bottom"/>
            <w:gridSpan w:val="2"/>
            <w:shd w:val="clear" w:color="auto" w:fill="CCEEFF"/>
          </w:tcPr>
          <w:p>
            <w:pPr>
              <w:ind w:left="46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3,876</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234,647</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w w:val="98"/>
              </w:rPr>
              <w:t>(173,917)</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(157,798)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60,687</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4760" w:type="dxa"/>
            <w:vAlign w:val="bottom"/>
            <w:gridSpan w:val="2"/>
            <w:shd w:val="clear" w:color="auto" w:fill="CCEEFF"/>
          </w:tcPr>
          <w:p>
            <w:pPr>
              <w:ind w:left="46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-2550795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-2550795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-2550795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-2550795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-2550795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-2550795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5"/>
              </w:rPr>
              <w:t>Ended September 30,</w:t>
            </w:r>
          </w:p>
        </w:tc>
        <w:tc>
          <w:tcPr>
            <w:tcW w:w="80" w:type="dxa"/>
            <w:vAlign w:val="bottom"/>
          </w:tcPr>
          <w:p>
            <w:pPr>
              <w:spacing w:after="0"/>
              <w:rPr>
                <w:sz w:val="15"/>
                <w:szCs w:val="15"/>
                <w:color w:val="auto"/>
              </w:rPr>
            </w:pPr>
          </w:p>
        </w:tc>
        <w:tc>
          <w:tcPr>
            <w:tcW w:w="16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Cost of service and spares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15,075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(5,674)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(18,154)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(10,930)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(22,648)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48,693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42,559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47,810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(5,188)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(10,930)</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(5,152)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(10,642)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(22,763)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-1298575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-1298575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-1298575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-1298575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-1298575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-1298575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-1298575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-1298575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-1298575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-1298575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-1298575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-1298575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4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Nine Months</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60325</wp:posOffset>
            </wp:positionV>
            <wp:extent cx="1080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(16,119)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(22,648)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Depreciation expense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1,399</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Accretion of premium / discount on marketable securities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Retirement of fixed assets</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Change in market value of investments rights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(964)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Non-cash compensation expense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(1,062)</w:t>
            </w:r>
          </w:p>
        </w:tc>
        <w:tc>
          <w:tcPr>
            <w:tcW w:w="660" w:type="dxa"/>
            <w:vAlign w:val="bottom"/>
          </w:tcPr>
          <w:p>
            <w:pPr>
              <w:jc w:val="right"/>
              <w:spacing w:after="0"/>
              <w:rPr>
                <w:sz w:val="20"/>
                <w:szCs w:val="20"/>
                <w:color w:val="auto"/>
              </w:rPr>
            </w:pPr>
            <w:r>
              <w:rPr>
                <w:rFonts w:ascii="Arial" w:cs="Arial" w:eastAsia="Arial" w:hAnsi="Arial"/>
                <w:sz w:val="18"/>
                <w:szCs w:val="18"/>
                <w:color w:val="auto"/>
              </w:rPr>
              <w:t>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Litigation settlement liability</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(15,536)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(36,676)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Sales/Maturities of marketable securities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27,469</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(9,637)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17,625</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11,955</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8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Active Power, Inc. (“we”, “Active Power” or the “Company”) is a Delaware Corporation. We design, manufacture and market power quality products to provide the consistent, reliable electric power required by today’s digital economy. We have commercialized a flywheel energy storage system that provides a highly reliable, low-cost and non-toxic replacement for lead-acid batteries used in conventional power quality installations. We have broadened our product offerings and expanded our available markets by developing additional power quality systems to address customer needs at both higher and lower power levels. During 2004 and the first nine months of 2005 we developed a battery-free extended runtime technology that utilizes thermal and compressed air storage to provide backup power for minutes to hours depending on the application. We expect to bring this technology to market later this year. We sell our products globally through direct and Original Equipment Manufacturer (“OEM”) channels. Our current principal markets are the United States, Europe and Africa.</w:t>
      </w:r>
    </w:p>
    <w:p>
      <w:pPr>
        <w:spacing w:after="0" w:line="8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unaudited interim condensed financial statements included herein have been prepared pursuant to the rules and regulations of the Securities and Exchange Commission (“SEC”) including the instructions to Form 10-Q and Article 10 of Regulation S-X. Accordingly, certain information and footnote disclosures normally included in financial statements prepared in accordance with U.S. generally accepted accounting principles have been condensed or omitted. The accompanying interim condensed financial statements reflect all adjustments, consisting only of normal recurring adjustments, which in the opinion of management are necessary to fairly state our financial position, results of operations and cash flows for the periods presented.</w:t>
      </w:r>
    </w:p>
    <w:p>
      <w:pPr>
        <w:spacing w:after="0" w:line="10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condensed balance sheet information as of December 31, 2004 has been derived from the audited financial statements at that date and does not include all of the information and footnotes required by U.S. generally accepted accounting principles for complete financial statements. For further information, refer to the financial statements and footnotes thereto included in our annual report on Form 10-K for the year ended December 31, 2004.</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Operating results for the three and nine-month periods ended September 30, 2005 are not necessarily indicative of the results that may be expected for the year ended December 31, 2005.</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Certain prior period amounts have been reclassified to conform to current period presentation. This includes the separation of service and spares revenue from total revenue and the separate classification of cost of service and spares revenue from total cost of revenue. Also, we have made reclassifications on our Statement of Cash Flows to reflect reclassifying our auction preferred marketable securities from cash and equivalent to short-term marketable securities for the period ended September 30, 2004. As of September 30, 2004, $12.3 million of auction rate securities were reclassified from cash and equivalents to short-term marketable securities; the investing activities of the Statement of Cash Flows has been conformed accordingly.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 state inventories at the lower of cost or market, using the first-in-first-out-method. Inventories consist of the following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2,553</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50990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660" w:type="dxa"/>
            <w:vAlign w:val="bottom"/>
            <w:gridSpan w:val="3"/>
          </w:tcPr>
          <w:p>
            <w:pPr>
              <w:ind w:left="2820"/>
              <w:spacing w:after="0"/>
              <w:rPr>
                <w:sz w:val="20"/>
                <w:szCs w:val="20"/>
                <w:color w:val="auto"/>
              </w:rPr>
            </w:pPr>
            <w:r>
              <w:rPr>
                <w:rFonts w:ascii="Arial" w:cs="Arial" w:eastAsia="Arial" w:hAnsi="Arial"/>
                <w:sz w:val="14"/>
                <w:szCs w:val="14"/>
                <w:b w:val="1"/>
                <w:bCs w:val="1"/>
                <w:color w:val="auto"/>
                <w:w w:val="85"/>
              </w:rPr>
              <w:t>September 30,</w:t>
            </w: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0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Warranty liability</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 property and sales taxes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Professional fees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50990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are presented in the following table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Warranty expense</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Warranty charges incurred</w:t>
            </w:r>
          </w:p>
        </w:tc>
        <w:tc>
          <w:tcPr>
            <w:tcW w:w="5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2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5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5240" w:type="dxa"/>
            <w:vAlign w:val="bottom"/>
            <w:vMerge w:val="restart"/>
          </w:tcPr>
          <w:p>
            <w:pPr>
              <w:jc w:val="right"/>
              <w:ind w:right="3952"/>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2"/>
              </w:rPr>
              <w:t>Ended September 30,</w:t>
            </w:r>
          </w:p>
        </w:tc>
        <w:tc>
          <w:tcPr>
            <w:tcW w:w="100" w:type="dxa"/>
            <w:vAlign w:val="bottom"/>
          </w:tcPr>
          <w:p>
            <w:pPr>
              <w:spacing w:after="0"/>
              <w:rPr>
                <w:sz w:val="15"/>
                <w:szCs w:val="15"/>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(5,188)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(10,930)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(16,119)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(22,648)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48,693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42,559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47,810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48,693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42,559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47,810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-329565</wp:posOffset>
            </wp:positionV>
            <wp:extent cx="39878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-329565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-329565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-329565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-329565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-329565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-329565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calculation of diluted loss per share excludes 5,907,858 and 4,888,838 shares of common stock issuable upon exercise of employee stock options as of September 30, 2005 and 2004, respectively, because their inclusion in the calculation would be anti-dilutive.</w:t>
      </w:r>
    </w:p>
    <w:p>
      <w:pPr>
        <w:spacing w:after="0" w:line="11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Stock-Based Compensation</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Statement of Financial Accounting Standards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prescribes accounting and reporting standards for all stock-based compensation plans, including employee stock options. As allowed by SFAS 123, we have elected to continue to account for our employee stock-based compensation using the intrinsic value method in accordance with Accounting Principles Board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(“APB 25”), and related Interpretations. Deferred stock-based compensation is typically amortized using the straight-line method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period, which is generally four years. We have calculated the fair value of options granted in these periods using the Black-Scholes option-pricing model and have determined the pro forma impact on net loss. Where it is not feasible to reasonably estimate fair value at grant date, compensation is measured using fair value and other pertinent data at the first date at which it is possible to reasonably estimate that value. Generally that is the date that the number of shares and exercise price are determinable. This method is used for shares granted pursuant to our Employee Stock Purchase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illustrates the effect on net loss and net loss per share if we had applied the fair value recognition provisions of SFAS 123 to stock-based employee compensation (in thousands, except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1"/>
              </w:rPr>
              <w:t>Ended September 30,</w:t>
            </w:r>
          </w:p>
        </w:tc>
        <w:tc>
          <w:tcPr>
            <w:tcW w:w="80" w:type="dxa"/>
            <w:vAlign w:val="bottom"/>
          </w:tcPr>
          <w:p>
            <w:pPr>
              <w:spacing w:after="0"/>
              <w:rPr>
                <w:sz w:val="15"/>
                <w:szCs w:val="15"/>
                <w:color w:val="auto"/>
              </w:rPr>
            </w:pPr>
          </w:p>
        </w:tc>
        <w:tc>
          <w:tcPr>
            <w:tcW w:w="16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(10,930)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(22,648)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w w:val="96"/>
              </w:rPr>
              <w:t>Total stock-based compensation cost, net of related tax effects included in the determination of net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income as reported</w:t>
            </w:r>
          </w:p>
        </w:tc>
        <w:tc>
          <w:tcPr>
            <w:tcW w:w="100" w:type="dxa"/>
            <w:vAlign w:val="bottom"/>
          </w:tcPr>
          <w:p>
            <w:pPr>
              <w:spacing w:after="0"/>
              <w:rPr>
                <w:sz w:val="19"/>
                <w:szCs w:val="19"/>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1"/>
              </w:rPr>
              <w:t>The stock-based employee compensation cost, net of related tax effects, that would have been included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in the determination of net income if the fair value based method had been applied to all awards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(5,907)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(18,991)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Basic and diluted -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-507365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-507365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-507365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-507365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-507365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-507365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-507365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-507365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-507365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-507365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-507365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4, 2005, we completed the private placement of 5,454,510 shares of our Common Stock at a price of $3.64 per share, for an aggregate offering price of approximately $19.8 million, to certain institutional investors (the “Purchasers”). We also issued Additional Investment Rights to purchase 1,636,353 shares of Common Stock to the Purchasers (the “Additional Investment Rights”), at an exercise price per share of $3.64. The Additional Investment Rights were not exercised, and are no longer exercisable as they expired on August 18, 2005. In connection with the transaction, we paid placement agent fees and expenses of approximately $1.1 million.</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part of the transaction, we agreed to register for resale under the Securities Act all of the shares of Common Stock issued in the offering, as well as shares of Common Stock issuable upon exercise of the Additional Investment Rights. We filed a Registration Statement on Form S-3 (File No. 333-123586) with the SEC on March 24, 2005 that was declared effective by the SEC on May 18, 2005.</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accordance with the 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Rights, and accordingly attributed a value of $964,000 to the Additional Investment Rights, which was recorded as additional paid in capital. Changes in the fair value of the Additional Investment Rights since the date of issuance are required to be reflected in our earnings. The rights were revalued to their market value of $471,000 at March 31, 2005, with the resultant gain of $493,000 recorded as other income during the three-months ended March 31, 2005. The Additional Investment Rights were revalued again at June 30, 2005 to their market value of $150,000 that resulted in a gain of $321,000 which was recorded as other income during the three-month period ended June 30, 2005. As these investment rights expired in the third quarter of 2005, the remaining $150,000 market value was recognized as a gain during the three-month period ended September 30, 2005.</w:t>
      </w:r>
    </w:p>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In December 2004, the FASB issued SFAS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(“SFAS 123R”), which supersedes APB 25, SFAS 123 and related implementation guidelines. The pronouncement is effective for annual periods beginning after June 15, 2005. Under this pronouncement, stock-based compensation to employees is required to be recognized as a charge to the Statement of Operations and such charge is required to be measured according to the fair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value of the stock options. Pro forma disclosure will no longer be an alternative. In the absence of an observable market price for the stock awards, the fair value of the stock options will be based upon a valuation methodology that takes into consideration various factors, including the exercise price of the option, the expected term of the option, the current price of the underlying shares, the expected volatility of the underlying shares, the expected dividends on the underlying shares and the risk-free interest rate. SEC Staff Accounting Bulletin No. 107, issued in March 2005, provides further clarification of how to determine the fair value of stock awards.</w:t>
      </w:r>
    </w:p>
    <w:p>
      <w:pPr>
        <w:spacing w:after="0" w:line="129"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will adopt the delayed provisions of SFAS 123R beginning January 1, 2006 using a modified version of prospective application, as allowed by the standard. Under this modified prospective application method, SFAS 123R will be applied to new stock awards granted after the date of adoption and to awards modified, repurchased or cancelled after January 1, 2006. Additionally, compensation costs for the portion of stock awards for which the requisite service has not been rendered/vested that are outstanding as of January 1, 2006 shall be recognized as the requisite service is rendered after January 1, 2006. The compensation costs for that portion of stock awards shall be based on the grant-date fair value of those awards as calculated for pro-forma disclosures under SFAS 123.</w:t>
      </w:r>
    </w:p>
    <w:p>
      <w:pPr>
        <w:spacing w:after="0" w:line="8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anticipate that the impact of adopting SFAS 123R on net income and earnings per share will approximate the impact of the adjustments made to determine pro forma net income and pro forma earnings per share under SFAS 123, as described in Note 6 above, although there are certain differences between the requirements of SFAS 123 and SFAS 123R that may result in differences from the amounts disclosed in Note 6.</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November 2004, the FASB issued SFAS No. 151, </w:t>
      </w:r>
      <w:r>
        <w:rPr>
          <w:rFonts w:ascii="Arial" w:cs="Arial" w:eastAsia="Arial" w:hAnsi="Arial"/>
          <w:sz w:val="16"/>
          <w:szCs w:val="16"/>
          <w:i w:val="1"/>
          <w:iCs w:val="1"/>
          <w:color w:val="auto"/>
        </w:rPr>
        <w:t>Inventory Costs, An Amendment of Accounting Research Bulletin (“ARB”) No. 43, Chapter 4</w:t>
      </w:r>
      <w:r>
        <w:rPr>
          <w:rFonts w:ascii="Arial" w:cs="Arial" w:eastAsia="Arial" w:hAnsi="Arial"/>
          <w:sz w:val="16"/>
          <w:szCs w:val="16"/>
          <w:color w:val="auto"/>
        </w:rPr>
        <w:t xml:space="preserve"> (“SFAS 151”). SFAS 151 amends ARB No.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The adoption of SFAS 151 will not have a material impact on our results of operations or financial position.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2004 included in our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That May Affect Future Results” below for a discussion of items that may affect our future results.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66"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Our first commercial product was a battery-free DC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This system is marketed by Caterpillar Inc., the leading maker of engine generators for the power reliability market, under the Caterpillar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and is also marketed directly by Active Power as the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In 2003 and 2004, we broadened our product offerings and expanded our available markets by developing additional flywheel UPS systems to address customer needs at both higher and lower power levels. Our family of battery-free UPS products currently ranges from 65 kVA – 1200 kVA. By paralleling our 1200 kVA UPS systems together, we will be able to provide up to a 3600 kVA battery-free UPS system to customers. In addition, we also provide customers with continuous power systems (“CPS”), which are comprised of our UPS systems, third party ancillary equipment such as engine generators, and installation and start-up services.</w:t>
      </w:r>
    </w:p>
    <w:p>
      <w:pPr>
        <w:spacing w:after="0" w:line="129"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color w:val="auto"/>
        </w:rPr>
        <w:t>During 2004 and the first nine months of 2005 we developed a battery-free extended runtime technology (one that provides backup power for minutes to hours depending on the application) that utilizes thermal and compressed air storage (“TACAS”). We announced this TACAS technology in September 2004. In December 2004, we shipped an evaluation unit of our first extended runtime product that is based on the TACAS technology. This product is now being marketed as the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We shipped additional evaluation units throughout 2005, and intend to ship several more CoolAir DC evaluation units in the next quarter as well as officially launch this product for commercial sale.</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products are sold for use in the facilities of companies across many different industries that all share a critical need for reliable, high-quality power, such as broadcasters, hospitals, credit card processing centers, semiconductor manufacturers, pharmaceutical manufacturers, plastics manufacturers, data centers and electric utilities. Sales have been spread across many different countries from many regions of the world. Our primary markets are currently the United States, Europe and Africa.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of September 30, 2005, we had generated an accumulated deficit of $173.9 million and we expect to continue to sustain operating losses for the next several quarters. To date we have funded our operations through private and public sales of stock, including most recently in February 2005, from the private placement of our common stock in which we raised $18.7 million in net proceeds. Based on the current spending levels and expectations in our current business plan, we believe that our current cash and investments will be sufficient to meet our cash requirements for at least 12 months. Our cash and investments position at September 30, 2005 was $48.4 million.</w:t>
      </w:r>
    </w:p>
    <w:p>
      <w:pPr>
        <w:spacing w:after="0" w:line="129"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Some of the uncertainties that could impact our business include the strength of the U.S. and global economies, the success of our direct sales efforts, delays in new product development, the speed of market adoption for our technology and products, particularly our products based on our new TACAS technology, global commodity prices and new competitive technologies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 of contingent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Estimates and assumptions are reviewed periodically. Actual results may differ from these estimates under different assumptions or conditions.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represent our critical accounting policies:</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Warranty Liability</w:t>
      </w:r>
    </w:p>
    <w:p>
      <w:pPr>
        <w:spacing w:after="0" w:line="1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also have other policies that we consider to be key accounting policies. However, we believe that these policies do not meet the definition of critical accounting estimates because they do not generally require us to make estimates or judgments that are difficult or subjective.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Revenue on sales of our products is recognized when persuasive evidence of an agreement exists, delivery has occurred, the fee is fixed and determinable, and collectibility is probable. Generally, these criteria are met at the time our product is shipped. If the criteria for revenue recognition are not met at the time of shipment, the revenue is deferred until all criteria are met. We also sell extended service contracts for maintenance and support of our products. Revenue for service contracts is recognized ratably over the term of the agreement.</w:t>
      </w:r>
    </w:p>
    <w:p>
      <w:pPr>
        <w:spacing w:after="0" w:line="13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state inventories at the lower of cost or market, using the first-in-first-out-method.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 to the estimated warranty liability may be required. We evaluate the reasonableness of our warranty accrual levels on a quarterly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consists of sales of our CleanSource power quality products, as well as our services and spare parts. The following 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summarizes for the periods indicated a comparison of our total 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Three months ended</w:t>
            </w:r>
          </w:p>
        </w:tc>
        <w:tc>
          <w:tcPr>
            <w:tcW w:w="700" w:type="dxa"/>
            <w:vAlign w:val="bottom"/>
            <w:gridSpan w:val="3"/>
          </w:tcPr>
          <w:p>
            <w:pPr>
              <w:jc w:val="center"/>
              <w:ind w:left="127"/>
              <w:spacing w:after="0"/>
              <w:rPr>
                <w:sz w:val="20"/>
                <w:szCs w:val="20"/>
                <w:color w:val="auto"/>
              </w:rPr>
            </w:pPr>
            <w:r>
              <w:rPr>
                <w:rFonts w:ascii="Arial" w:cs="Arial" w:eastAsia="Arial" w:hAnsi="Arial"/>
                <w:sz w:val="14"/>
                <w:szCs w:val="14"/>
                <w:b w:val="1"/>
                <w:bCs w:val="1"/>
                <w:color w:val="auto"/>
                <w:w w:val="85"/>
              </w:rPr>
              <w:t>Variance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76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2005 vs. 2004</w:t>
            </w:r>
          </w:p>
        </w:tc>
        <w:tc>
          <w:tcPr>
            <w:tcW w:w="100" w:type="dxa"/>
            <w:vAlign w:val="bottom"/>
          </w:tcPr>
          <w:p>
            <w:pPr>
              <w:spacing w:after="0"/>
              <w:rPr>
                <w:sz w:val="15"/>
                <w:szCs w:val="15"/>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1200" w:type="dxa"/>
            <w:vAlign w:val="bottom"/>
            <w:gridSpan w:val="2"/>
          </w:tcPr>
          <w:p>
            <w:pPr>
              <w:spacing w:after="0"/>
              <w:rPr>
                <w:sz w:val="8"/>
                <w:szCs w:val="8"/>
                <w:color w:val="auto"/>
              </w:rPr>
            </w:pPr>
          </w:p>
        </w:tc>
        <w:tc>
          <w:tcPr>
            <w:tcW w:w="4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1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440" w:type="dxa"/>
            <w:vAlign w:val="bottom"/>
          </w:tcPr>
          <w:p>
            <w:pPr>
              <w:jc w:val="right"/>
              <w:ind w:right="10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6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4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Revenue</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$ 4,516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$ 4,074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$ 442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$ 12,628</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$ 11,029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Total revenue for the three and nine month periods ended September 30, 2005, increased compared to the same periods in 2004 primarily due to an increased number of units sold, including increased sales of our DC products. In the first quarter of 2005, we noted a significant increase in DC product sales that continued through the second and third quarters of 2005, resulting in 45 incremental DC flywheel units sold in the first nine months of 2005, compared to the first nine months of 2004, which was an increase of 300% compared to the comparable period of 2004.</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anticipate that UPS and CPS products will continue to represent the vast majority of our total revenue and that DC revenue will remain at similar levels over the next several quarters. During fiscal 2004 we began to significantly benefit from CPS sales, which typically include our megawatt-class UPS product combined with third party equipment, and installation and start-up services. Sales related to these large system deals were $900,000 and $500,000 in the three months ended Sept 30, 2005 and 2004, respectively, and were $2.7 million and $2.9 million in the first nine months of fiscal 2005 and 2004, respectively. These large system sales are governed by strict revenue recognition criteria and may take a long time to close or to fulfill all the requirements for revenue recognition. This delay can result in significant fluctuations in recorded revenue on a quarterly basis, especially if anticipated transactions fail to materialize as planned. We anticipate that CPS related revenue will continue to be a significant contributor to our total revenue for the next several quarters.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2005 we have also experienced a shift in sales channel mix from selling through our OEM channels to direct sales by us. Sales of Active Power branded products through our direct and manufacturer’s representative channels were 72% of our total revenues for the three-month period ended September 30, 2005 compared to 44% for the same period of 2004. Sales of Active Power branded products were 58% of our total revenues for the nine-month period ended September 30, 2005 compared to 45% of total revenues for the same period of 2004. Direct sales typically have higher profit margins than sales through our OEM channels; therefore, increasing our direct sales channel is expected to result in increased revenue and improved profit margins. We believe sales of our Active Power branded products to government facilities and industrial customers in regions that were not covered by our OEMs will continue to increase over time and will become a larger percentage of our total revenue. Our products perform well in harsh environments where power quality is particularly poor, which makes them a good fit for industrial countries with a poor power infrastructure and therefore we have focused our direct sales efforts to these customers. Due to the large size of some of our customer orders relative to our current total revenue levels, our quarterly total revenue trend and the proportion of sales made directly by us can be expected to fluctuate from the amounts recorded so far in 2005.</w:t>
      </w:r>
    </w:p>
    <w:p>
      <w:pPr>
        <w:spacing w:after="0" w:line="10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average selling price (“ASP”) of our base products increased by 8% in the three-month period ended September 30, 2005 compared to the same period of 2004, and were flat for the nine-month period ended September 30, 2005 as compared to the same period of 2004. In the first and second quarters of fiscal 2005, a higher proportion of DC product sales as a percentage of total revenues resulted in lower ASPs, as DC products have a lower average selling price compared to our UPS product. In the third quarter of fiscal 2005, although DC sales remained up from the same period in the prior year, the higher overall percentage of UPS sales resulted in an improved ASP. Sales prices will vary depending on the power levels of the products sold, the channel through which the product was sold, and the quantity and type of options purchased by the customers during a particular fiscal period.</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North American sales were 38% of our total revenue for the three-month period ended September 30, 2005 compared to 77% for the same period of 2004. North American sales were 52% of total revenues for the nine-month period ended September 30, 2005 compared to 57% of total revenues for the same period of 2004. This reflects our efforts to increase direct sales, particularly in overseas regions that have not historically been served by our OEM partners.</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Service and spares revenue primarily relates to revenue generated from repairs or reconfigurations of our products, and includes revenue associated with the costs of travel of our service personnel, replacement parts and labor. Service and spares revenue increased by 37% for the three month period ended September 30, 2005 compared to the same prior year period, and increased by 16% for the nine month period ended September 30, 2005 compared to the same period of 2004. We anticipate that service and spares revenue will continue to grow with product revenue and as our installed base of product expands, because as more units are sold to customers, more installation, startup and maintenance services will be required, particularly when those products are sold through our Active Power branded channel.</w:t>
      </w:r>
    </w:p>
    <w:p>
      <w:pPr>
        <w:spacing w:after="0" w:line="13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Stocking units held as inventory by our primary OEM distributor, Caterpillar and its dealer network, declined by approximately $1.9 million or 44%, over the nine-month period ended September 30, 2005. Although we have no contractual obligations to our OEM customers for the products that they hold in their inventory, a significant reduction in our OEM customers’ stocking units in any period would negatively impact our sales if they are able to satisfy orders from their inventory during that period rather than purchase new units from us. We are working closely with our OEM customers to assist them in selling these stocking orders over time. During the fourth quarter of 2005, we expect current channel inventory to decline and reach an appropriate level of stocking units to enable them to respond quickly to time-sensitive customer orders.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other costs associated with our assembly and test operations, shipping costs, warranty costs, and the costs of manufacturing support functions such as logistics and quality assurance. The following table summarizes for the periods indicated a comparison of our cost of product revenue: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720" w:type="dxa"/>
            <w:vAlign w:val="bottom"/>
            <w:gridSpan w:val="3"/>
          </w:tcPr>
          <w:p>
            <w:pPr>
              <w:ind w:left="200"/>
              <w:spacing w:after="0"/>
              <w:rPr>
                <w:sz w:val="20"/>
                <w:szCs w:val="20"/>
                <w:color w:val="auto"/>
              </w:rPr>
            </w:pPr>
            <w:r>
              <w:rPr>
                <w:rFonts w:ascii="Arial" w:cs="Arial" w:eastAsia="Arial" w:hAnsi="Arial"/>
                <w:sz w:val="14"/>
                <w:szCs w:val="14"/>
                <w:b w:val="1"/>
                <w:bCs w:val="1"/>
                <w:color w:val="auto"/>
                <w:w w:val="85"/>
              </w:rPr>
              <w:t>Variance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w w:val="89"/>
              </w:rPr>
              <w:t>Variance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200" w:type="dxa"/>
            <w:vAlign w:val="bottom"/>
            <w:gridSpan w:val="5"/>
          </w:tcPr>
          <w:p>
            <w:pPr>
              <w:ind w:left="80"/>
              <w:spacing w:after="0"/>
              <w:rPr>
                <w:sz w:val="20"/>
                <w:szCs w:val="20"/>
                <w:color w:val="auto"/>
              </w:rPr>
            </w:pPr>
            <w:r>
              <w:rPr>
                <w:rFonts w:ascii="Arial" w:cs="Arial" w:eastAsia="Arial" w:hAnsi="Arial"/>
                <w:sz w:val="14"/>
                <w:szCs w:val="14"/>
                <w:b w:val="1"/>
                <w:bCs w:val="1"/>
                <w:color w:val="auto"/>
              </w:rPr>
              <w:t>2005 vs. 2004</w:t>
            </w:r>
          </w:p>
        </w:tc>
        <w:tc>
          <w:tcPr>
            <w:tcW w:w="100" w:type="dxa"/>
            <w:vAlign w:val="bottom"/>
          </w:tcPr>
          <w:p>
            <w:pPr>
              <w:spacing w:after="0"/>
              <w:rPr>
                <w:sz w:val="15"/>
                <w:szCs w:val="15"/>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rPr>
              <w:t>2005 vs. 2004</w:t>
            </w:r>
          </w:p>
        </w:tc>
        <w:tc>
          <w:tcPr>
            <w:tcW w:w="0" w:type="dxa"/>
            <w:vAlign w:val="bottom"/>
          </w:tcPr>
          <w:p>
            <w:pPr>
              <w:spacing w:after="0"/>
              <w:rPr>
                <w:sz w:val="1"/>
                <w:szCs w:val="1"/>
                <w:color w:val="auto"/>
              </w:rPr>
            </w:pPr>
          </w:p>
        </w:tc>
      </w:tr>
      <w:tr>
        <w:trPr>
          <w:trHeight w:val="95"/>
        </w:trPr>
        <w:tc>
          <w:tcPr>
            <w:tcW w:w="5460" w:type="dxa"/>
            <w:vAlign w:val="bottom"/>
            <w:gridSpan w:val="3"/>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Pr>
          <w:p>
            <w:pPr>
              <w:jc w:val="right"/>
              <w:ind w:right="4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300" w:type="dxa"/>
            <w:vAlign w:val="bottom"/>
          </w:tcPr>
          <w:p>
            <w:pPr>
              <w:spacing w:after="0"/>
              <w:rPr>
                <w:sz w:val="22"/>
                <w:szCs w:val="22"/>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4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$3,984</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$4,066</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(82)</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$11,348</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$11,975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(627)</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Percent of product revenue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103%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decrease in cost of product revenue in both the three and nine-month periods ended September 30, 2005 compared to the comparable periods in 2004 is due to improved efficiency in our manufacturing operations and material costs reductions. We have ongoing programs to reduce product and component costs where feasible and this has resulted in a decrease in materials costs as a percentage of product revenue. We continue to operate a manufacturing facility that has a capacity level significantly greater than our current product revenue levels. A large portion of the costs involved in operating our facility are fixed in nature and we incur approximately $1.2 million to $1.5 million in overhead each quarter. We reduced our manufacturing staff levels in 2003 and have continued to reduce our overhead levels where feasible. We also continue to work on reducing our product costs, and in the second quarter of 2005, due to an increase in the percentage of our sales through our Active Power branded channel, we reached product gross margin break-even. We also met product gross margin break-even in the third quarter of 2005. Our ability to maintain positive product gross margin will depend on multiple factors, including our ability to continue to reduce material costs, improve our sales channel mix in favor of direct sales versus OEM, and increase our revenue levels to a point that will allow us to improve the utilization of our manufacturing operations.</w:t>
      </w:r>
    </w:p>
    <w:p>
      <w:pPr>
        <w:spacing w:after="0" w:line="10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improvement in cost of product revenue as a percentage of product revenue for the three and nine-month periods ended September 30, 2005 compared to the same periods in 2004 is attributable both to changes in sales channel mix and to fewer sales in 2005 that have associated performance guarantees. We achieve higher margins on direct sales so a higher sales mix of direct sales will favorably impact cost as a percentage of revenue. In 2004, product revenue included sales to a large industrial customer in North Africa, where the sales contract required performance guarantees. This impacted the amount of revenue that we could recognize on the sale (a portion of the revenue was deferred until the performance guarantee was released), despite incurring all of the costs associated with that sale. During 2005, we have had fewer sales with performance guarantees and lower actual levels of guarantees compared to 2004. Both of these factors favorably impact cost as a percentage of revenues.</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service and spares revenue. </w:t>
      </w:r>
      <w:r>
        <w:rPr>
          <w:rFonts w:ascii="Arial" w:cs="Arial" w:eastAsia="Arial" w:hAnsi="Arial"/>
          <w:sz w:val="18"/>
          <w:szCs w:val="18"/>
          <w:color w:val="auto"/>
        </w:rPr>
        <w:t>Cost of service and spares revenue includes the cost of component parts, as well as labor and overhead of our spare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parts, costs associated with travel and labor used in servicing a unit and unabsorbed overhead from the service group. The following table summarizes for the periods indicated a comparison of our cost of service and spares revenue: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Variance</w:t>
            </w:r>
          </w:p>
        </w:tc>
        <w:tc>
          <w:tcPr>
            <w:tcW w:w="16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2"/>
              </w:rPr>
              <w:t>Nine months ended</w:t>
            </w:r>
          </w:p>
        </w:tc>
        <w:tc>
          <w:tcPr>
            <w:tcW w:w="700" w:type="dxa"/>
            <w:vAlign w:val="bottom"/>
            <w:gridSpan w:val="3"/>
          </w:tcPr>
          <w:p>
            <w:pPr>
              <w:jc w:val="center"/>
              <w:ind w:left="87"/>
              <w:spacing w:after="0"/>
              <w:rPr>
                <w:sz w:val="20"/>
                <w:szCs w:val="20"/>
                <w:color w:val="auto"/>
              </w:rPr>
            </w:pPr>
            <w:r>
              <w:rPr>
                <w:rFonts w:ascii="Arial" w:cs="Arial" w:eastAsia="Arial" w:hAnsi="Arial"/>
                <w:sz w:val="14"/>
                <w:szCs w:val="14"/>
                <w:b w:val="1"/>
                <w:bCs w:val="1"/>
                <w:color w:val="auto"/>
                <w:w w:val="85"/>
              </w:rPr>
              <w:t>Variance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2005 vs. 2004</w:t>
            </w: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4240" w:type="dxa"/>
            <w:vAlign w:val="bottom"/>
            <w:gridSpan w:val="3"/>
          </w:tcPr>
          <w:p>
            <w:pPr>
              <w:spacing w:after="0"/>
              <w:rPr>
                <w:sz w:val="8"/>
                <w:szCs w:val="8"/>
                <w:color w:val="auto"/>
              </w:rPr>
            </w:pPr>
          </w:p>
        </w:tc>
        <w:tc>
          <w:tcPr>
            <w:tcW w:w="16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500" w:type="dxa"/>
            <w:vAlign w:val="bottom"/>
          </w:tcPr>
          <w:p>
            <w:pPr>
              <w:jc w:val="right"/>
              <w:ind w:right="4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480" w:type="dxa"/>
            <w:vAlign w:val="bottom"/>
          </w:tcPr>
          <w:p>
            <w:pPr>
              <w:jc w:val="right"/>
              <w:ind w:right="12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407</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$1,542</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$1,427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115</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Percent of service and spares revenue</w:t>
            </w:r>
          </w:p>
        </w:tc>
        <w:tc>
          <w:tcPr>
            <w:tcW w:w="2320" w:type="dxa"/>
            <w:vAlign w:val="bottom"/>
            <w:gridSpan w:val="3"/>
          </w:tcPr>
          <w:p>
            <w:pPr>
              <w:jc w:val="right"/>
              <w:ind w:right="120"/>
              <w:spacing w:after="0"/>
              <w:rPr>
                <w:sz w:val="20"/>
                <w:szCs w:val="20"/>
                <w:color w:val="auto"/>
              </w:rPr>
            </w:pPr>
            <w:r>
              <w:rPr>
                <w:rFonts w:ascii="Arial" w:cs="Arial" w:eastAsia="Arial" w:hAnsi="Arial"/>
                <w:sz w:val="18"/>
                <w:szCs w:val="18"/>
                <w:color w:val="auto"/>
              </w:rPr>
              <w:t>93%</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cost of service and spares revenue increased slightly in the three-month and nine-month ending periods of September 30, 2005 compared to the same periods ending September 30, 2004. This increase is consistent with the increase in service and spares revenue and is driven by the amount of service activity and revenue, and spares revenue. The improvement in cost of service and spares as a percentage of service and spares revenue reflects the higher revenue levels given the level of fixed costs of this operation which are being more effectively utilized.</w:t>
      </w:r>
    </w:p>
    <w:p>
      <w:pPr>
        <w:spacing w:after="0" w:line="99"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product development activities, as well as an allocated portion of our occupancy costs. The following table summarizes for the periods indicated a comparison of our research and development expense: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Three months ended</w:t>
            </w:r>
          </w:p>
        </w:tc>
        <w:tc>
          <w:tcPr>
            <w:tcW w:w="70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89"/>
              </w:rPr>
              <w:t>Variance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2"/>
              </w:rPr>
              <w:t>Nine months ended</w:t>
            </w:r>
          </w:p>
        </w:tc>
        <w:tc>
          <w:tcPr>
            <w:tcW w:w="700" w:type="dxa"/>
            <w:vAlign w:val="bottom"/>
            <w:gridSpan w:val="3"/>
          </w:tcPr>
          <w:p>
            <w:pPr>
              <w:jc w:val="center"/>
              <w:ind w:left="87"/>
              <w:spacing w:after="0"/>
              <w:rPr>
                <w:sz w:val="20"/>
                <w:szCs w:val="20"/>
                <w:color w:val="auto"/>
              </w:rPr>
            </w:pPr>
            <w:r>
              <w:rPr>
                <w:rFonts w:ascii="Arial" w:cs="Arial" w:eastAsia="Arial" w:hAnsi="Arial"/>
                <w:sz w:val="14"/>
                <w:szCs w:val="14"/>
                <w:b w:val="1"/>
                <w:bCs w:val="1"/>
                <w:color w:val="auto"/>
                <w:w w:val="85"/>
              </w:rPr>
              <w:t>Variance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4"/>
              </w:rPr>
              <w:t>2005 vs. 2004</w:t>
            </w:r>
          </w:p>
        </w:tc>
        <w:tc>
          <w:tcPr>
            <w:tcW w:w="17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3840" w:type="dxa"/>
            <w:vAlign w:val="bottom"/>
            <w:gridSpan w:val="3"/>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480" w:type="dxa"/>
            <w:vAlign w:val="bottom"/>
          </w:tcPr>
          <w:p>
            <w:pPr>
              <w:jc w:val="right"/>
              <w:ind w:right="12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500" w:type="dxa"/>
            <w:vAlign w:val="bottom"/>
          </w:tcPr>
          <w:p>
            <w:pPr>
              <w:jc w:val="right"/>
              <w:ind w:right="4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480" w:type="dxa"/>
            <w:vAlign w:val="bottom"/>
          </w:tcPr>
          <w:p>
            <w:pPr>
              <w:jc w:val="right"/>
              <w:ind w:right="12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100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$7,831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$7,317</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514</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ind w:left="420"/>
              <w:spacing w:after="0"/>
              <w:rPr>
                <w:sz w:val="20"/>
                <w:szCs w:val="20"/>
                <w:color w:val="auto"/>
              </w:rPr>
            </w:pPr>
            <w:r>
              <w:rPr>
                <w:rFonts w:ascii="Arial" w:cs="Arial" w:eastAsia="Arial" w:hAnsi="Arial"/>
                <w:sz w:val="18"/>
                <w:szCs w:val="18"/>
                <w:color w:val="auto"/>
              </w:rPr>
              <w:t>Percent of revenue</w:t>
            </w:r>
          </w:p>
        </w:tc>
        <w:tc>
          <w:tcPr>
            <w:tcW w:w="2680" w:type="dxa"/>
            <w:vAlign w:val="bottom"/>
            <w:gridSpan w:val="3"/>
          </w:tcPr>
          <w:p>
            <w:pPr>
              <w:jc w:val="right"/>
              <w:ind w:right="80"/>
              <w:spacing w:after="0"/>
              <w:rPr>
                <w:sz w:val="20"/>
                <w:szCs w:val="20"/>
                <w:color w:val="auto"/>
              </w:rPr>
            </w:pPr>
            <w:r>
              <w:rPr>
                <w:rFonts w:ascii="Arial" w:cs="Arial" w:eastAsia="Arial" w:hAnsi="Arial"/>
                <w:sz w:val="18"/>
                <w:szCs w:val="18"/>
                <w:color w:val="auto"/>
              </w:rPr>
              <w:t>62%</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increase in research and development spending in the three and nine-month periods ended September 30, 2005 compared to the same periods in 2004 is primarily due to additional development and prototyping costs related to the development of our CoolAir DC product and from costs incurred in paralleling our CPS products. We believe research and development expenses in the fourth quarter will decrease as the CoolAir DC product nears commercial production status.</w:t>
      </w:r>
    </w:p>
    <w:p>
      <w:pPr>
        <w:spacing w:after="0" w:line="7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is primarily comprised of compensation and related costs for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and administrative personnel, selling and marketing expenses, professional fees, and taxes, including sales, property and franchise taxes. The following table summarizes for the periods indicated a comparison of our selling, general and administrative expense: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Three months ended</w:t>
            </w: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gridSpan w:val="2"/>
          </w:tcPr>
          <w:p>
            <w:pPr>
              <w:jc w:val="center"/>
              <w:ind w:left="87"/>
              <w:spacing w:after="0"/>
              <w:rPr>
                <w:sz w:val="20"/>
                <w:szCs w:val="20"/>
                <w:color w:val="auto"/>
              </w:rPr>
            </w:pPr>
            <w:r>
              <w:rPr>
                <w:rFonts w:ascii="Arial" w:cs="Arial" w:eastAsia="Arial" w:hAnsi="Arial"/>
                <w:sz w:val="14"/>
                <w:szCs w:val="14"/>
                <w:b w:val="1"/>
                <w:bCs w:val="1"/>
                <w:color w:val="auto"/>
                <w:w w:val="85"/>
              </w:rPr>
              <w:t>Variance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2005 vs. 2004</w:t>
            </w:r>
          </w:p>
        </w:tc>
        <w:tc>
          <w:tcPr>
            <w:tcW w:w="120" w:type="dxa"/>
            <w:vAlign w:val="bottom"/>
          </w:tcPr>
          <w:p>
            <w:pPr>
              <w:spacing w:after="0"/>
              <w:rPr>
                <w:sz w:val="15"/>
                <w:szCs w:val="15"/>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3680" w:type="dxa"/>
            <w:vAlign w:val="bottom"/>
            <w:gridSpan w:val="3"/>
          </w:tcPr>
          <w:p>
            <w:pPr>
              <w:spacing w:after="0"/>
              <w:rPr>
                <w:sz w:val="8"/>
                <w:szCs w:val="8"/>
                <w:color w:val="auto"/>
              </w:rPr>
            </w:pPr>
          </w:p>
        </w:tc>
        <w:tc>
          <w:tcPr>
            <w:tcW w:w="19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4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50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&amp; admin</w:t>
            </w:r>
          </w:p>
        </w:tc>
        <w:tc>
          <w:tcPr>
            <w:tcW w:w="2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$2,912</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$3,109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(197)</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$8,580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2640" w:type="dxa"/>
            <w:vAlign w:val="bottom"/>
            <w:gridSpan w:val="3"/>
          </w:tcPr>
          <w:p>
            <w:pPr>
              <w:jc w:val="right"/>
              <w:ind w:right="80"/>
              <w:spacing w:after="0"/>
              <w:rPr>
                <w:sz w:val="20"/>
                <w:szCs w:val="20"/>
                <w:color w:val="auto"/>
              </w:rPr>
            </w:pPr>
            <w:r>
              <w:rPr>
                <w:rFonts w:ascii="Arial" w:cs="Arial" w:eastAsia="Arial" w:hAnsi="Arial"/>
                <w:sz w:val="18"/>
                <w:szCs w:val="18"/>
                <w:color w:val="auto"/>
              </w:rPr>
              <w:t>64%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decrease in selling, general and administrative expenses in the three-month period ended September 30, 2005 as compared to the same period of 2004 was primarily attributable to $724,000 of legal fees due to the 2004 Magnex lawsuit. This was offset by higher state taxes and increased sales and marketing spending, as we have added resources in order to expand our direct sales channel, as well as opened a satellite office in North Africa and increased marketing spending as we get ready to commercially launch our new CoolAir DC product.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increase in selling, general and administrative expenses in the nine-month period ended September 30, 2005 as compared to the same period of 2004 was attributable to a number of factors including:</w:t>
      </w:r>
    </w:p>
    <w:p>
      <w:pPr>
        <w:spacing w:after="0" w:line="37" w:lineRule="exact"/>
        <w:rPr>
          <w:sz w:val="20"/>
          <w:szCs w:val="20"/>
          <w:color w:val="auto"/>
        </w:rPr>
      </w:pPr>
    </w:p>
    <w:p>
      <w:pPr>
        <w:ind w:left="780" w:right="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$1.2 million increase in sales tax expense, $969,000 of which relates to a multi-year state sales tax audit which was completed in the third quarter of fiscal 2005;</w:t>
      </w:r>
    </w:p>
    <w:p>
      <w:pPr>
        <w:spacing w:after="0" w:line="37"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compensation expense of $174,000 associated with modifications to stock awards in connection with the resignation of our former chief financial officer;</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professional fees of $431,000 connected with the implementation of the Sarbanes-Oxley Act of 2002, completion of our 2004 annual audit, and recruiting costs;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sales and marketing spending to support our direct channel and our new CoolAir DC product; and</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salaries in sales and marketing due to the addition of 15 employees from September 30, 2004 to September 30, 2005, five of which were added to support our new sales and service operations in North Africa.</w:t>
      </w:r>
    </w:p>
    <w:p>
      <w:pPr>
        <w:spacing w:after="0" w:line="118"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These increases were offset by a reduction in legal fees of $1.5 million due to the settlement of the Magnex lawsuit. [see Part 1, Item 3 “Legal Proceedings”]</w:t>
      </w:r>
    </w:p>
    <w:p>
      <w:pPr>
        <w:spacing w:after="0" w:line="112"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b w:val="1"/>
          <w:bCs w:val="1"/>
          <w:i w:val="1"/>
          <w:iCs w:val="1"/>
          <w:color w:val="auto"/>
        </w:rPr>
        <w:t>Litigation settlement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third quarter of 2004 we settled the Magnex Corp. litigation for $4.8 million. This litigation is discussed briefly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Contingencies footnote in our 2004 audited financial statements and in Part I, Item 3 “Legal Proceedings” included in our Form 10-K. We did not have any litigation settlement expenses in 2005.</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The following table summarizes for the periods indicated a comparison of our interest income: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220" w:type="dxa"/>
            <w:vAlign w:val="bottom"/>
          </w:tcPr>
          <w:p>
            <w:pPr>
              <w:spacing w:after="0"/>
              <w:rPr>
                <w:sz w:val="14"/>
                <w:szCs w:val="14"/>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Variance</w:t>
            </w:r>
          </w:p>
        </w:tc>
        <w:tc>
          <w:tcPr>
            <w:tcW w:w="1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Nine months ended</w:t>
            </w:r>
          </w:p>
        </w:tc>
        <w:tc>
          <w:tcPr>
            <w:tcW w:w="200" w:type="dxa"/>
            <w:vAlign w:val="bottom"/>
          </w:tcPr>
          <w:p>
            <w:pPr>
              <w:spacing w:after="0"/>
              <w:rPr>
                <w:sz w:val="14"/>
                <w:szCs w:val="14"/>
                <w:color w:val="auto"/>
              </w:rPr>
            </w:pPr>
          </w:p>
        </w:tc>
        <w:tc>
          <w:tcPr>
            <w:tcW w:w="72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5"/>
                <w:szCs w:val="15"/>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2005 vs. 2004</w:t>
            </w:r>
          </w:p>
        </w:tc>
        <w:tc>
          <w:tcPr>
            <w:tcW w:w="12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5"/>
                <w:szCs w:val="15"/>
                <w:color w:val="auto"/>
              </w:rPr>
            </w:pPr>
          </w:p>
        </w:tc>
        <w:tc>
          <w:tcPr>
            <w:tcW w:w="1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1200" w:type="dxa"/>
            <w:vAlign w:val="bottom"/>
            <w:gridSpan w:val="2"/>
          </w:tcPr>
          <w:p>
            <w:pPr>
              <w:spacing w:after="0"/>
              <w:rPr>
                <w:sz w:val="8"/>
                <w:szCs w:val="8"/>
                <w:color w:val="auto"/>
              </w:rPr>
            </w:pPr>
          </w:p>
        </w:tc>
        <w:tc>
          <w:tcPr>
            <w:tcW w:w="48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300" w:type="dxa"/>
            <w:vAlign w:val="bottom"/>
          </w:tcPr>
          <w:p>
            <w:pPr>
              <w:jc w:val="right"/>
              <w:ind w:right="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b w:val="1"/>
                <w:bCs w:val="1"/>
                <w:color w:val="auto"/>
              </w:rPr>
              <w:t>2004</w:t>
            </w:r>
          </w:p>
        </w:tc>
        <w:tc>
          <w:tcPr>
            <w:tcW w:w="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4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3"/>
              </w:rPr>
              <w:t>Interest Income</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$ 253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$ 1,212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$ 832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3"/>
              </w:rPr>
              <w:t>46%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increase in interest income in the three and nine-month periods ended September 30, 2005 as compared to the same periods of 2004 is attributable primarily to rising interest rates. The higher rates have offset the fact that our average cash and investments balance over the nine month period ending September 30, 2005 has decreased by approximately $17.3 million or 27% compared to the average over the comparable period ending September 30, 2004. Also, due to a shift in our investment holdings from long-term to short-term investments in 2005 compared to our holdings in 2004, we have been able to benefit from a rising interest rate environment.</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The following table summarizes a quarter and year-to-date comparison of other income (expense) from the same periods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Three months ended</w:t>
            </w: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Variance</w:t>
            </w:r>
          </w:p>
        </w:tc>
        <w:tc>
          <w:tcPr>
            <w:tcW w:w="100" w:type="dxa"/>
            <w:vAlign w:val="bottom"/>
          </w:tcPr>
          <w:p>
            <w:pPr>
              <w:spacing w:after="0"/>
              <w:rPr>
                <w:sz w:val="14"/>
                <w:szCs w:val="14"/>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Nine months ended</w:t>
            </w:r>
          </w:p>
        </w:tc>
        <w:tc>
          <w:tcPr>
            <w:tcW w:w="11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2004 vs. 2003</w:t>
            </w:r>
          </w:p>
        </w:tc>
        <w:tc>
          <w:tcPr>
            <w:tcW w:w="100" w:type="dxa"/>
            <w:vAlign w:val="bottom"/>
          </w:tcPr>
          <w:p>
            <w:pPr>
              <w:spacing w:after="0"/>
              <w:rPr>
                <w:sz w:val="15"/>
                <w:szCs w:val="15"/>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1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2004 vs. 2003</w:t>
            </w:r>
          </w:p>
        </w:tc>
        <w:tc>
          <w:tcPr>
            <w:tcW w:w="0" w:type="dxa"/>
            <w:vAlign w:val="bottom"/>
          </w:tcPr>
          <w:p>
            <w:pPr>
              <w:spacing w:after="0"/>
              <w:rPr>
                <w:sz w:val="1"/>
                <w:szCs w:val="1"/>
                <w:color w:val="auto"/>
              </w:rPr>
            </w:pPr>
          </w:p>
        </w:tc>
      </w:tr>
      <w:tr>
        <w:trPr>
          <w:trHeight w:val="95"/>
        </w:trPr>
        <w:tc>
          <w:tcPr>
            <w:tcW w:w="3820" w:type="dxa"/>
            <w:vAlign w:val="bottom"/>
            <w:gridSpan w:val="3"/>
          </w:tcPr>
          <w:p>
            <w:pPr>
              <w:spacing w:after="0"/>
              <w:rPr>
                <w:sz w:val="8"/>
                <w:szCs w:val="8"/>
                <w:color w:val="auto"/>
              </w:rPr>
            </w:pPr>
          </w:p>
        </w:tc>
        <w:tc>
          <w:tcPr>
            <w:tcW w:w="2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400" w:type="dxa"/>
            <w:vAlign w:val="bottom"/>
          </w:tcPr>
          <w:p>
            <w:pPr>
              <w:jc w:val="right"/>
              <w:ind w:right="87"/>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380" w:type="dxa"/>
            <w:vAlign w:val="bottom"/>
          </w:tcPr>
          <w:p>
            <w:pPr>
              <w:jc w:val="right"/>
              <w:ind w:right="8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300" w:type="dxa"/>
            <w:vAlign w:val="bottom"/>
          </w:tcPr>
          <w:p>
            <w:pPr>
              <w:jc w:val="right"/>
              <w:ind w:right="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(92)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12</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(141)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(93)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(48)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third quarter of 2005 and 2004, respectively, we recognized $84,000 and $78,000 in realized losses on marketable securities.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from change in Market Value of Additional Investment Rights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February 4, 2005, we completed the private placement of 5,454,510 shares of our common stock at a price of $3.64 per share, for an aggregate offering of approximately $19.8 million, to certain purchasers. We also issued Additional Investment Rights to purchase 1,636,353 shares of Common Stock to the Purchasers, at an exercise price per share of $3.64. The Additional Investment Rights were not exercised and expired on August 18, 2005.</w:t>
      </w:r>
    </w:p>
    <w:p>
      <w:pPr>
        <w:spacing w:after="0" w:line="9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accordance with the 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 and accordingly attributed a value of $964,000 to the Additional Investment Rights, which was recorded as additional paid in capital. Changes in the fair value of the Additional Investment Rights since the date of issuance due to fluctuations in the value of our stock were required to be reflected in our earnings. The rights were revalued to their market value of $471,000 at March 31, 2005, with the resultant gain of $493,000 recorded as other income during the three-months ended March 31, 2005. The Additional Investment Rights were revalued again at June 30, 2005 to their market value of $150,000, which resulted in an additional gain of $321,000 that was recorded as other income during the three-month period ended June 30, 2005. As these investment rights expired in the third quarter of 2005, the remaining $150,000 market value was recognized as a gain during the three-month period ended September 30, 2005.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principal sources of liquidity as of September 30, 2005 consisted of $48.4 million of cash and investments. We have primarily funded our operations through a private placement of our common stock in February 2005, that resulted in net proceeds of $18.7 million, our initial public offering in August 2000, that resulted in net proceeds of $138.4 million, sales of shares of our preferred stock from 1992 to 1999, which have resulted in gross proceeds of approximately $42.6 million, as well as $10.0 million in development funding received from Caterpillar since 1999, and our product revenue.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6"/>
              </w:rPr>
              <w:t>Nine months ended</w:t>
            </w:r>
          </w:p>
        </w:tc>
        <w:tc>
          <w:tcPr>
            <w:tcW w:w="82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8180" w:type="dxa"/>
            <w:vAlign w:val="bottom"/>
            <w:gridSpan w:val="3"/>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1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640" w:type="dxa"/>
            <w:vAlign w:val="bottom"/>
          </w:tcPr>
          <w:p>
            <w:pPr>
              <w:jc w:val="right"/>
              <w:ind w:right="107"/>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480" w:type="dxa"/>
            <w:vAlign w:val="bottom"/>
          </w:tcPr>
          <w:p>
            <w:pPr>
              <w:jc w:val="right"/>
              <w:ind w:right="12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(15,536)</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(15,909)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373</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Cash used in operating activities remained relatively unchanged in the nine-month period ending September 30, 2005 compared to the same period of 2004 despite a 22% decrease in operating losses. This is because the 2005 balance reflects higher cash consumption associated with inventory purchases and higher receivables, as well as the non-cash gain from the change in market value of the Additional Investment Rights. This was offset by increases in accounts payable and accrued expenses. The 2004 number also included approximately $4 million of cash used in litigation settlement. The 2005 increase in accounts payable and accrued liabilities is mostly attributable to increases in inventory purchases, sales tax accruals and from higher payroll-related accruals due to timing of our regular payrolls. The increase in inventory is primarily attributable to higher inventory build-up of materials for our megawatt-class UPS product. We have purchased inventory in advance of a major sale that was originally scheduled to ship during the third quarter of 2005, but was subsequently delayed to the first half of 2006. As a result we have approximately $700,000 of finished goods for this product line at September 30,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2005. We expect cash used in operating activities in the fourth quarter of 2005 to be flat or slightly decrease from 2004 levels, but to remain consistent with current levels as we continue to position the company for future growth by funding product development, sales and marketing activities, OEM customer support, and manufacturing operations at levels higher than what can be self funded through current product sales.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Investing activities primarily consist of sales and purchases of investments, use of restricted cash and purchases of property and equipment. Fluctuations in the sale and purchase of investments generally reflect our use of these funds to finance our ongoing operations. Capital expenditures were $1.0 million in the nine-month period ending September 30, 2005 compared to $218,000 in the same period of 2004. This increase in 2005 was due to the start up of our satellite sales and service office in North Africa, manufacturing leasehold improvements and system development costs related to the commercialization of our paralleled megawatt-class UPS products, and sustaining and improving our current production facilities including preparing our facility for the commercial production of the CoolAir DC products in the fourth quarter of 2005. We expect capital expenditures to range between $500,000 and $1.0 million for the balance of the year as we support our development efforts on our CoolAir DC and megawatt-class UPS paralleling projects and prepare for the commercial production of the CoolAir DC product.</w:t>
      </w:r>
    </w:p>
    <w:p>
      <w:pPr>
        <w:spacing w:after="0" w:line="105"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Financing activities generally consists of proceeds from the private placement of common stock, employee exercises of stock options and from Employee Stock Purchase Plan. The significant increase from $681,000 in the nine-month period ending September 30, 2004 to $19.5 million in the comparable period of 2005 was primarily due to our private placement of 5,454,510 shares of our common stock in February 2005 that resulted in net proceeds to us of $18.7 million.</w:t>
      </w:r>
    </w:p>
    <w:p>
      <w:pPr>
        <w:spacing w:after="0" w:line="7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existing cash and investments balances at September 30, 2005 will be sufficient to meet our cash requirements through the next 24 months, although we might elect to seek additional funding prior to that time. Beyond the next 24 months, our cash requirements will depend on many factors, including the rate of sales growth, the market acceptance of our products including the CoolAir DC product family,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2004, the FASB issued SFAS 123R, which supersedes APB 25, SFAS 123 and related implementation guidelines. The pronouncement is effective for annual periods beginning after June 15, 2005. Under this pronouncement, stock-based compensation to employees is required to be recognized as a charge to the Statement of Operations and such charge is required to be measured according to the fair value of the stock options. Pro forma disclosure is no longer an alternative. In the absence of an observable market price for the stock awards, the fair value of the stock options would be based upon a valuation methodology that takes into consideration various factors, including the exercise price of the option, the expected term of the option, the current price of the underlying shares, the expected volatility of the underlying shares, the expected dividends on the underlying shares and the risk-free interest rate.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will adopt the delayed provisions of SFAS 123R beginning January 1, 2006 using a modified version of prospective application, as allowed by the standard. Under this modified prospective application method, SFAS 123R will be applied to new stock awards granted after the date of adoption and to awards modified, repurchased or cancelled after January 1, 2006.</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Additionally, compensation costs for the portion of stock awards for which the requisite service has not been rendered/vested that are outstanding as of January 1, 2006 shall be recognized as the requisite service is rendered after January 1, 2006. The compensation costs for that portion of stock awards shall be based on the grant-date fair value of those awards as calculated for pro-forma disclosures under SFAS 123. SEC Staff Accounting Bulletin No. 107, issued in March 2005, provides further clarification of how to determine the fair value of stock awards.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anticipate that the impact of adopting SFAS 123R on net income and earnings per share will approximate the impact of the adjustments made to determine pro forma net income and pro forma earnings per share under SFAS 123, as described in Note 6 of the financial statements included in Item 1 above, although there are certain differences between the requirements of SFAS 123 and SFAS 123R that may result in differences from the amounts disclosed in the financial statements.</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November 2004, the FASB issued SFAS No. 151. SFAS 151 amends ARB No.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at times in the past and may continue to vary significantly from quarter to quarter due to a variety of factors. Many of these factors are outside of our control. These factors include:</w:t>
      </w:r>
    </w:p>
    <w:p>
      <w:pPr>
        <w:spacing w:after="0" w:line="3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uncertainty regarding the adoption of our current and future products, including the CleanSource UPS and CleanSource DC products, as well as our other products that are currently under development, including the CoolAir DC;</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103" w:lineRule="exact"/>
        <w:rPr>
          <w:rFonts w:ascii="Arial" w:cs="Arial" w:eastAsia="Arial" w:hAnsi="Arial"/>
          <w:sz w:val="18"/>
          <w:szCs w:val="18"/>
          <w:color w:val="auto"/>
        </w:rPr>
      </w:pPr>
    </w:p>
    <w:p>
      <w:pPr>
        <w:ind w:left="780" w:right="660" w:hanging="326"/>
        <w:spacing w:after="0" w:line="325"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the cost of routine business activities, e.g. the increasing cost of director and officer liability insurance premiums, increasing health insurance premiums, or costs associated with compliance of the requirements of Section 404 of the Sarbanes-Oxley Act of 2002;</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revenues from relatively few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large transactions, or a delay in closing of such a sales transaction could materially impact our revenue in a particular quarter.</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revenue growth and profitability depend on the overall demand for our products and services, which in turn depends on general business and economic conditions as well as acceptance of our products. A softening of demand for our products and services caused by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weakening of the economy may result in decreased revenues or lower growth rates. There can be no assurance that we will able to effectively promote growth rates in all economic conditions. The market for power quality products is evolving and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revenues. Therefore, if our revenues are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revenues to establish our expense budget. Because most of our expenses are fixed in the short term or incurred in advance of anticipated revenue, any shortfall in revenues may result in significant losses.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September 30, 2005, we had an accumulated deficit of $173.9 million. To date, we have funded our operations principally through the sale of our stock, product revenue and $10.0 million in development funding payments from Caterpillar. We have generated a total of $75.2 million in revenue from inception through September 30, 2005. We are uncertain whether our products will achieve market acceptance such that our revenue will increase or whether we will be able to achieve significant revenue.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in excess of our revenue after costs, and, as a result, we expect to continue to incur losses for the next several quarters.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3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Caterpillar and its dealer network are the primary OEM customer for our flywheel based products. During 2004, 2003 and 2002, Caterpillar and its dealer network accounted for 54%, 60% and 81% of our revenue, respectively. In the three and nine-month periods ended September 30, 2005 Caterpillar and its dealer network accounted for 17% and 31%, respectively, of our revenue. If our relationship with Caterpillar is not successful, or if Caterpillar’s distribution of the Cat UPS product is not successful,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Several OEMs purchased a substantial number of our CleanSource DC and UPS systems during 2001, many of which have remained in those OEMs’ inventories rather than being sold to end-user customers. During 2004, OEM stocking levels declined by approximately $4.2 million, or 48%. They declined by a further $1.9 million, or 44%, during the nine month period ended September 30, 2005. As our OEMs fill some of their orders with their existing inventory stock, as opposed to placing orders with Active Power, our revenue may suffer for the next few fiscal quarters, until the inventory levels at these OEMs stabilize.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international sales and operations.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anticipate that for the foreseeable future, we will derive a significant portion of our revenues from outside North America. In the three and nine-month periods ended September 30, 2005, we derived 62% and 49%, respectively, of our total revenues from sales to international customers. Revenue from international sales was 50%, 48% and 37% of revenue for the years ended December 31, 2004, 2003, and 2002, respectively. Our international operations are generally subject to a number of risks. These include:</w:t>
      </w:r>
    </w:p>
    <w:p>
      <w:pPr>
        <w:spacing w:after="0" w:line="49"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sales in foreign markets, we are making more sales that are denominated in other currencies, primarily euros. Those sales in currencies other than U.S. dollars can result in translation gains and losses. Currently we de not engage in hedging activities for our international operations. However, we may engage in hedging activities in the future.</w:t>
      </w:r>
    </w:p>
    <w:p>
      <w:pPr>
        <w:spacing w:after="0" w:line="10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expand or modify our operations internationally. Despite our efforts, we may not be able to expand or modify our operations internationally in a timely or cost-effective manner. Such an outcome may limit or eliminate any sales growth internationally, which in turn, could materially adversely affect our business, operating results and financial condition. Even if we successfully expand or modify our international operations, we may be unable to maintain or increase international market demand for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CoolAir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24"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2001, we completed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intend to manufacture and test our CoolAir DC product in this facility, which will help increase the utilization of our facility. If we do not reach these necessary sales volume levels, or if we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cannot sell our products at our suggested prices, our ability to reach profitability will be materially limited.</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1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products, thus adversely affecting our ability to meet revenue or cost targets. In addition, while we seek to limit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liability as a result of product failure or defects through warranty and other limitations, if one of our products fails, a customer could suffer a significant loss and seek to hold us responsible for that loss.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such as we did in the third quarter of 2005 with Numeric Power Systems Ltd in India. We will also look to identify and develop new relationships with additional parties that could serve as an outlet for our products, including CoolAir DC. For example, we recently broadened our sales and distribution channel by offering our products through 12 new manufacturer’s representatives throughout North America. We also recently entered into a long-term supply agreement with GE Zenith Controls to source UPS systems from them that we intend to sell along side our CoolAir DC product. Our inability to successfully execute this strategy, and to integrate and manage our existing OEM channel partners, Caterpillar and Eaton Power Quality, and our new manufacturer’s representatives could impede our future growth.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revenues. If we are unable to retain the personnel we currently employ, or if we are unable to quickly replace departing employees, our operations and new product development may suffer.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Many of our current and potential competitors have longer operating histories, significantly greater financial, technical, marketing and other resources, broader name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83"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9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48"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development and operational activities for at least 12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planned. If financing is not available, we may be required to reduce, delay or eliminate certain activities or to license or sell to others some of our proprietary technology.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Failure to achieve and maintain effective internal control over financial reporting in accordance with rules of the Securities and Exchange Commission promulgated under Section 404 of the Sarbanes-Oxley Act could harm our business and operating results and/or result in a loss of investor confidence in our financial reports, which could in turn have a material adverse effect on our business and stock price.</w:t>
      </w:r>
    </w:p>
    <w:p>
      <w:pPr>
        <w:spacing w:after="0" w:line="9"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Under rules of the Securities and Exchange Commission promulgated under Section 404 of the Sarbanes-Oxley Act of 2002, beginning with our Annual Report on Form 10-K for the fiscal year ended December 31, 2004 we were required to furnish a report by our management on our internal control over financial reporting. In the course of our assessment of the effectiveness of our internal control over financial reporting as of December 31, 2004, which assessment was conducted during the fourth quarter of 2004 and the first quarter of 2005 in connection with the preparation of 2004 audited financial statements and our annual report on Form 10-K for 2004, we identified a material weakness in our internal control over financial reporting resulting from the combination of a limited accounting staff and the transitional status of our chief financial officer. This material weakness in our internal control over financial reporting, as described in Item 9A, Controls and Procedures, of our Annual Report on Form 10-K for the year ended December 31, 2004, as well as any other weaknesses or deficiencies that may exist or hereafter arise or be identified, could harm our business and operating results, and could result in adverse publicity and a loss in investor confidence in the accuracy and completeness of our financial reports, which in turn could have a material adverse effect on our stock price, and, if such weaknesses are not properly remediated, could adversely affect our ability to report our financial results on a timely and accurate basis.</w:t>
      </w:r>
    </w:p>
    <w:p>
      <w:pPr>
        <w:spacing w:after="0" w:line="10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determined in the first quarter of 2005 that a material weakness in our internal control over financial reporting as of December 31, 2004 existed. As a part of our assessment of the effectiveness of our internal control over financial reporting as of December 31, 2004, we had considered both the composition and the limited size of our accounting department and their effect on the design of the controls established over our financial reporting process. Also, in December 2004 our chief financial officer announced his resignation to pursue another opportunity, but continued to serve as our chief financial officer on a transitional basis through the completion of certain financial reporting events, including the filing of our Annual Report on Form 10-K. We determined that the combination of a limited staff and the transitional status of our chief financial officer resulted in ineffective oversight and monitoring controls over our year-end financial reporting process. This material weakness was identified primarily because a number of deficiencies in controls and errors were detected by both an external accounting firm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had engaged to assist in assessing and testing our internal controls, and by our independent registered public accounting firm. These errors were detected during the performance and completion of the Section 404 testing during the fourth quarter 2004 and during the course of the annual audit (from January 2005 through early March 2005). While it was determined that, individually and collectively, these errors were not material, and in all cases our financial statements were corrected during the completion of our 2004 audit in February and early March 2005, such that our independent registered public accounting firm expressed an unqualified opinion on our December 31, 2004 financial statements, we concluded that in light of these ineffective controls as of December 31, 2004, there was more than a remote likelihood that a material misstatement of our annual or interim financial statements would not be prevented or detected, and that, therefore, there was a “material weakness” in our internal control over financial reporting as of December 31, 2004.</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Since December 31, 2004, we have hired a new chief financial officer, who assumed his office in the first quarter of 2005 following the filing of our Annual Report on Form 10-K. Also, in 2005 we hired additional accounting personnel, including a new controller and an internal auditor and we replaced other accounting personnel. We believe that these steps, when taken together, will provide additional supervision, approval and review of accounting transactions and also provide our chief financial officer with the necessary time to perform oversight and supervisory functions.</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we believe that we have remediated this material weakness, as described in Item 4, Controls and Procedures, of this report, we cannot assure you that this remediation has been successful or that additional deficiencies or weaknesses in our controls and procedures will not be identified. In addition, we cannot assure you that our independent registered public accounting firm will agree with our assessment that our material weakness has been remediated. Moreover, while we have added accounting personnel, we continue to operate at a relatively small staffing level. Our control procedures have been designed with this staffing level in mind; however, they are highly dependent on each individual’s performance of controls in the required manner. The loss of accounting personnel, particularly our chief financial officer, would adversely impact the effectiveness of our control environment and our internal controls, including our internal controls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stock has been volatile and could result in claims against us.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common stock is traded in the NASDAQ National Market. Historically the market price of our common stock has fluctuated significantly. In 2004 the sales price of our common stock ranged from $2.53 to $4.95. During the nine-month period ending September 30, 2005 the sales price of our common stock ranged from $2.44 to $4.49. We expect the market price of our common stock to continue to fluctuate significantly in response to numerous factors, some of which are beyond our control, in addition to our financial performance. Furthermore, stock prices for many companies, including our own, fluctuate widely for reasons that may be unrelated to operating results. Some of the factors that may cause the market price of our stock to fluctuate including the following:</w:t>
      </w:r>
    </w:p>
    <w:p>
      <w:pPr>
        <w:spacing w:after="0" w:line="21"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03" w:lineRule="exact"/>
        <w:rPr>
          <w:rFonts w:ascii="Arial" w:cs="Arial" w:eastAsia="Arial" w:hAnsi="Arial"/>
          <w:sz w:val="18"/>
          <w:szCs w:val="18"/>
          <w:color w:val="auto"/>
        </w:rPr>
      </w:pPr>
    </w:p>
    <w:p>
      <w:pPr>
        <w:ind w:left="780" w:right="10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$480,000.</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international sales are made primarily in U.S. dollars. Those sales in currencies other than U.S. dollars can result in translation gains and losses. As we increase sales in foreign markets, we anticipate making more sales denominated in foreign currencies, primarily euros. Currently, we do not engage in hedging activities for our international operations. However, we may engage in hedging activities in the future.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2 – “Risk Factors that May Affect Future Results” above. Accordingly, our future results could be materially harmed by the actual occurrence of any of these or other risks.</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left="460" w:hanging="452"/>
        <w:spacing w:after="0" w:line="29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-15(e) under the Securities Exchange Act of 1934. Based on their evaluation, our management, including our CEO and CFO, concluded that our disclosure controls and procedures were effective as of September 30, 2005, (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25"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Changes in internal control over financial reporting</w:t>
      </w:r>
      <w:r>
        <w:rPr>
          <w:rFonts w:ascii="Arial" w:cs="Arial" w:eastAsia="Arial" w:hAnsi="Arial"/>
          <w:sz w:val="16"/>
          <w:szCs w:val="16"/>
          <w:color w:val="auto"/>
        </w:rPr>
        <w:t>. During the three months ended September 30, 2005 we hired an internal auditor. We believe that this new hire, along with other hires made in 2005 including a new controller, will provide additional supervision, approval and review of accounting transactions and will also provide the CFO with the ability to perform appropriate oversight and supervisory functions. We believe that these actions, taken together with the hiring of a new CFO during the quarter ended March 31, 2005, have corrected the material weakness with respect to our disclosure controls and procedures and internal control over financial reporting that we disclosed at December 31, 2004.</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Other than the aforementioned, there was no change in our internal control over financial reporting that occurred during the three months ended September 30, 2005 that has materially affected, or that we believe is reasonably likely to materially affect, our internal control over financial reporting.</w:t>
      </w:r>
    </w:p>
    <w:p>
      <w:pPr>
        <w:spacing w:after="0" w:line="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Between March 2002 and October 2004, Active Power and Joseph Pinkerton, our Chairman and 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29"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On July 16, 2004 we filed a lawsuit against Greenwich Insurance Company seeking coverage under an insurance policy providing for management liability and company reimbursement coverage for certain of our and our CEO, Joe Pinkerton’s, expenses and damages related to the Magnex litigation described above.</w:t>
      </w:r>
    </w:p>
    <w:p>
      <w:pPr>
        <w:spacing w:after="0" w:line="4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0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the course of renewing the Company’s annual Directors and Officer’s Insurance policies in July 2005, we met with Greenwich Insurance Company in an attempt to settle this litigation, but were unsuccessful. Discovery in this case is underway and continuing at this time.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Securities and Exchange Commission on August 7, 2000 declared effective our registration statement on Form S-1 (File No. 333-36946) relating to the initial public offering of our common stock. As of September 30, 2005, we have used all of the net offering proceeds for the purchase of temporary investments, consisting of cash, cash equivalents, and short-term investments used for working capital and general corporate purposes, including financing accounts receivable and capital expenditures made in the ordinary course of business. We also may apply a portion of the proceeds of the 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repurchased 2,188 of cancelled unvested shares our equity securities during the third fiscal quarter of 2005. These shares were repurchased at the price originally paid for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Item 6.</w:t>
            </w: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c>
          <w:tcPr>
            <w:tcW w:w="3940" w:type="dxa"/>
            <w:vAlign w:val="bottom"/>
          </w:tcPr>
          <w:p>
            <w:pPr>
              <w:spacing w:after="0"/>
              <w:rPr>
                <w:sz w:val="19"/>
                <w:szCs w:val="19"/>
                <w:color w:val="auto"/>
              </w:rPr>
            </w:pPr>
          </w:p>
        </w:tc>
      </w:tr>
      <w:tr>
        <w:trPr>
          <w:trHeight w:val="284"/>
        </w:trPr>
        <w:tc>
          <w:tcPr>
            <w:tcW w:w="5820" w:type="dxa"/>
            <w:vAlign w:val="bottom"/>
            <w:gridSpan w:val="3"/>
          </w:tcPr>
          <w:p>
            <w:pPr>
              <w:jc w:val="right"/>
              <w:ind w:right="1052"/>
              <w:spacing w:after="0"/>
              <w:rPr>
                <w:sz w:val="20"/>
                <w:szCs w:val="20"/>
                <w:color w:val="auto"/>
              </w:rPr>
            </w:pPr>
            <w:r>
              <w:rPr>
                <w:rFonts w:ascii="Arial" w:cs="Arial" w:eastAsia="Arial" w:hAnsi="Arial"/>
                <w:sz w:val="18"/>
                <w:szCs w:val="18"/>
                <w:color w:val="auto"/>
                <w:w w:val="99"/>
              </w:rPr>
              <w:t>The following documents are filed as exhibits to this report:</w:t>
            </w:r>
          </w:p>
        </w:tc>
      </w:tr>
      <w:tr>
        <w:trPr>
          <w:trHeight w:val="365"/>
        </w:trPr>
        <w:tc>
          <w:tcPr>
            <w:tcW w:w="740" w:type="dxa"/>
            <w:vAlign w:val="bottom"/>
          </w:tcPr>
          <w:p>
            <w:pPr>
              <w:jc w:val="right"/>
              <w:ind w:right="292"/>
              <w:spacing w:after="0"/>
              <w:rPr>
                <w:sz w:val="20"/>
                <w:szCs w:val="20"/>
                <w:color w:val="auto"/>
              </w:rPr>
            </w:pPr>
            <w:r>
              <w:rPr>
                <w:rFonts w:ascii="Arial" w:cs="Arial" w:eastAsia="Arial" w:hAnsi="Arial"/>
                <w:sz w:val="18"/>
                <w:szCs w:val="18"/>
                <w:color w:val="auto"/>
                <w:w w:val="96"/>
              </w:rPr>
              <w:t>31.1</w:t>
            </w:r>
          </w:p>
        </w:tc>
        <w:tc>
          <w:tcPr>
            <w:tcW w:w="5080" w:type="dxa"/>
            <w:vAlign w:val="bottom"/>
            <w:gridSpan w:val="2"/>
          </w:tcPr>
          <w:p>
            <w:pPr>
              <w:ind w:left="180"/>
              <w:spacing w:after="0"/>
              <w:rPr>
                <w:sz w:val="20"/>
                <w:szCs w:val="20"/>
                <w:color w:val="auto"/>
              </w:rPr>
            </w:pPr>
            <w:r>
              <w:rPr>
                <w:rFonts w:ascii="Arial" w:cs="Arial" w:eastAsia="Arial" w:hAnsi="Arial"/>
                <w:sz w:val="18"/>
                <w:szCs w:val="18"/>
                <w:color w:val="auto"/>
                <w:w w:val="90"/>
              </w:rPr>
              <w:t>Rule 13a-15(e)/15d-15(e) Certification of Principal Executive Officer</w:t>
            </w:r>
          </w:p>
        </w:tc>
      </w:tr>
      <w:tr>
        <w:trPr>
          <w:trHeight w:val="324"/>
        </w:trPr>
        <w:tc>
          <w:tcPr>
            <w:tcW w:w="740" w:type="dxa"/>
            <w:vAlign w:val="bottom"/>
          </w:tcPr>
          <w:p>
            <w:pPr>
              <w:jc w:val="right"/>
              <w:ind w:right="292"/>
              <w:spacing w:after="0"/>
              <w:rPr>
                <w:sz w:val="20"/>
                <w:szCs w:val="20"/>
                <w:color w:val="auto"/>
              </w:rPr>
            </w:pPr>
            <w:r>
              <w:rPr>
                <w:rFonts w:ascii="Arial" w:cs="Arial" w:eastAsia="Arial" w:hAnsi="Arial"/>
                <w:sz w:val="18"/>
                <w:szCs w:val="18"/>
                <w:color w:val="auto"/>
                <w:w w:val="96"/>
              </w:rPr>
              <w:t>31.2</w:t>
            </w:r>
          </w:p>
        </w:tc>
        <w:tc>
          <w:tcPr>
            <w:tcW w:w="5080" w:type="dxa"/>
            <w:vAlign w:val="bottom"/>
            <w:gridSpan w:val="2"/>
          </w:tcPr>
          <w:p>
            <w:pPr>
              <w:ind w:left="180"/>
              <w:spacing w:after="0"/>
              <w:rPr>
                <w:sz w:val="20"/>
                <w:szCs w:val="20"/>
                <w:color w:val="auto"/>
              </w:rPr>
            </w:pPr>
            <w:r>
              <w:rPr>
                <w:rFonts w:ascii="Arial" w:cs="Arial" w:eastAsia="Arial" w:hAnsi="Arial"/>
                <w:sz w:val="18"/>
                <w:szCs w:val="18"/>
                <w:color w:val="auto"/>
                <w:w w:val="91"/>
              </w:rPr>
              <w:t>Rule 13a-15(e)/15d-15(e) Certification of Principal Financial Officer</w:t>
            </w:r>
          </w:p>
        </w:tc>
      </w:tr>
      <w:tr>
        <w:trPr>
          <w:trHeight w:val="324"/>
        </w:trPr>
        <w:tc>
          <w:tcPr>
            <w:tcW w:w="740" w:type="dxa"/>
            <w:vAlign w:val="bottom"/>
          </w:tcPr>
          <w:p>
            <w:pPr>
              <w:jc w:val="right"/>
              <w:ind w:right="292"/>
              <w:spacing w:after="0"/>
              <w:rPr>
                <w:sz w:val="20"/>
                <w:szCs w:val="20"/>
                <w:color w:val="auto"/>
              </w:rPr>
            </w:pPr>
            <w:r>
              <w:rPr>
                <w:rFonts w:ascii="Arial" w:cs="Arial" w:eastAsia="Arial" w:hAnsi="Arial"/>
                <w:sz w:val="18"/>
                <w:szCs w:val="18"/>
                <w:color w:val="auto"/>
                <w:w w:val="96"/>
              </w:rPr>
              <w:t>32.1</w:t>
            </w:r>
          </w:p>
        </w:tc>
        <w:tc>
          <w:tcPr>
            <w:tcW w:w="1140" w:type="dxa"/>
            <w:vAlign w:val="bottom"/>
          </w:tcPr>
          <w:p>
            <w:pPr>
              <w:ind w:left="180"/>
              <w:spacing w:after="0"/>
              <w:rPr>
                <w:sz w:val="20"/>
                <w:szCs w:val="20"/>
                <w:color w:val="auto"/>
              </w:rPr>
            </w:pPr>
            <w:r>
              <w:rPr>
                <w:rFonts w:ascii="Arial" w:cs="Arial" w:eastAsia="Arial" w:hAnsi="Arial"/>
                <w:sz w:val="18"/>
                <w:szCs w:val="18"/>
                <w:color w:val="auto"/>
                <w:w w:val="89"/>
              </w:rPr>
              <w:t>Section 1350</w:t>
            </w:r>
          </w:p>
        </w:tc>
        <w:tc>
          <w:tcPr>
            <w:tcW w:w="3940" w:type="dxa"/>
            <w:vAlign w:val="bottom"/>
          </w:tcPr>
          <w:p>
            <w:pPr>
              <w:ind w:left="20"/>
              <w:spacing w:after="0"/>
              <w:rPr>
                <w:sz w:val="20"/>
                <w:szCs w:val="20"/>
                <w:color w:val="auto"/>
              </w:rPr>
            </w:pPr>
            <w:r>
              <w:rPr>
                <w:rFonts w:ascii="Arial" w:cs="Arial" w:eastAsia="Arial" w:hAnsi="Arial"/>
                <w:sz w:val="18"/>
                <w:szCs w:val="18"/>
                <w:color w:val="auto"/>
              </w:rPr>
              <w:t>Certification of Principal Executive Officer</w:t>
            </w:r>
          </w:p>
        </w:tc>
      </w:tr>
      <w:tr>
        <w:trPr>
          <w:trHeight w:val="324"/>
        </w:trPr>
        <w:tc>
          <w:tcPr>
            <w:tcW w:w="740" w:type="dxa"/>
            <w:vAlign w:val="bottom"/>
          </w:tcPr>
          <w:p>
            <w:pPr>
              <w:jc w:val="right"/>
              <w:ind w:right="292"/>
              <w:spacing w:after="0"/>
              <w:rPr>
                <w:sz w:val="20"/>
                <w:szCs w:val="20"/>
                <w:color w:val="auto"/>
              </w:rPr>
            </w:pPr>
            <w:r>
              <w:rPr>
                <w:rFonts w:ascii="Arial" w:cs="Arial" w:eastAsia="Arial" w:hAnsi="Arial"/>
                <w:sz w:val="18"/>
                <w:szCs w:val="18"/>
                <w:color w:val="auto"/>
                <w:w w:val="96"/>
              </w:rPr>
              <w:t>32.2</w:t>
            </w:r>
          </w:p>
        </w:tc>
        <w:tc>
          <w:tcPr>
            <w:tcW w:w="1140" w:type="dxa"/>
            <w:vAlign w:val="bottom"/>
          </w:tcPr>
          <w:p>
            <w:pPr>
              <w:ind w:left="180"/>
              <w:spacing w:after="0"/>
              <w:rPr>
                <w:sz w:val="20"/>
                <w:szCs w:val="20"/>
                <w:color w:val="auto"/>
              </w:rPr>
            </w:pPr>
            <w:r>
              <w:rPr>
                <w:rFonts w:ascii="Arial" w:cs="Arial" w:eastAsia="Arial" w:hAnsi="Arial"/>
                <w:sz w:val="18"/>
                <w:szCs w:val="18"/>
                <w:color w:val="auto"/>
                <w:w w:val="89"/>
              </w:rPr>
              <w:t>Section 1350</w:t>
            </w:r>
          </w:p>
        </w:tc>
        <w:tc>
          <w:tcPr>
            <w:tcW w:w="394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w:t>
            </w:r>
          </w:p>
        </w:tc>
      </w:tr>
      <w:tr>
        <w:trPr>
          <w:trHeight w:val="365"/>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460" w:type="dxa"/>
            <w:vAlign w:val="bottom"/>
          </w:tcPr>
          <w:p>
            <w:pPr>
              <w:jc w:val="center"/>
              <w:ind w:left="26"/>
              <w:spacing w:after="0"/>
              <w:rPr>
                <w:sz w:val="20"/>
                <w:szCs w:val="20"/>
                <w:color w:val="auto"/>
              </w:rPr>
            </w:pPr>
            <w:r>
              <w:rPr>
                <w:rFonts w:ascii="Arial" w:cs="Arial" w:eastAsia="Arial" w:hAnsi="Arial"/>
                <w:sz w:val="18"/>
                <w:szCs w:val="18"/>
                <w:b w:val="1"/>
                <w:bCs w:val="1"/>
                <w:color w:val="auto"/>
                <w:w w:val="99"/>
              </w:rPr>
              <w:t>ACTIVE POWER, INC.</w:t>
            </w:r>
          </w:p>
        </w:tc>
      </w:tr>
      <w:tr>
        <w:trPr>
          <w:trHeight w:val="222"/>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460" w:type="dxa"/>
            <w:vAlign w:val="bottom"/>
          </w:tcPr>
          <w:p>
            <w:pPr>
              <w:jc w:val="center"/>
              <w:ind w:left="26"/>
              <w:spacing w:after="0"/>
              <w:rPr>
                <w:sz w:val="20"/>
                <w:szCs w:val="20"/>
                <w:color w:val="auto"/>
              </w:rPr>
            </w:pPr>
            <w:r>
              <w:rPr>
                <w:rFonts w:ascii="Arial" w:cs="Arial" w:eastAsia="Arial" w:hAnsi="Arial"/>
                <w:sz w:val="18"/>
                <w:szCs w:val="18"/>
                <w:color w:val="auto"/>
                <w:w w:val="89"/>
              </w:rPr>
              <w:t>(Registrant)</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October 26, 2005</w:t>
            </w:r>
          </w:p>
        </w:tc>
        <w:tc>
          <w:tcPr>
            <w:tcW w:w="2540" w:type="dxa"/>
            <w:vAlign w:val="bottom"/>
          </w:tcPr>
          <w:p>
            <w:pPr>
              <w:spacing w:after="0"/>
              <w:rPr>
                <w:sz w:val="24"/>
                <w:szCs w:val="24"/>
                <w:color w:val="auto"/>
              </w:rPr>
            </w:pPr>
          </w:p>
        </w:tc>
        <w:tc>
          <w:tcPr>
            <w:tcW w:w="546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OSEPH</w:t>
            </w:r>
            <w:r>
              <w:rPr>
                <w:rFonts w:ascii="Arial" w:cs="Arial" w:eastAsia="Arial" w:hAnsi="Arial"/>
                <w:sz w:val="18"/>
                <w:szCs w:val="18"/>
                <w:color w:val="auto"/>
              </w:rPr>
              <w:t xml:space="preserve"> F. P</w:t>
            </w:r>
            <w:r>
              <w:rPr>
                <w:rFonts w:ascii="Arial" w:cs="Arial" w:eastAsia="Arial" w:hAnsi="Arial"/>
                <w:sz w:val="14"/>
                <w:szCs w:val="14"/>
                <w:color w:val="auto"/>
              </w:rPr>
              <w:t>INKERTON</w:t>
            </w:r>
            <w:r>
              <w:rPr>
                <w:rFonts w:ascii="Arial" w:cs="Arial" w:eastAsia="Arial" w:hAnsi="Arial"/>
                <w:sz w:val="18"/>
                <w:szCs w:val="18"/>
                <w:color w:val="auto"/>
              </w:rPr>
              <w:t>, III</w:t>
            </w:r>
          </w:p>
        </w:tc>
      </w:tr>
      <w:tr>
        <w:trPr>
          <w:trHeight w:val="199"/>
        </w:trPr>
        <w:tc>
          <w:tcPr>
            <w:tcW w:w="3420" w:type="dxa"/>
            <w:vAlign w:val="bottom"/>
          </w:tcPr>
          <w:p>
            <w:pPr>
              <w:spacing w:after="0" w:line="199" w:lineRule="exact"/>
              <w:rPr>
                <w:sz w:val="20"/>
                <w:szCs w:val="20"/>
                <w:color w:val="auto"/>
              </w:rPr>
            </w:pPr>
            <w:r>
              <w:rPr>
                <w:rFonts w:ascii="Arial" w:cs="Arial" w:eastAsia="Arial" w:hAnsi="Arial"/>
                <w:sz w:val="18"/>
                <w:szCs w:val="18"/>
                <w:color w:val="auto"/>
              </w:rPr>
              <w:t>(Date)</w:t>
            </w:r>
          </w:p>
        </w:tc>
        <w:tc>
          <w:tcPr>
            <w:tcW w:w="2540" w:type="dxa"/>
            <w:vAlign w:val="bottom"/>
          </w:tcPr>
          <w:p>
            <w:pPr>
              <w:spacing w:after="0"/>
              <w:rPr>
                <w:sz w:val="17"/>
                <w:szCs w:val="17"/>
                <w:color w:val="auto"/>
              </w:rPr>
            </w:pPr>
          </w:p>
        </w:tc>
        <w:tc>
          <w:tcPr>
            <w:tcW w:w="5460" w:type="dxa"/>
            <w:vAlign w:val="bottom"/>
          </w:tcPr>
          <w:p>
            <w:pPr>
              <w:jc w:val="center"/>
              <w:ind w:left="26"/>
              <w:spacing w:after="0"/>
              <w:rPr>
                <w:sz w:val="20"/>
                <w:szCs w:val="20"/>
                <w:color w:val="auto"/>
              </w:rPr>
            </w:pPr>
            <w:r>
              <w:rPr>
                <w:rFonts w:ascii="Arial" w:cs="Arial" w:eastAsia="Arial" w:hAnsi="Arial"/>
                <w:sz w:val="14"/>
                <w:szCs w:val="14"/>
                <w:b w:val="1"/>
                <w:bCs w:val="1"/>
                <w:color w:val="auto"/>
                <w:w w:val="88"/>
              </w:rPr>
              <w:t>Joseph F. Pinkerton, III</w:t>
            </w:r>
          </w:p>
        </w:tc>
      </w:tr>
      <w:tr>
        <w:trPr>
          <w:trHeight w:val="149"/>
        </w:trPr>
        <w:tc>
          <w:tcPr>
            <w:tcW w:w="3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4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7"/>
              </w:rPr>
              <w:t>Chairman of the Board, President and</w:t>
            </w:r>
          </w:p>
        </w:tc>
      </w:tr>
      <w:tr>
        <w:trPr>
          <w:trHeight w:val="162"/>
        </w:trPr>
        <w:tc>
          <w:tcPr>
            <w:tcW w:w="3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60" w:type="dxa"/>
            <w:vAlign w:val="bottom"/>
          </w:tcPr>
          <w:p>
            <w:pPr>
              <w:jc w:val="center"/>
              <w:ind w:left="26"/>
              <w:spacing w:after="0"/>
              <w:rPr>
                <w:sz w:val="20"/>
                <w:szCs w:val="20"/>
                <w:color w:val="auto"/>
              </w:rPr>
            </w:pPr>
            <w:r>
              <w:rPr>
                <w:rFonts w:ascii="Arial" w:cs="Arial" w:eastAsia="Arial" w:hAnsi="Arial"/>
                <w:sz w:val="14"/>
                <w:szCs w:val="14"/>
                <w:b w:val="1"/>
                <w:bCs w:val="1"/>
                <w:color w:val="auto"/>
                <w:w w:val="88"/>
              </w:rPr>
              <w:t>Chief Executive Officer</w:t>
            </w:r>
          </w:p>
        </w:tc>
      </w:tr>
      <w:tr>
        <w:trPr>
          <w:trHeight w:val="174"/>
        </w:trPr>
        <w:tc>
          <w:tcPr>
            <w:tcW w:w="34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460" w:type="dxa"/>
            <w:vAlign w:val="bottom"/>
          </w:tcPr>
          <w:p>
            <w:pPr>
              <w:jc w:val="center"/>
              <w:ind w:left="26"/>
              <w:spacing w:after="0"/>
              <w:rPr>
                <w:sz w:val="20"/>
                <w:szCs w:val="20"/>
                <w:color w:val="auto"/>
              </w:rPr>
            </w:pPr>
            <w:r>
              <w:rPr>
                <w:rFonts w:ascii="Arial" w:cs="Arial" w:eastAsia="Arial" w:hAnsi="Arial"/>
                <w:sz w:val="14"/>
                <w:szCs w:val="14"/>
                <w:b w:val="1"/>
                <w:bCs w:val="1"/>
                <w:color w:val="auto"/>
                <w:w w:val="89"/>
              </w:rPr>
              <w:t>(Principal Executive Officer)</w:t>
            </w:r>
          </w:p>
        </w:tc>
      </w:tr>
      <w:tr>
        <w:trPr>
          <w:trHeight w:val="417"/>
        </w:trPr>
        <w:tc>
          <w:tcPr>
            <w:tcW w:w="3420" w:type="dxa"/>
            <w:vAlign w:val="bottom"/>
          </w:tcPr>
          <w:p>
            <w:pPr>
              <w:spacing w:after="0"/>
              <w:rPr>
                <w:sz w:val="20"/>
                <w:szCs w:val="20"/>
                <w:color w:val="auto"/>
              </w:rPr>
            </w:pPr>
            <w:r>
              <w:rPr>
                <w:rFonts w:ascii="Arial" w:cs="Arial" w:eastAsia="Arial" w:hAnsi="Arial"/>
                <w:sz w:val="18"/>
                <w:szCs w:val="18"/>
                <w:color w:val="auto"/>
              </w:rPr>
              <w:t>October 26, 2005</w:t>
            </w:r>
          </w:p>
        </w:tc>
        <w:tc>
          <w:tcPr>
            <w:tcW w:w="2540" w:type="dxa"/>
            <w:vAlign w:val="bottom"/>
          </w:tcPr>
          <w:p>
            <w:pPr>
              <w:spacing w:after="0"/>
              <w:rPr>
                <w:sz w:val="24"/>
                <w:szCs w:val="24"/>
                <w:color w:val="auto"/>
              </w:rPr>
            </w:pPr>
          </w:p>
        </w:tc>
        <w:tc>
          <w:tcPr>
            <w:tcW w:w="54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K. P</w:t>
            </w:r>
            <w:r>
              <w:rPr>
                <w:rFonts w:ascii="Arial" w:cs="Arial" w:eastAsia="Arial" w:hAnsi="Arial"/>
                <w:sz w:val="14"/>
                <w:szCs w:val="14"/>
                <w:color w:val="auto"/>
              </w:rPr>
              <w:t>ENVER</w:t>
            </w:r>
          </w:p>
        </w:tc>
      </w:tr>
      <w:tr>
        <w:trPr>
          <w:trHeight w:val="199"/>
        </w:trPr>
        <w:tc>
          <w:tcPr>
            <w:tcW w:w="3420" w:type="dxa"/>
            <w:vAlign w:val="bottom"/>
          </w:tcPr>
          <w:p>
            <w:pPr>
              <w:spacing w:after="0" w:line="199" w:lineRule="exact"/>
              <w:rPr>
                <w:sz w:val="20"/>
                <w:szCs w:val="20"/>
                <w:color w:val="auto"/>
              </w:rPr>
            </w:pPr>
            <w:r>
              <w:rPr>
                <w:rFonts w:ascii="Arial" w:cs="Arial" w:eastAsia="Arial" w:hAnsi="Arial"/>
                <w:sz w:val="18"/>
                <w:szCs w:val="18"/>
                <w:color w:val="auto"/>
              </w:rPr>
              <w:t>(Date)</w:t>
            </w:r>
          </w:p>
        </w:tc>
        <w:tc>
          <w:tcPr>
            <w:tcW w:w="2540" w:type="dxa"/>
            <w:vAlign w:val="bottom"/>
          </w:tcPr>
          <w:p>
            <w:pPr>
              <w:spacing w:after="0"/>
              <w:rPr>
                <w:sz w:val="17"/>
                <w:szCs w:val="17"/>
                <w:color w:val="auto"/>
              </w:rPr>
            </w:pPr>
          </w:p>
        </w:tc>
        <w:tc>
          <w:tcPr>
            <w:tcW w:w="5460" w:type="dxa"/>
            <w:vAlign w:val="bottom"/>
          </w:tcPr>
          <w:p>
            <w:pPr>
              <w:jc w:val="center"/>
              <w:ind w:left="26"/>
              <w:spacing w:after="0"/>
              <w:rPr>
                <w:sz w:val="20"/>
                <w:szCs w:val="20"/>
                <w:color w:val="auto"/>
              </w:rPr>
            </w:pPr>
            <w:r>
              <w:rPr>
                <w:rFonts w:ascii="Arial" w:cs="Arial" w:eastAsia="Arial" w:hAnsi="Arial"/>
                <w:sz w:val="14"/>
                <w:szCs w:val="14"/>
                <w:b w:val="1"/>
                <w:bCs w:val="1"/>
                <w:color w:val="auto"/>
                <w:w w:val="86"/>
              </w:rPr>
              <w:t>John K. Penver</w:t>
            </w:r>
          </w:p>
        </w:tc>
      </w:tr>
      <w:tr>
        <w:trPr>
          <w:trHeight w:val="149"/>
        </w:trPr>
        <w:tc>
          <w:tcPr>
            <w:tcW w:w="3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4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Vice President of Finance, Chief Financial Officer</w:t>
            </w:r>
          </w:p>
        </w:tc>
      </w:tr>
      <w:tr>
        <w:trPr>
          <w:trHeight w:val="149"/>
        </w:trPr>
        <w:tc>
          <w:tcPr>
            <w:tcW w:w="3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4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6"/>
              </w:rPr>
              <w:t>and Secretary</w:t>
            </w:r>
          </w:p>
        </w:tc>
      </w:tr>
      <w:tr>
        <w:trPr>
          <w:trHeight w:val="174"/>
        </w:trPr>
        <w:tc>
          <w:tcPr>
            <w:tcW w:w="34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460" w:type="dxa"/>
            <w:vAlign w:val="bottom"/>
          </w:tcPr>
          <w:p>
            <w:pPr>
              <w:jc w:val="center"/>
              <w:ind w:left="26"/>
              <w:spacing w:after="0"/>
              <w:rPr>
                <w:sz w:val="20"/>
                <w:szCs w:val="20"/>
                <w:color w:val="auto"/>
              </w:rPr>
            </w:pPr>
            <w:r>
              <w:rPr>
                <w:rFonts w:ascii="Arial" w:cs="Arial" w:eastAsia="Arial" w:hAnsi="Arial"/>
                <w:sz w:val="14"/>
                <w:szCs w:val="14"/>
                <w:b w:val="1"/>
                <w:bCs w:val="1"/>
                <w:color w:val="auto"/>
                <w:w w:val="88"/>
              </w:rPr>
              <w:t>(Principal Accounting Officer)</w:t>
            </w:r>
          </w:p>
        </w:tc>
      </w:tr>
      <w:tr>
        <w:trPr>
          <w:trHeight w:val="350"/>
        </w:trPr>
        <w:tc>
          <w:tcPr>
            <w:tcW w:w="3420" w:type="dxa"/>
            <w:vAlign w:val="bottom"/>
          </w:tcPr>
          <w:p>
            <w:pPr>
              <w:spacing w:after="0"/>
              <w:rPr>
                <w:sz w:val="24"/>
                <w:szCs w:val="24"/>
                <w:color w:val="auto"/>
              </w:rPr>
            </w:pPr>
          </w:p>
        </w:tc>
        <w:tc>
          <w:tcPr>
            <w:tcW w:w="254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certify that:</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2005</w:t>
      </w:r>
    </w:p>
    <w:p>
      <w:pPr>
        <w:spacing w:after="0" w:line="225" w:lineRule="exact"/>
        <w:rPr>
          <w:sz w:val="20"/>
          <w:szCs w:val="20"/>
          <w:color w:val="auto"/>
        </w:rPr>
      </w:pPr>
    </w:p>
    <w:p>
      <w:pPr>
        <w:ind w:left="1020"/>
        <w:spacing w:after="0"/>
        <w:tabs>
          <w:tab w:leader="none" w:pos="13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Joseph F. Pinkerton, III</w:t>
      </w:r>
    </w:p>
    <w:p>
      <w:pPr>
        <w:jc w:val="center"/>
        <w:ind w:right="6840"/>
        <w:spacing w:after="0" w:line="223" w:lineRule="auto"/>
        <w:rPr>
          <w:sz w:val="20"/>
          <w:szCs w:val="20"/>
          <w:color w:val="auto"/>
        </w:rPr>
      </w:pPr>
      <w:r>
        <w:rPr>
          <w:rFonts w:ascii="Arial" w:cs="Arial" w:eastAsia="Arial" w:hAnsi="Arial"/>
          <w:sz w:val="14"/>
          <w:szCs w:val="14"/>
          <w:b w:val="1"/>
          <w:bCs w:val="1"/>
          <w:color w:val="auto"/>
        </w:rPr>
        <w:t>Chairman of the Board, 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3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2005</w:t>
      </w:r>
    </w:p>
    <w:p>
      <w:pPr>
        <w:spacing w:after="0" w:line="225"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John K. Penver</w:t>
      </w:r>
    </w:p>
    <w:p>
      <w:pPr>
        <w:jc w:val="center"/>
        <w:ind w:right="6840"/>
        <w:spacing w:after="0" w:line="223" w:lineRule="auto"/>
        <w:rPr>
          <w:sz w:val="20"/>
          <w:szCs w:val="20"/>
          <w:color w:val="auto"/>
        </w:rPr>
      </w:pPr>
      <w:r>
        <w:rPr>
          <w:rFonts w:ascii="Arial" w:cs="Arial" w:eastAsia="Arial" w:hAnsi="Arial"/>
          <w:sz w:val="14"/>
          <w:szCs w:val="14"/>
          <w:b w:val="1"/>
          <w:bCs w:val="1"/>
          <w:color w:val="auto"/>
        </w:rPr>
        <w:t>Vice President of Finance and Chief Financial Officer</w:t>
      </w:r>
    </w:p>
    <w:p>
      <w:pPr>
        <w:jc w:val="center"/>
        <w:ind w:right="6840"/>
        <w:spacing w:after="0"/>
        <w:rPr>
          <w:sz w:val="20"/>
          <w:szCs w:val="20"/>
          <w:color w:val="auto"/>
        </w:rPr>
      </w:pPr>
      <w:r>
        <w:rPr>
          <w:rFonts w:ascii="Arial" w:cs="Arial" w:eastAsia="Arial" w:hAnsi="Arial"/>
          <w:sz w:val="14"/>
          <w:szCs w:val="14"/>
          <w:b w:val="1"/>
          <w:bCs w:val="1"/>
          <w:color w:val="auto"/>
        </w:rPr>
        <w:t>(Principal Financial and Accounting Officer)</w:t>
      </w:r>
    </w:p>
    <w:p>
      <w:pPr>
        <w:sectPr>
          <w:pgSz w:w="11900" w:h="16838" w:orient="portrait"/>
          <w:cols w:equalWidth="0" w:num="1">
            <w:col w:w="11420"/>
          </w:cols>
          <w:pgMar w:left="240" w:top="1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2005, as filed with the Securities and Exchange Commission on the date hereof (the “Report”), I, Joseph F. Pinkerton, III, Chief Executive Officer of the Company, certify, pursuant to 18 U.S.C. Section 1350, as adopted pursuant to Section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7860"/>
        <w:spacing w:after="0"/>
        <w:tabs>
          <w:tab w:leader="none" w:pos="82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Joseph F. Pinkerton, III</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President</w:t>
      </w:r>
    </w:p>
    <w:p>
      <w:pPr>
        <w:jc w:val="center"/>
        <w:ind w:left="6860"/>
        <w:spacing w:after="0" w:line="228" w:lineRule="auto"/>
        <w:rPr>
          <w:sz w:val="20"/>
          <w:szCs w:val="20"/>
          <w:color w:val="auto"/>
        </w:rPr>
      </w:pPr>
      <w:r>
        <w:rPr>
          <w:rFonts w:ascii="Arial" w:cs="Arial" w:eastAsia="Arial" w:hAnsi="Arial"/>
          <w:sz w:val="14"/>
          <w:szCs w:val="14"/>
          <w:b w:val="1"/>
          <w:bCs w:val="1"/>
          <w:color w:val="auto"/>
        </w:rPr>
        <w:t>and Chief Executive Officer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October 26, 2005</w:t>
      </w:r>
    </w:p>
    <w:p>
      <w:pPr>
        <w:sectPr>
          <w:pgSz w:w="11900" w:h="16838" w:orient="portrait"/>
          <w:cols w:equalWidth="0" w:num="1">
            <w:col w:w="11420"/>
          </w:cols>
          <w:pgMar w:left="240" w:top="13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2005 as filed with the Securities and Exchange Commission on the date hereof (the “Report”), I, John K. Penver, Chief Financial Officer of the Company, certify, pursuant to 18 U.S.C. Section 1350, as adopted pursuant to Section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8200"/>
        <w:spacing w:after="0"/>
        <w:tabs>
          <w:tab w:leader="none" w:pos="85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K. Penver</w:t>
      </w:r>
    </w:p>
    <w:p>
      <w:pPr>
        <w:jc w:val="center"/>
        <w:ind w:left="6860"/>
        <w:spacing w:after="0" w:line="230" w:lineRule="auto"/>
        <w:rPr>
          <w:sz w:val="20"/>
          <w:szCs w:val="20"/>
          <w:color w:val="auto"/>
        </w:rPr>
      </w:pPr>
      <w:r>
        <w:rPr>
          <w:rFonts w:ascii="Arial" w:cs="Arial" w:eastAsia="Arial" w:hAnsi="Arial"/>
          <w:sz w:val="14"/>
          <w:szCs w:val="14"/>
          <w:b w:val="1"/>
          <w:bCs w:val="1"/>
          <w:color w:val="auto"/>
        </w:rPr>
        <w:t>Vice President of Finance and Chief Financial Officer</w:t>
      </w:r>
    </w:p>
    <w:p>
      <w:pPr>
        <w:ind w:left="6860"/>
        <w:spacing w:after="0"/>
        <w:rPr>
          <w:sz w:val="20"/>
          <w:szCs w:val="20"/>
          <w:color w:val="auto"/>
        </w:rPr>
      </w:pPr>
      <w:r>
        <w:rPr>
          <w:rFonts w:ascii="Arial" w:cs="Arial" w:eastAsia="Arial" w:hAnsi="Arial"/>
          <w:sz w:val="18"/>
          <w:szCs w:val="18"/>
          <w:color w:val="auto"/>
        </w:rPr>
        <w:t>October 26, 2005</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2019-12-14T18:13:00Z</dcterms:created>
  <dcterms:modified xsi:type="dcterms:W3CDTF">2019-12-14T18:13:00Z</dcterms:modified>
</cp:coreProperties>
</file>