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09/11/2025</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6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12.52</w:t>
            </w:r>
            <w:r>
              <w:rPr>
                <w:rFonts w:ascii="Times New Roman" w:cs="Times New Roman" w:eastAsia="Times New Roman" w:hAnsi="Times New Roman"/>
                <w:sz w:val="22"/>
                <w:szCs w:val="22"/>
                <w:color w:val="008000"/>
                <w:w w:val="95"/>
                <w:vertAlign w:val="superscript"/>
              </w:rPr>
              <w:t>(1)</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2,531,507</w:t>
            </w:r>
          </w:p>
        </w:tc>
        <w:tc>
          <w:tcPr>
            <w:tcW w:w="240" w:type="dxa"/>
            <w:vAlign w:val="bottom"/>
          </w:tcPr>
          <w:p>
            <w:pPr>
              <w:spacing w:after="0"/>
              <w:rPr>
                <w:sz w:val="18"/>
                <w:szCs w:val="18"/>
                <w:color w:val="auto"/>
              </w:rPr>
            </w:pPr>
          </w:p>
        </w:tc>
        <w:tc>
          <w:tcPr>
            <w:tcW w:w="600" w:type="dxa"/>
            <w:vAlign w:val="bottom"/>
          </w:tcPr>
          <w:p>
            <w:pPr>
              <w:jc w:val="center"/>
              <w:ind w:right="242"/>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60,502</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4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521,664</w:t>
            </w:r>
          </w:p>
        </w:tc>
        <w:tc>
          <w:tcPr>
            <w:tcW w:w="240" w:type="dxa"/>
            <w:vAlign w:val="bottom"/>
          </w:tcPr>
          <w:p>
            <w:pPr>
              <w:spacing w:after="0"/>
              <w:rPr>
                <w:sz w:val="18"/>
                <w:szCs w:val="18"/>
                <w:color w:val="auto"/>
              </w:rPr>
            </w:pPr>
          </w:p>
        </w:tc>
        <w:tc>
          <w:tcPr>
            <w:tcW w:w="600" w:type="dxa"/>
            <w:vAlign w:val="bottom"/>
            <w:vMerge w:val="restart"/>
          </w:tcPr>
          <w:p>
            <w:pPr>
              <w:jc w:val="center"/>
              <w:ind w:right="242"/>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price for the shares, which were sold in multiple transactions at prices that ranged from $12.52 to $12.53. Upon request, the Reporting Person will provide information regarding the number of shares sold at each price within the range to the Issuer, any security holder, or the SEC staff.</w:t>
      </w:r>
    </w:p>
    <w:p>
      <w:pPr>
        <w:spacing w:after="0" w:line="7"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26"/>
          <w:szCs w:val="26"/>
          <w:color w:val="0000FF"/>
          <w:vertAlign w:val="subscript"/>
        </w:rPr>
        <w:t>09/15/2025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6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2025-09-15T10:58:35Z</dcterms:created>
  <dcterms:modified xsi:type="dcterms:W3CDTF">2025-09-15T10:58:35Z</dcterms:modified>
</cp:coreProperties>
</file>