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February 25,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ind w:left="1140" w:right="32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color w:val="auto"/>
        </w:rPr>
        <w:t>On February 25, 2010, the Compensation Committee (the “Committee”) of the Board of Directors of Active Power, Inc. (“we,” “us,” “our,” or the “Company”) approved a management incentive program for our executive officers, including our named executive officers, for the fiscal year ending December 31, 2010.</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Under the plan, our executive officers other than our sales executives, including certain of our named executive officers, will be entitled to earn a target award for 2010 payable in cash equal to a percentage of such executive’s base salary. Consistent with the prior year, the target award for each of John Penver and Lisa Brown for 2010 is 50% of their respective 2010 base salaries, and the target award for Jim Clishem, our Chief Executive Officer, is 100% of his 2010 base salary. As in the prior year, 80% of the target award for each of Mr. Clishem, Mr. Penver and Ms. Brown (i.e., our non-sales named executive officers) will be based upon the achievement of corporate financial and operating objectives, including revenue, EBITDA and a quality metric, weighted at 30%, 40% and 10% of the overall award. The remaining 20% of the award will be based upon achievement of individual objectives unique to each executive and their areas of responsibility that are tied to the Company’s annual operating plan. For 2010, the Committee also approved certain multipliers to the target awards that will be triggered if we achieve revenue and/or EBITDA in excess of our 2010 annual operating plan, such that the maximum award under the plan, based on our achievement of 130% of our targeted revenue and 270% of our targeted EBITDA for 2010, would be equal to 240% of base salary for Mr. Clishem and 120% of base salary for each of Mr. Penver and Ms. Brown. If we fail to achieve certain minimum threshold amounts of revenue, EBITDA and our quality metric in 2010, and an executive also fails to meet his or her individual objectives for the year, such officer would not receive any bonus under the plan.</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Committee also approved a compensation plan for our sales executives, including Gary Rackow, a named executive officer, for 2010 that is materially consistent with his compensation program for the prior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February 25, 2010, as in the prior year, the Committee also granted to all named executive officers performance-based options that will only vest if pre-defined performance metrics tied to EBITDA levels based on our 2010 operating plan are realized. If these performance metrics are not met, no performance-based options will vest and no shares will be issued to the named executive officers. The maximum number of shares for each named executive officer potentially issuable pursuant to these performance-based options is as follows:</w:t>
      </w:r>
    </w:p>
    <w:p>
      <w:pPr>
        <w:spacing w:after="0" w:line="17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40" w:type="dxa"/>
            <w:vAlign w:val="bottom"/>
            <w:gridSpan w:val="2"/>
          </w:tcPr>
          <w:p>
            <w:pPr>
              <w:spacing w:after="0"/>
              <w:rPr>
                <w:sz w:val="20"/>
                <w:szCs w:val="20"/>
                <w:color w:val="auto"/>
              </w:rPr>
            </w:pPr>
            <w:r>
              <w:rPr>
                <w:rFonts w:ascii="Arial" w:cs="Arial" w:eastAsia="Arial" w:hAnsi="Arial"/>
                <w:sz w:val="14"/>
                <w:szCs w:val="14"/>
                <w:b w:val="1"/>
                <w:bCs w:val="1"/>
                <w:color w:val="auto"/>
                <w:w w:val="92"/>
              </w:rPr>
              <w:t>Named Executive Officer</w:t>
            </w:r>
          </w:p>
        </w:tc>
        <w:tc>
          <w:tcPr>
            <w:tcW w:w="62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Maximum Performance Shares</w:t>
            </w:r>
          </w:p>
        </w:tc>
      </w:tr>
      <w:tr>
        <w:trPr>
          <w:trHeight w:val="210"/>
        </w:trPr>
        <w:tc>
          <w:tcPr>
            <w:tcW w:w="20" w:type="dxa"/>
            <w:vAlign w:val="bottom"/>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Jim Clishem</w:t>
            </w:r>
          </w:p>
        </w:tc>
        <w:tc>
          <w:tcPr>
            <w:tcW w:w="4400" w:type="dxa"/>
            <w:vAlign w:val="bottom"/>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780,000</w:t>
            </w: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John Penver</w:t>
            </w:r>
          </w:p>
        </w:tc>
        <w:tc>
          <w:tcPr>
            <w:tcW w:w="6220" w:type="dxa"/>
            <w:vAlign w:val="bottom"/>
            <w:gridSpan w:val="2"/>
          </w:tcPr>
          <w:p>
            <w:pPr>
              <w:jc w:val="right"/>
              <w:spacing w:after="0"/>
              <w:rPr>
                <w:sz w:val="20"/>
                <w:szCs w:val="20"/>
                <w:color w:val="auto"/>
              </w:rPr>
            </w:pPr>
            <w:r>
              <w:rPr>
                <w:rFonts w:ascii="Arial" w:cs="Arial" w:eastAsia="Arial" w:hAnsi="Arial"/>
                <w:sz w:val="18"/>
                <w:szCs w:val="18"/>
                <w:color w:val="auto"/>
              </w:rPr>
              <w:t>390,000</w:t>
            </w: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Lisa Brown</w:t>
            </w:r>
          </w:p>
        </w:tc>
        <w:tc>
          <w:tcPr>
            <w:tcW w:w="6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210,000</w:t>
            </w:r>
          </w:p>
        </w:tc>
      </w:tr>
      <w:tr>
        <w:trPr>
          <w:trHeight w:val="222"/>
        </w:trPr>
        <w:tc>
          <w:tcPr>
            <w:tcW w:w="2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Gary Rackow</w:t>
            </w:r>
          </w:p>
        </w:tc>
        <w:tc>
          <w:tcPr>
            <w:tcW w:w="6220" w:type="dxa"/>
            <w:vAlign w:val="bottom"/>
            <w:gridSpan w:val="2"/>
          </w:tcPr>
          <w:p>
            <w:pPr>
              <w:jc w:val="right"/>
              <w:spacing w:after="0"/>
              <w:rPr>
                <w:sz w:val="20"/>
                <w:szCs w:val="20"/>
                <w:color w:val="auto"/>
              </w:rPr>
            </w:pPr>
            <w:r>
              <w:rPr>
                <w:rFonts w:ascii="Arial" w:cs="Arial" w:eastAsia="Arial" w:hAnsi="Arial"/>
                <w:sz w:val="18"/>
                <w:szCs w:val="18"/>
                <w:color w:val="auto"/>
              </w:rPr>
              <w:t>180,000</w:t>
            </w:r>
          </w:p>
        </w:tc>
      </w:tr>
    </w:tbl>
    <w:p>
      <w:pPr>
        <w:spacing w:after="0" w:line="14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Any performance options that become eligible for vesting upon the achievement of the performance metrics will vest over three years, with 50% of any eligible options vesting on the one-year anniversary of the date of grant and 25% of any eligible options vesting in each of the following two years.</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performance options granted by the Committee in 2009 did not vest because the Company failed to achieve the minimum EBITDA level required for vesting.</w:t>
      </w:r>
    </w:p>
    <w:p>
      <w:pPr>
        <w:sectPr>
          <w:pgSz w:w="11900" w:h="16838" w:orient="portrait"/>
          <w:cols w:equalWidth="0" w:num="1">
            <w:col w:w="11380"/>
          </w:cols>
          <w:pgMar w:left="240" w:top="274"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5560" w:val="left"/>
          <w:tab w:leader="none" w:pos="7840" w:val="left"/>
          <w:tab w:leader="none" w:pos="8180" w:val="left"/>
        </w:tabs>
        <w:rPr>
          <w:sz w:val="20"/>
          <w:szCs w:val="20"/>
          <w:color w:val="auto"/>
        </w:rPr>
      </w:pPr>
      <w:r>
        <w:rPr>
          <w:rFonts w:ascii="Arial" w:cs="Arial" w:eastAsia="Arial" w:hAnsi="Arial"/>
          <w:sz w:val="18"/>
          <w:szCs w:val="18"/>
          <w:color w:val="auto"/>
        </w:rPr>
        <w:t>Date: March 3,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P</w:t>
      </w:r>
      <w:r>
        <w:rPr>
          <w:rFonts w:ascii="Arial" w:cs="Arial" w:eastAsia="Arial" w:hAnsi="Arial"/>
          <w:sz w:val="13"/>
          <w:szCs w:val="13"/>
          <w:color w:val="auto"/>
        </w:rPr>
        <w:t>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John Penver</w:t>
      </w:r>
    </w:p>
    <w:p>
      <w:pPr>
        <w:jc w:val="center"/>
        <w:ind w:left="5960"/>
        <w:spacing w:after="0"/>
        <w:rPr>
          <w:sz w:val="20"/>
          <w:szCs w:val="20"/>
          <w:color w:val="auto"/>
        </w:rPr>
      </w:pPr>
      <w:r>
        <w:rPr>
          <w:rFonts w:ascii="Arial" w:cs="Arial" w:eastAsia="Arial" w:hAnsi="Arial"/>
          <w:sz w:val="14"/>
          <w:szCs w:val="14"/>
          <w:b w:val="1"/>
          <w:bCs w:val="1"/>
          <w:color w:val="auto"/>
        </w:rPr>
        <w:t>Chief Financial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2019-12-10T15:55:56Z</dcterms:created>
  <dcterms:modified xsi:type="dcterms:W3CDTF">2019-12-10T15:55:56Z</dcterms:modified>
</cp:coreProperties>
</file>