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176530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ACTIVE POWER,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000-30939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bl>
      <w:tblPr>
        <w:tblLayout w:type="fixed"/>
        <w:tblInd w:w="0" w:type="dxa"/>
        <w:tblCellMar>
          <w:top w:w="0" w:type="dxa"/>
          <w:left w:w="0" w:type="dxa"/>
          <w:bottom w:w="0" w:type="dxa"/>
          <w:right w:w="0" w:type="dxa"/>
        </w:tblCellMar>
      </w:tblPr>
      <w:tr>
        <w:trPr>
          <w:trHeight w:val="194"/>
        </w:trPr>
        <w:tc>
          <w:tcPr>
            <w:tcW w:w="7640" w:type="dxa"/>
            <w:vAlign w:val="bottom"/>
          </w:tcPr>
          <w:p>
            <w:pPr>
              <w:jc w:val="center"/>
              <w:ind w:right="2024"/>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Delaware</w:t>
            </w:r>
          </w:p>
        </w:tc>
        <w:tc>
          <w:tcPr>
            <w:tcW w:w="3780" w:type="dxa"/>
            <w:vAlign w:val="bottom"/>
          </w:tcPr>
          <w:p>
            <w:pPr>
              <w:jc w:val="right"/>
              <w:ind w:right="2282"/>
              <w:spacing w:after="0" w:line="194" w:lineRule="exact"/>
              <w:rPr>
                <w:sz w:val="20"/>
                <w:szCs w:val="20"/>
                <w:color w:val="auto"/>
              </w:rPr>
            </w:pPr>
            <w:r>
              <w:rPr>
                <w:rFonts w:ascii="Times New Roman" w:cs="Times New Roman" w:eastAsia="Times New Roman" w:hAnsi="Times New Roman"/>
                <w:sz w:val="18"/>
                <w:szCs w:val="18"/>
                <w:b w:val="1"/>
                <w:bCs w:val="1"/>
                <w:color w:val="auto"/>
              </w:rPr>
              <w:t>74-2961657</w:t>
            </w:r>
          </w:p>
        </w:tc>
      </w:tr>
      <w:tr>
        <w:trPr>
          <w:trHeight w:val="178"/>
        </w:trPr>
        <w:tc>
          <w:tcPr>
            <w:tcW w:w="764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w w:val="96"/>
              </w:rPr>
              <w:t>(State of Other Jurisdiction of Incorporation)</w:t>
            </w:r>
          </w:p>
        </w:tc>
        <w:tc>
          <w:tcPr>
            <w:tcW w:w="37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402"/>
        </w:trPr>
        <w:tc>
          <w:tcPr>
            <w:tcW w:w="7640" w:type="dxa"/>
            <w:vAlign w:val="bottom"/>
          </w:tcPr>
          <w:p>
            <w:pPr>
              <w:jc w:val="center"/>
              <w:ind w:right="2024"/>
              <w:spacing w:after="0"/>
              <w:rPr>
                <w:sz w:val="20"/>
                <w:szCs w:val="20"/>
                <w:color w:val="auto"/>
              </w:rPr>
            </w:pPr>
            <w:r>
              <w:rPr>
                <w:rFonts w:ascii="Times New Roman" w:cs="Times New Roman" w:eastAsia="Times New Roman" w:hAnsi="Times New Roman"/>
                <w:sz w:val="18"/>
                <w:szCs w:val="18"/>
                <w:b w:val="1"/>
                <w:bCs w:val="1"/>
                <w:color w:val="auto"/>
                <w:w w:val="96"/>
              </w:rPr>
              <w:t>2128 W. Braker Lane, BK12, Austin, Texas</w:t>
            </w:r>
          </w:p>
        </w:tc>
        <w:tc>
          <w:tcPr>
            <w:tcW w:w="3780" w:type="dxa"/>
            <w:vAlign w:val="bottom"/>
          </w:tcPr>
          <w:p>
            <w:pPr>
              <w:jc w:val="right"/>
              <w:ind w:right="2482"/>
              <w:spacing w:after="0"/>
              <w:rPr>
                <w:sz w:val="20"/>
                <w:szCs w:val="20"/>
                <w:color w:val="auto"/>
              </w:rPr>
            </w:pPr>
            <w:r>
              <w:rPr>
                <w:rFonts w:ascii="Times New Roman" w:cs="Times New Roman" w:eastAsia="Times New Roman" w:hAnsi="Times New Roman"/>
                <w:sz w:val="18"/>
                <w:szCs w:val="18"/>
                <w:b w:val="1"/>
                <w:bCs w:val="1"/>
                <w:color w:val="auto"/>
              </w:rPr>
              <w:t>78758</w:t>
            </w:r>
          </w:p>
        </w:tc>
      </w:tr>
      <w:tr>
        <w:trPr>
          <w:trHeight w:val="178"/>
        </w:trPr>
        <w:tc>
          <w:tcPr>
            <w:tcW w:w="764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80" w:type="dxa"/>
            <w:vAlign w:val="bottom"/>
          </w:tcPr>
          <w:p>
            <w:pPr>
              <w:jc w:val="center"/>
              <w:ind w:right="168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35"/>
        </w:trPr>
        <w:tc>
          <w:tcPr>
            <w:tcW w:w="7640" w:type="dxa"/>
            <w:vAlign w:val="bottom"/>
          </w:tcPr>
          <w:p>
            <w:pPr>
              <w:jc w:val="center"/>
              <w:ind w:left="3704"/>
              <w:spacing w:after="0"/>
              <w:rPr>
                <w:sz w:val="20"/>
                <w:szCs w:val="20"/>
                <w:color w:val="auto"/>
              </w:rPr>
            </w:pPr>
            <w:r>
              <w:rPr>
                <w:rFonts w:ascii="Times New Roman" w:cs="Times New Roman" w:eastAsia="Times New Roman" w:hAnsi="Times New Roman"/>
                <w:sz w:val="18"/>
                <w:szCs w:val="18"/>
                <w:b w:val="1"/>
                <w:bCs w:val="1"/>
                <w:color w:val="auto"/>
                <w:w w:val="97"/>
              </w:rPr>
              <w:t>(512) 836-6464</w:t>
            </w:r>
          </w:p>
        </w:tc>
        <w:tc>
          <w:tcPr>
            <w:tcW w:w="3780" w:type="dxa"/>
            <w:vAlign w:val="bottom"/>
          </w:tcPr>
          <w:p>
            <w:pPr>
              <w:spacing w:after="0"/>
              <w:rPr>
                <w:sz w:val="24"/>
                <w:szCs w:val="24"/>
                <w:color w:val="auto"/>
              </w:rPr>
            </w:pPr>
          </w:p>
        </w:tc>
      </w:tr>
      <w:tr>
        <w:trPr>
          <w:trHeight w:val="178"/>
        </w:trPr>
        <w:tc>
          <w:tcPr>
            <w:tcW w:w="7640" w:type="dxa"/>
            <w:vAlign w:val="bottom"/>
          </w:tcPr>
          <w:p>
            <w:pPr>
              <w:jc w:val="center"/>
              <w:ind w:left="3704"/>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3780" w:type="dxa"/>
            <w:vAlign w:val="bottom"/>
          </w:tcPr>
          <w:p>
            <w:pPr>
              <w:spacing w:after="0"/>
              <w:rPr>
                <w:sz w:val="15"/>
                <w:szCs w:val="15"/>
                <w:color w:val="auto"/>
              </w:rPr>
            </w:pPr>
          </w:p>
        </w:tc>
      </w:tr>
      <w:tr>
        <w:trPr>
          <w:trHeight w:val="446"/>
        </w:trPr>
        <w:tc>
          <w:tcPr>
            <w:tcW w:w="7640" w:type="dxa"/>
            <w:vAlign w:val="bottom"/>
          </w:tcPr>
          <w:p>
            <w:pPr>
              <w:jc w:val="center"/>
              <w:ind w:left="3704"/>
              <w:spacing w:after="0"/>
              <w:rPr>
                <w:sz w:val="20"/>
                <w:szCs w:val="20"/>
                <w:color w:val="auto"/>
              </w:rPr>
            </w:pPr>
            <w:r>
              <w:rPr>
                <w:rFonts w:ascii="Times New Roman" w:cs="Times New Roman" w:eastAsia="Times New Roman" w:hAnsi="Times New Roman"/>
                <w:sz w:val="14"/>
                <w:szCs w:val="14"/>
                <w:b w:val="1"/>
                <w:bCs w:val="1"/>
                <w:color w:val="auto"/>
                <w:w w:val="96"/>
              </w:rPr>
              <w:t>(Former Name or Former Address, if Changed Since Last Report)</w:t>
            </w:r>
          </w:p>
        </w:tc>
        <w:tc>
          <w:tcPr>
            <w:tcW w:w="3780" w:type="dxa"/>
            <w:vAlign w:val="bottom"/>
          </w:tcPr>
          <w:p>
            <w:pPr>
              <w:spacing w:after="0"/>
              <w:rPr>
                <w:sz w:val="24"/>
                <w:szCs w:val="24"/>
                <w:color w:val="auto"/>
              </w:rPr>
            </w:pPr>
          </w:p>
        </w:tc>
      </w:tr>
      <w:tr>
        <w:trPr>
          <w:trHeight w:val="254"/>
        </w:trPr>
        <w:tc>
          <w:tcPr>
            <w:tcW w:w="76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 Results of Operations and Financial Condition</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January 22, 2004, Active Power, Inc. issued a press release reporting its results of operations for its fiscal quarter ended December 31, 2003. A copy of the press release is furnished herewith as Exhibit 99.1 and incorporated by reference herein.</w:t>
      </w:r>
    </w:p>
    <w:p>
      <w:pPr>
        <w:spacing w:after="0" w:line="10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information furnished in this Item 12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2" w:right="3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Registrant has duly caused this report to be signed on its behalf by the undersigned hereunto duly authorized.</w:t>
      </w:r>
    </w:p>
    <w:p>
      <w:pPr>
        <w:spacing w:after="0" w:line="10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27" w:lineRule="exact"/>
        <w:rPr>
          <w:sz w:val="20"/>
          <w:szCs w:val="20"/>
          <w:color w:val="auto"/>
        </w:rPr>
      </w:pPr>
    </w:p>
    <w:p>
      <w:pPr>
        <w:spacing w:after="0"/>
        <w:tabs>
          <w:tab w:leader="none" w:pos="5680" w:val="left"/>
          <w:tab w:leader="none" w:pos="6260" w:val="left"/>
        </w:tabs>
        <w:rPr>
          <w:sz w:val="20"/>
          <w:szCs w:val="20"/>
          <w:color w:val="auto"/>
        </w:rPr>
      </w:pPr>
      <w:r>
        <w:rPr>
          <w:rFonts w:ascii="Times New Roman" w:cs="Times New Roman" w:eastAsia="Times New Roman" w:hAnsi="Times New Roman"/>
          <w:sz w:val="18"/>
          <w:szCs w:val="18"/>
          <w:color w:val="auto"/>
        </w:rPr>
        <w:t>Dated: January 22, 2004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83820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Joseph F. Pinkerton, III</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240" w:top="272"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w w:val="96"/>
              </w:rPr>
              <w:t>EXHIBIT INDEX</w:t>
            </w:r>
          </w:p>
        </w:tc>
      </w:tr>
      <w:tr>
        <w:trPr>
          <w:trHeight w:val="31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54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9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r>
      <w:tr>
        <w:trPr>
          <w:trHeight w:val="424"/>
        </w:trPr>
        <w:tc>
          <w:tcPr>
            <w:tcW w:w="96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99.1</w:t>
            </w:r>
          </w:p>
        </w:tc>
        <w:tc>
          <w:tcPr>
            <w:tcW w:w="54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Press Release of Active Power, Inc. dated January 22, 2004</w:t>
            </w:r>
          </w:p>
        </w:tc>
      </w:tr>
    </w:tbl>
    <w:p>
      <w:pPr>
        <w:ind w:left="840"/>
        <w:spacing w:after="0"/>
        <w:rPr>
          <w:sz w:val="20"/>
          <w:szCs w:val="20"/>
          <w:color w:val="auto"/>
        </w:rPr>
        <w:sectPr>
          <w:pgSz w:w="11900" w:h="16838" w:orient="portrait"/>
          <w:cols w:equalWidth="0" w:num="1">
            <w:col w:w="10219"/>
          </w:cols>
          <w:pgMar w:left="240" w:top="272"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Press Release of Active Power, Inc. dated January 22, 2004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[ACTIVE POWER LOGO]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ANNOUNCES FOURTH QUARTER RESULTS</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AUSTIN, Texas (January 22, 2004) — Active Power, Inc. (NASDAQ: ACPW) today announced results for its fourth quarter ended December 31, 2003. Total revenues for the fourth quarter of fiscal 2003 were $2.4 million, down 19% sequentially from the third quarter 2003. Product revenues for the quarter increased 17% from the same period in the prior year. There was no development contract revenue for the quarter ended December 31, 2003, as compared with $1.0 million for the same period last year, resulting in a 21% reduction in total revenue.</w:t>
      </w:r>
    </w:p>
    <w:p>
      <w:pPr>
        <w:spacing w:after="0" w:line="12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fourth quarter, the company received its largest order to date, worth approximately $3.5 million, from a large industrial paper manufacturer. Active Power recognized $344 thousand of revenue from this order in the fourth quarter. Approximately $1.3 million of additional equipment was shipped against this order during the fourth quarter, but was not recognized due to the terms and conditions of the sale. The company believes it will recognize revenue for those shipments in the first quarter of 2004, and anticipates the balance of the contract will be fulfilled over the remainder of 2004.</w:t>
      </w:r>
    </w:p>
    <w:p>
      <w:pPr>
        <w:spacing w:after="0" w:line="12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loss for the fourth quarter of 2003 was $4.4 million, or 10 cents per share, compared to a net loss of $5.1 million, or 12 cents per share, for the previous quarter and a net loss of $8.0 million, or 19 cents per share, for the same period last year. Consumption of cash and investments for the quarter was $4.0 million, as compared to $4.5 million for the previous quarter and $4.0 million for the same period last year. Cash and investments at December 31, 2003 were $72.2 million.</w:t>
      </w:r>
    </w:p>
    <w:p>
      <w:pPr>
        <w:spacing w:after="0" w:line="12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team’s hard work over the past several quarters is starting to pay off in the form of improved fundamentals,” said Joe Pinkerton, Chairman and CEO of Active Power. “Relative to the fourth quarter of last year, we increased product revenue by 17%, improved product gross margins by 63 percentage points and lowered our net loss by 45%.”</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released a major new product in each of the last three quarters, rounding out our core flywheel-UPS line. Our engineering team also made great strides in the development of our 15-minute runtime product. We built, tested and demonstrated an early prototype of this system to several customers in 2003, and have now shifted our focus from technology validation to product development. We plan to ship alpha units to customers in the fourth quarter of this year. Most UPS systems under 100 kVA are sold</w:t>
      </w:r>
    </w:p>
    <w:p>
      <w:pPr>
        <w:sectPr>
          <w:pgSz w:w="11900" w:h="16838" w:orient="portrait"/>
          <w:cols w:equalWidth="0" w:num="1">
            <w:col w:w="11420"/>
          </w:cols>
          <w:pgMar w:left="240" w:top="12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a backup generator and our new 15-minute product will allow us to penetrate this mainstream market with a cost-competitive battery-free solution.”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Business Highlights:</w:t>
      </w:r>
    </w:p>
    <w:p>
      <w:pPr>
        <w:spacing w:after="0" w:line="77" w:lineRule="exact"/>
        <w:rPr>
          <w:sz w:val="20"/>
          <w:szCs w:val="20"/>
          <w:color w:val="auto"/>
        </w:rPr>
      </w:pPr>
    </w:p>
    <w:p>
      <w:pPr>
        <w:ind w:left="800" w:right="280" w:hanging="346"/>
        <w:spacing w:after="0" w:line="275"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our largest single order to date and began shipping equipment against that order. We continue to make inroads into burgeoning industrial areas with poor power quality.</w:t>
      </w:r>
    </w:p>
    <w:p>
      <w:pPr>
        <w:spacing w:after="0" w:line="25" w:lineRule="exact"/>
        <w:rPr>
          <w:rFonts w:ascii="Times New Roman" w:cs="Times New Roman" w:eastAsia="Times New Roman" w:hAnsi="Times New Roman"/>
          <w:sz w:val="18"/>
          <w:szCs w:val="18"/>
          <w:color w:val="auto"/>
        </w:rPr>
      </w:pPr>
    </w:p>
    <w:p>
      <w:pPr>
        <w:ind w:left="800" w:right="20" w:hanging="346"/>
        <w:spacing w:after="0" w:line="275"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Furthered our government sales efforts with the installation of several units at government sites and benefited from the recent publication of a Federal Technology Alert by the U.S. Department of Energy touting the advantages of flywheel-based UPS systems for federal facilities.</w:t>
      </w:r>
    </w:p>
    <w:p>
      <w:pPr>
        <w:spacing w:after="0" w:line="25" w:lineRule="exact"/>
        <w:rPr>
          <w:rFonts w:ascii="Times New Roman" w:cs="Times New Roman" w:eastAsia="Times New Roman" w:hAnsi="Times New Roman"/>
          <w:sz w:val="18"/>
          <w:szCs w:val="18"/>
          <w:color w:val="auto"/>
        </w:rPr>
      </w:pPr>
    </w:p>
    <w:p>
      <w:pPr>
        <w:ind w:left="800" w:right="440" w:hanging="346"/>
        <w:spacing w:after="0" w:line="231"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Shipped our first 1000 kVA UPS to Europe, our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new product shipment in the last 3 quarters. This unit will be used to protect critical medical equipment at a hospital facility in Belgium.</w:t>
      </w:r>
    </w:p>
    <w:p>
      <w:pPr>
        <w:spacing w:after="0" w:line="56" w:lineRule="exact"/>
        <w:rPr>
          <w:rFonts w:ascii="Times New Roman" w:cs="Times New Roman" w:eastAsia="Times New Roman" w:hAnsi="Times New Roman"/>
          <w:sz w:val="18"/>
          <w:szCs w:val="18"/>
          <w:color w:val="auto"/>
        </w:rPr>
      </w:pPr>
    </w:p>
    <w:p>
      <w:pPr>
        <w:jc w:val="both"/>
        <w:ind w:left="800" w:right="20" w:hanging="346"/>
        <w:spacing w:after="0" w:line="262"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product gross margins for the third consecutive quarter. Product gross margins increased by 63 percentage points in Q4, as compared to the same period last year, to (17%) due to increased volume, engineering driven product design savings and reduced manufacturing staffing and spending levels.</w:t>
      </w:r>
    </w:p>
    <w:p>
      <w:pPr>
        <w:spacing w:after="0" w:line="37"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the first 1200 kVA unit, which has been running and protecting its critical load for over 2,000 hours.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Outlook:</w:t>
      </w:r>
    </w:p>
    <w:p>
      <w:pPr>
        <w:spacing w:after="0" w:line="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Active Power expects Q1 2004 revenue to increase to approximately $4.5 to $5.0 million, and Q1 earnings per share to be a loss of approximately 10 to 12 cents. We expect consumption of cash and investments in Q1 to be in the range of $4.0 million to $5.0 million. The anticipated increase in consumption of cash and investments from Q4 2003 to Q1 2004 is due to expected changes in 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79"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color w:val="auto"/>
        </w:rPr>
        <w:t>The Company will host a conference call today, Thursday, January 22, at 11:00 a.m. Eastern Time, to further review the Company’s fiscal Q4 results. A replay of the webcast will be available until February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Investors may access the live broadcast and replay through our web site: </w:t>
      </w:r>
      <w:r>
        <w:rPr>
          <w:rFonts w:ascii="Times New Roman" w:cs="Times New Roman" w:eastAsia="Times New Roman" w:hAnsi="Times New Roman"/>
          <w:sz w:val="18"/>
          <w:szCs w:val="18"/>
          <w:u w:val="single" w:color="auto"/>
          <w:color w:val="auto"/>
        </w:rPr>
        <w:t>www.activepower.com</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Active Power:</w:t>
      </w:r>
    </w:p>
    <w:p>
      <w:pPr>
        <w:spacing w:after="0" w:line="79" w:lineRule="exact"/>
        <w:rPr>
          <w:sz w:val="20"/>
          <w:szCs w:val="20"/>
          <w:color w:val="auto"/>
        </w:rPr>
      </w:pPr>
    </w:p>
    <w:p>
      <w:pPr>
        <w:ind w:right="160"/>
        <w:spacing w:after="0" w:line="324" w:lineRule="auto"/>
        <w:rPr>
          <w:sz w:val="20"/>
          <w:szCs w:val="20"/>
          <w:color w:val="auto"/>
        </w:rPr>
      </w:pPr>
      <w:r>
        <w:rPr>
          <w:rFonts w:ascii="Times New Roman" w:cs="Times New Roman" w:eastAsia="Times New Roman" w:hAnsi="Times New Roman"/>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color w:val="auto"/>
        </w:rPr>
        <w:t xml:space="preserve"> that provides a highly reliable, low-cost and non-toxic replacement for lead-acid batteries used in conventional power quality installations.</w:t>
      </w:r>
    </w:p>
    <w:p>
      <w:pPr>
        <w:spacing w:after="0" w:line="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competition; delays in research and development; dependence on sole or limited source suppliers; inability to increase product sales; inventory risks; dependence upon key personnel; inability to protect our intellectual property rights, including the possibility of an adverse outcome in the litigation in which we are currently engaged; potential future acquisitions;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27"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Active Power and our Active Power logo and CleanSource are registered trademarks of Active Power, Inc. </w:t>
      </w:r>
      <w:r>
        <w:rPr>
          <w:rFonts w:ascii="Times New Roman" w:cs="Times New Roman" w:eastAsia="Times New Roman" w:hAnsi="Times New Roman"/>
          <w:sz w:val="18"/>
          <w:szCs w:val="18"/>
          <w:color w:val="auto"/>
        </w:rPr>
        <w:t>All other trademarks are the properties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companies.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Power Contacts: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Michael Chibib, Investors, 512.744.9453, </w:t>
      </w:r>
      <w:r>
        <w:rPr>
          <w:rFonts w:ascii="Times New Roman" w:cs="Times New Roman" w:eastAsia="Times New Roman" w:hAnsi="Times New Roman"/>
          <w:sz w:val="18"/>
          <w:szCs w:val="18"/>
          <w:u w:val="single" w:color="auto"/>
          <w:color w:val="auto"/>
        </w:rPr>
        <w:t>mchibib@activepower.com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Derek Jones, Corporate Communications, 512.744.9210, </w:t>
      </w:r>
      <w:r>
        <w:rPr>
          <w:rFonts w:ascii="Times New Roman" w:cs="Times New Roman" w:eastAsia="Times New Roman" w:hAnsi="Times New Roman"/>
          <w:sz w:val="18"/>
          <w:szCs w:val="18"/>
          <w:u w:val="single" w:color="auto"/>
          <w:color w:val="auto"/>
        </w:rPr>
        <w:t>djones@activepower.com</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(thousands, except for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Twelve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8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 revenue</w:t>
            </w: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Development contract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development contract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Restructuring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deferred stock compensation</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11,588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Pr>
          <w:p>
            <w:pPr>
              <w:spacing w:after="0"/>
              <w:rPr>
                <w:sz w:val="24"/>
                <w:szCs w:val="24"/>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8"/>
              </w:rPr>
              <w:t>(8,535)</w:t>
            </w: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4"/>
              </w:rPr>
              <w:t>(23,578)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(30,718)</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to common shareholders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24"/>
                <w:szCs w:val="24"/>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8"/>
              </w:rPr>
              <w:t>(7,962)</w:t>
            </w: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4"/>
              </w:rPr>
              <w:t>(21,703)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(27,623)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42,092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41,589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loss to common shareholders per share – basic &amp; diluted</w:t>
            </w: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2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-669290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-669290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-669290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-669290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-669290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-669290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-669290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-669290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-669290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-669290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-669290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-669290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5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&amp; investments</w:t>
            </w:r>
          </w:p>
        </w:tc>
        <w:tc>
          <w:tcPr>
            <w:tcW w:w="50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72,164</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5020" w:type="dxa"/>
            <w:vAlign w:val="bottom"/>
            <w:gridSpan w:val="2"/>
            <w:shd w:val="clear" w:color="auto" w:fill="CCEEFF"/>
          </w:tcPr>
          <w:p>
            <w:pPr>
              <w:ind w:left="48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4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0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20" w:type="dxa"/>
            <w:vAlign w:val="bottom"/>
            <w:gridSpan w:val="2"/>
            <w:shd w:val="clear" w:color="auto" w:fill="CCEEFF"/>
          </w:tcPr>
          <w:p>
            <w:pPr>
              <w:ind w:left="48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880" w:type="dxa"/>
            <w:vAlign w:val="bottom"/>
            <w:vMerge w:val="restart"/>
          </w:tcPr>
          <w:p>
            <w:pPr>
              <w:jc w:val="right"/>
              <w:ind w:right="337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80" w:type="dxa"/>
            <w:vAlign w:val="bottom"/>
          </w:tcPr>
          <w:p>
            <w:pPr>
              <w:jc w:val="right"/>
              <w:ind w:right="345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-2101215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-2101215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-2101215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-2101215</wp:posOffset>
            </wp:positionV>
            <wp:extent cx="50165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-557530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2019-12-14T16:15:12Z</dcterms:created>
  <dcterms:modified xsi:type="dcterms:W3CDTF">2019-12-14T16:15:12Z</dcterms:modified>
</cp:coreProperties>
</file>