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18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Corsi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13,465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4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13,465</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3"/>
                <w:szCs w:val="13"/>
                <w:color w:val="0000FF"/>
              </w:rPr>
              <w:t>02/14/2035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13,465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4,560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4,560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4,560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13,465 stock options, which will vest ratably on the second, third, fourth and fifth anniversaries of the grant date, provided that the reporting person remains in continuous service with the Issuer through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4,560 RSUs, all of which will vest on the first anniversary of the grant date, provided that the reporting person remains in continuous service with the Issuer through such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42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Andrew</w:t>
      </w:r>
      <w:r>
        <w:rPr>
          <w:sz w:val="20"/>
          <w:szCs w:val="20"/>
          <w:color w:val="auto"/>
        </w:rPr>
        <w:tab/>
      </w:r>
      <w:r>
        <w:rPr>
          <w:rFonts w:ascii="Times New Roman" w:cs="Times New Roman" w:eastAsia="Times New Roman" w:hAnsi="Times New Roman"/>
          <w:sz w:val="16"/>
          <w:szCs w:val="16"/>
          <w:color w:val="0000FF"/>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Corsi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0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050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1132"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2025-02-19T17:41:23Z</dcterms:created>
  <dcterms:modified xsi:type="dcterms:W3CDTF">2025-02-19T17:41:23Z</dcterms:modified>
</cp:coreProperties>
</file>