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243" w:lineRule="exact"/>
        <w:rPr>
          <w:sz w:val="24"/>
          <w:szCs w:val="24"/>
          <w:color w:val="auto"/>
        </w:rPr>
      </w:pPr>
    </w:p>
    <w:p>
      <w:pPr>
        <w:sectPr>
          <w:pgSz w:w="11900" w:h="1691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Blatherwick Nell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42" w:lineRule="exact"/>
        <w:rPr>
          <w:sz w:val="24"/>
          <w:szCs w:val="24"/>
          <w:color w:val="auto"/>
        </w:rPr>
      </w:pPr>
    </w:p>
    <w:p>
      <w:pPr>
        <w:sectPr>
          <w:pgSz w:w="11900" w:h="16910"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7"/>
            <w:vMerge w:val="restart"/>
          </w:tcPr>
          <w:p>
            <w:pPr>
              <w:jc w:val="center"/>
              <w:ind w:right="3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3680" w:type="dxa"/>
            <w:vAlign w:val="bottom"/>
            <w:gridSpan w:val="7"/>
            <w:vMerge w:val="continue"/>
          </w:tcPr>
          <w:p>
            <w:pPr>
              <w:spacing w:after="0" w:line="20" w:lineRule="exact"/>
              <w:rPr>
                <w:sz w:val="1"/>
                <w:szCs w:val="1"/>
                <w:color w:val="auto"/>
              </w:rPr>
            </w:pPr>
          </w:p>
        </w:tc>
        <w:tc>
          <w:tcPr>
            <w:tcW w:w="364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8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9"/>
              </w:rPr>
              <w:t>4,318</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86,761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9"/>
              </w:rPr>
              <w:t>1,495</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85,266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(2)</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9"/>
              </w:rPr>
              <w:t>8,815</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64,440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(2)</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9"/>
              </w:rPr>
              <w:t>3,014</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61,426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(3)</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33,392</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151,076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(3)</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10,065</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141,011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(4)</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16,696</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68,774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(4)</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9"/>
              </w:rPr>
              <w:t>7,397</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61,377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(5)</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63,330</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121,274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(5)</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15,700</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105,574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(6)</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63,330</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1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388,330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(6)</w:t>
            </w:r>
          </w:p>
        </w:tc>
        <w:tc>
          <w:tcPr>
            <w:tcW w:w="186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03/04/2025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w w:val="98"/>
              </w:rPr>
              <w:t>18,835</w:t>
            </w:r>
          </w:p>
        </w:tc>
        <w:tc>
          <w:tcPr>
            <w:tcW w:w="62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369,495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jc w:val="center"/>
              <w:ind w:right="4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9"/>
              </w:rPr>
              <w:t>4,318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rPr>
              <w:t>4,318</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2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9"/>
              </w:rPr>
              <w:t>8,815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rPr>
              <w:t>8,815</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2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33,392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33,392</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2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16,696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16,696</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2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63,330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63,330</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2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Borders>
              <w:bottom w:val="single" w:sz="8" w:color="808080"/>
            </w:tcBorders>
            <w:gridSpan w:val="2"/>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(5)</w:t>
            </w: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11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-3500120</wp:posOffset>
            </wp:positionV>
            <wp:extent cx="29210" cy="350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00755"/>
                    </a:xfrm>
                    <a:prstGeom prst="rect">
                      <a:avLst/>
                    </a:prstGeom>
                    <a:noFill/>
                  </pic:spPr>
                </pic:pic>
              </a:graphicData>
            </a:graphic>
          </wp:anchor>
        </w:drawing>
      </w:r>
    </w:p>
    <w:p>
      <w:pPr>
        <w:sectPr>
          <w:pgSz w:w="11900" w:h="16910"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5"/>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63,330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140" w:type="dxa"/>
            <w:vAlign w:val="bottom"/>
            <w:gridSpan w:val="5"/>
          </w:tcPr>
          <w:p>
            <w:pPr>
              <w:ind w:left="28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2"/>
                <w:szCs w:val="12"/>
                <w:color w:val="auto"/>
              </w:rPr>
            </w:pPr>
          </w:p>
        </w:tc>
        <w:tc>
          <w:tcPr>
            <w:tcW w:w="72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63,330</w:t>
            </w:r>
          </w:p>
        </w:tc>
        <w:tc>
          <w:tcPr>
            <w:tcW w:w="8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03/04/2025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4"/>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(6)</w:t>
            </w: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10"/>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Blatherwick Nell M.</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Nelson Andrew Rowan</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Charles K. Huebner Trust</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13"/>
          </w:tcPr>
          <w:p>
            <w:pPr>
              <w:spacing w:after="0" w:line="219"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Thomas P. Danis, Jr. Revocable Living Trust</w:t>
              </w:r>
            </w:hyperlink>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Borders>
              <w:top w:val="single" w:sz="8" w:color="0000EE"/>
            </w:tcBorders>
            <w:gridSpan w:val="8"/>
          </w:tcPr>
          <w:p>
            <w:pPr>
              <w:spacing w:after="0" w:line="212"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dated March 10, 2003</w:t>
              </w:r>
            </w:hyperlink>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13"/>
          </w:tcPr>
          <w:p>
            <w:pPr>
              <w:spacing w:after="0" w:line="219"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Jon I. Madorsky Revocable Trust dated December</w:t>
              </w:r>
            </w:hyperlink>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0" w:type="dxa"/>
            <w:vAlign w:val="bottom"/>
            <w:gridSpan w:val="5"/>
          </w:tcPr>
          <w:p>
            <w:pPr>
              <w:ind w:left="120"/>
              <w:spacing w:after="0" w:line="212" w:lineRule="exact"/>
              <w:rPr>
                <w:rFonts w:ascii="Times New Roman" w:cs="Times New Roman" w:eastAsia="Times New Roman" w:hAnsi="Times New Roman"/>
                <w:sz w:val="21"/>
                <w:szCs w:val="21"/>
                <w:color w:val="0000EE"/>
                <w:w w:val="98"/>
              </w:rPr>
            </w:pPr>
            <w:hyperlink r:id="rId20">
              <w:r>
                <w:rPr>
                  <w:rFonts w:ascii="Times New Roman" w:cs="Times New Roman" w:eastAsia="Times New Roman" w:hAnsi="Times New Roman"/>
                  <w:sz w:val="21"/>
                  <w:szCs w:val="21"/>
                  <w:color w:val="0000EE"/>
                  <w:w w:val="98"/>
                </w:rPr>
                <w:t>1, 2008</w:t>
              </w:r>
            </w:hyperlink>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191" w:right="359" w:bottom="0" w:gutter="0" w:footer="0" w:header="0"/>
        </w:sect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8"/>
                <w:szCs w:val="18"/>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Abell Alexander I.</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-2153920</wp:posOffset>
            </wp:positionV>
            <wp:extent cx="2809240" cy="2232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2232025"/>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N. Blatherwick.</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Nelson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C. Huebner</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T. Danis.</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J. Madorsky.</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Abell.</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008000"/>
        </w:rPr>
        <w:t>This Form 4 is being filed on behalf of (i) Nell M. Blatherwick, (ii) Andrew R. Nelson, (iii) the Charles K. Huebner Trust and Charles K. Huebner, (iv) the Thomas P. Danis Revocable Living Trust and Thomas P. Danis, (v) the Jon I. Madorsky Revocable Trust and Jon I. Madorsky, and (vi) Alexander I. Abell (collectively, the "Reporting Persons"). The Reporting Persons may be deemed to be members of a Section 13(d) group that collectively beneficially owns more than 10% of the Issuer's Common Stock.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pacing w:after="0" w:line="5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21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03/06/2025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30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0835" cy="8255"/>
                    </a:xfrm>
                    <a:prstGeom prst="rect">
                      <a:avLst/>
                    </a:prstGeom>
                    <a:noFill/>
                  </pic:spPr>
                </pic:pic>
              </a:graphicData>
            </a:graphic>
          </wp:anchor>
        </w:drawing>
      </w:r>
    </w:p>
    <w:p>
      <w:pPr>
        <w:spacing w:after="0" w:line="3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888782" TargetMode="External"/><Relationship Id="rId14" Type="http://schemas.openxmlformats.org/officeDocument/2006/relationships/hyperlink" Target="http://www.sec.gov/cgi-bin/browse-edgar?action=getcompany&amp;CIK=0001841968" TargetMode="External"/><Relationship Id="rId17" Type="http://schemas.openxmlformats.org/officeDocument/2006/relationships/hyperlink" Target="http://www.sec.gov/cgi-bin/browse-edgar?action=getcompany&amp;CIK=0001889330" TargetMode="External"/><Relationship Id="rId18" Type="http://schemas.openxmlformats.org/officeDocument/2006/relationships/hyperlink" Target="http://www.sec.gov/cgi-bin/browse-edgar?action=getcompany&amp;CIK=0001971324" TargetMode="External"/><Relationship Id="rId19" Type="http://schemas.openxmlformats.org/officeDocument/2006/relationships/hyperlink" Target="http://www.sec.gov/cgi-bin/browse-edgar?action=getcompany&amp;CIK=0001889693" TargetMode="External"/><Relationship Id="rId20" Type="http://schemas.openxmlformats.org/officeDocument/2006/relationships/hyperlink" Target="http://www.sec.gov/cgi-bin/browse-edgar?action=getcompany&amp;CIK=0001895437" TargetMode="External"/><Relationship Id="rId21" Type="http://schemas.openxmlformats.org/officeDocument/2006/relationships/hyperlink" Target="http://www.sec.gov/cgi-bin/browse-edgar?action=getcompany&amp;CIK=000188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2025-03-06T19:17:36Z</dcterms:created>
  <dcterms:modified xsi:type="dcterms:W3CDTF">2025-03-06T19:17:36Z</dcterms:modified>
</cp:coreProperties>
</file>