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P10,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69376K106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Adam W. Finerman,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BakerHostetler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45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New York 10111</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589-4233</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November 20, 2024</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 240.13d-1(e), 240.13d-1(f) or 240.13d-1(g), check the following box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2" w:lineRule="exact"/>
        <w:rPr>
          <w:sz w:val="24"/>
          <w:szCs w:val="24"/>
          <w:color w:val="auto"/>
        </w:rPr>
      </w:pPr>
    </w:p>
    <w:p>
      <w:pPr>
        <w:ind w:left="4" w:right="1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13D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CUSIP No. 69376K106</w:t>
      </w:r>
    </w:p>
    <w:p>
      <w:pPr>
        <w:spacing w:after="0" w:line="266" w:lineRule="exact"/>
        <w:rPr>
          <w:sz w:val="20"/>
          <w:szCs w:val="20"/>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 Capital,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9,667,397</w:t>
      </w:r>
    </w:p>
    <w:p>
      <w:pPr>
        <w:spacing w:after="0" w:line="36" w:lineRule="exact"/>
        <w:rPr>
          <w:sz w:val="20"/>
          <w:szCs w:val="20"/>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210/P10 Acquisition Partners,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9,667,397</w:t>
      </w:r>
    </w:p>
    <w:p>
      <w:pPr>
        <w:spacing w:after="0" w:line="36" w:lineRule="exact"/>
        <w:rPr>
          <w:sz w:val="20"/>
          <w:szCs w:val="20"/>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CCW/LAW Holdings, LLC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7"/>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9,667,397</w:t>
      </w:r>
    </w:p>
    <w:p>
      <w:pPr>
        <w:spacing w:after="0" w:line="36" w:lineRule="exact"/>
        <w:rPr>
          <w:sz w:val="20"/>
          <w:szCs w:val="20"/>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RHA Partners, L.P.</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9,667,397</w:t>
      </w:r>
    </w:p>
    <w:p>
      <w:pPr>
        <w:spacing w:after="0" w:line="36" w:lineRule="exact"/>
        <w:rPr>
          <w:sz w:val="20"/>
          <w:szCs w:val="20"/>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1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RHA Investments, Inc.</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216" w:lineRule="exact"/>
        <w:rPr>
          <w:sz w:val="20"/>
          <w:szCs w:val="20"/>
          <w:color w:val="auto"/>
        </w:rPr>
      </w:pPr>
    </w:p>
    <w:tbl>
      <w:tblPr>
        <w:tblLayout w:type="fixed"/>
        <w:tblInd w:w="164" w:type="dxa"/>
        <w:tblCellMar>
          <w:top w:w="0" w:type="dxa"/>
          <w:left w:w="0" w:type="dxa"/>
          <w:bottom w:w="0" w:type="dxa"/>
          <w:right w:w="0" w:type="dxa"/>
        </w:tblCellMar>
      </w:tblP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19"/>
                <w:szCs w:val="19"/>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0</w:t>
            </w:r>
          </w:p>
        </w:tc>
        <w:tc>
          <w:tcPr>
            <w:tcW w:w="0" w:type="dxa"/>
            <w:vAlign w:val="bottom"/>
          </w:tcPr>
          <w:p>
            <w:pPr>
              <w:spacing w:after="0"/>
              <w:rPr>
                <w:sz w:val="1"/>
                <w:szCs w:val="1"/>
                <w:color w:val="auto"/>
              </w:rPr>
            </w:pPr>
          </w:p>
        </w:tc>
      </w:tr>
      <w:tr>
        <w:trPr>
          <w:trHeight w:val="180"/>
        </w:trPr>
        <w:tc>
          <w:tcPr>
            <w:tcW w:w="1280" w:type="dxa"/>
            <w:vAlign w:val="bottom"/>
          </w:tcPr>
          <w:p>
            <w:pPr>
              <w:jc w:val="center"/>
              <w:spacing w:after="0" w:line="160"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5"/>
                <w:szCs w:val="15"/>
                <w:color w:val="auto"/>
              </w:rPr>
            </w:pPr>
          </w:p>
        </w:tc>
        <w:tc>
          <w:tcPr>
            <w:tcW w:w="9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280" w:type="dxa"/>
            <w:vAlign w:val="bottom"/>
          </w:tcPr>
          <w:p>
            <w:pPr>
              <w:spacing w:after="0"/>
              <w:rPr>
                <w:sz w:val="20"/>
                <w:szCs w:val="20"/>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9,667,397</w:t>
      </w:r>
    </w:p>
    <w:p>
      <w:pPr>
        <w:spacing w:after="0" w:line="36" w:lineRule="exact"/>
        <w:rPr>
          <w:sz w:val="20"/>
          <w:szCs w:val="20"/>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1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9,667,397 </w:t>
      </w:r>
      <w:r>
        <w:rPr>
          <w:rFonts w:ascii="Times New Roman" w:cs="Times New Roman" w:eastAsia="Times New Roman" w:hAnsi="Times New Roman"/>
          <w:sz w:val="26"/>
          <w:szCs w:val="26"/>
          <w:color w:val="auto"/>
          <w:vertAlign w:val="superscript"/>
        </w:rPr>
        <w:t>(2)</w:t>
      </w: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19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15.0%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5"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w:t>
      </w:r>
    </w:p>
    <w:p>
      <w:pPr>
        <w:sectPr>
          <w:pgSz w:w="11900" w:h="16838" w:orient="portrait"/>
          <w:cols w:equalWidth="0" w:num="1">
            <w:col w:w="10984"/>
          </w:cols>
          <w:pgMar w:left="436" w:top="266"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Alpert</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137"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764,121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764,121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9,667,397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10,431,518</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16.1%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 plus (iv) 425,093 shares of Class A common stock underlying stock options held by Mr. Alpert that are exercisable as of the date hereof.</w:t>
      </w:r>
    </w:p>
    <w:p>
      <w:pPr>
        <w:sectPr>
          <w:pgSz w:w="11900" w:h="16838" w:orient="portrait"/>
          <w:cols w:equalWidth="0" w:num="1">
            <w:col w:w="10984"/>
          </w:cols>
          <w:pgMar w:left="436" w:top="266" w:right="479" w:bottom="1440" w:gutter="0" w:footer="0" w:header="0"/>
        </w:sectPr>
      </w:pPr>
    </w:p>
    <w:bookmarkStart w:id="7" w:name="page8"/>
    <w:bookmarkEnd w:id="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266" w:lineRule="exact"/>
        <w:rPr>
          <w:sz w:val="20"/>
          <w:szCs w:val="20"/>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1  </w:t>
      </w:r>
      <w:r>
        <w:rPr>
          <w:rFonts w:ascii="Times New Roman" w:cs="Times New Roman" w:eastAsia="Times New Roman" w:hAnsi="Times New Roman"/>
          <w:sz w:val="17"/>
          <w:szCs w:val="17"/>
          <w:color w:val="auto"/>
        </w:rPr>
        <w:t xml:space="preserve">  NAMES OF REPORTING PERSONS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Clark Webb</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2  </w:t>
      </w:r>
      <w:r>
        <w:rPr>
          <w:rFonts w:ascii="Times New Roman" w:cs="Times New Roman" w:eastAsia="Times New Roman" w:hAnsi="Times New Roman"/>
          <w:sz w:val="17"/>
          <w:szCs w:val="17"/>
          <w:color w:val="auto"/>
        </w:rPr>
        <w:t xml:space="preserve">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-563880</wp:posOffset>
            </wp:positionV>
            <wp:extent cx="6926580" cy="6111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18" w:lineRule="exact"/>
        <w:rPr>
          <w:sz w:val="20"/>
          <w:szCs w:val="20"/>
          <w:color w:val="auto"/>
        </w:rPr>
      </w:pPr>
    </w:p>
    <w:p>
      <w:pPr>
        <w:ind w:left="524"/>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2" w:lineRule="exact"/>
        <w:rPr>
          <w:sz w:val="20"/>
          <w:szCs w:val="20"/>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3  </w:t>
      </w:r>
      <w:r>
        <w:rPr>
          <w:rFonts w:ascii="Times New Roman" w:cs="Times New Roman" w:eastAsia="Times New Roman" w:hAnsi="Times New Roman"/>
          <w:sz w:val="17"/>
          <w:szCs w:val="17"/>
          <w:color w:val="auto"/>
        </w:rPr>
        <w:t xml:space="preserve">  SEC USE ONLY</w:t>
      </w:r>
    </w:p>
    <w:p>
      <w:pPr>
        <w:spacing w:after="0" w:line="290" w:lineRule="exact"/>
        <w:rPr>
          <w:rFonts w:ascii="Times New Roman" w:cs="Times New Roman" w:eastAsia="Times New Roman" w:hAnsi="Times New Roman"/>
          <w:sz w:val="17"/>
          <w:szCs w:val="17"/>
          <w:b w:val="1"/>
          <w:bCs w:val="1"/>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4  </w:t>
      </w:r>
      <w:r>
        <w:rPr>
          <w:rFonts w:ascii="Times New Roman" w:cs="Times New Roman" w:eastAsia="Times New Roman" w:hAnsi="Times New Roman"/>
          <w:sz w:val="17"/>
          <w:szCs w:val="17"/>
          <w:color w:val="auto"/>
        </w:rPr>
        <w:t xml:space="preserve">  SOURCE OF FUNDS (See Instructions)</w:t>
      </w:r>
    </w:p>
    <w:p>
      <w:pPr>
        <w:spacing w:after="0" w:line="267"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2"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5  </w:t>
      </w:r>
      <w:r>
        <w:rPr>
          <w:rFonts w:ascii="Times New Roman" w:cs="Times New Roman" w:eastAsia="Times New Roman" w:hAnsi="Times New Roman"/>
          <w:sz w:val="17"/>
          <w:szCs w:val="17"/>
          <w:color w:val="auto"/>
        </w:rPr>
        <w:t xml:space="preserve">  CHECK IF DISCLOSURE OF LEGAL PROCEEDINGS IS REQUIRED PURSUANT TO ITEMS 2(D) OR 2(E)</w:t>
      </w:r>
    </w:p>
    <w:p>
      <w:pPr>
        <w:spacing w:after="0" w:line="226" w:lineRule="exact"/>
        <w:rPr>
          <w:rFonts w:ascii="Times New Roman" w:cs="Times New Roman" w:eastAsia="Times New Roman" w:hAnsi="Times New Roman"/>
          <w:sz w:val="17"/>
          <w:szCs w:val="17"/>
          <w:b w:val="1"/>
          <w:bCs w:val="1"/>
          <w:color w:val="auto"/>
        </w:rPr>
      </w:pPr>
    </w:p>
    <w:p>
      <w:pPr>
        <w:ind w:left="624" w:hanging="98"/>
        <w:spacing w:after="0" w:line="207" w:lineRule="exact"/>
        <w:tabs>
          <w:tab w:leader="none" w:pos="624"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244" w:hanging="87"/>
        <w:spacing w:after="0"/>
        <w:tabs>
          <w:tab w:leader="none" w:pos="244"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6  </w:t>
      </w:r>
      <w:r>
        <w:rPr>
          <w:rFonts w:ascii="Times New Roman" w:cs="Times New Roman" w:eastAsia="Times New Roman" w:hAnsi="Times New Roman"/>
          <w:sz w:val="17"/>
          <w:szCs w:val="17"/>
          <w:color w:val="auto"/>
        </w:rPr>
        <w:t xml:space="preserve">  CITIZENSHIP OR PLACE OF ORGANIZATION</w:t>
      </w:r>
    </w:p>
    <w:p>
      <w:pPr>
        <w:spacing w:after="0" w:line="244" w:lineRule="exact"/>
        <w:rPr>
          <w:rFonts w:ascii="Times New Roman" w:cs="Times New Roman" w:eastAsia="Times New Roman" w:hAnsi="Times New Roman"/>
          <w:sz w:val="17"/>
          <w:szCs w:val="17"/>
          <w:b w:val="1"/>
          <w:bCs w:val="1"/>
          <w:color w:val="auto"/>
        </w:rPr>
      </w:pPr>
    </w:p>
    <w:p>
      <w:pPr>
        <w:ind w:left="624" w:hanging="98"/>
        <w:spacing w:after="0"/>
        <w:tabs>
          <w:tab w:leader="none" w:pos="62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2" w:lineRule="exact"/>
        <w:rPr>
          <w:rFonts w:ascii="Times New Roman" w:cs="Times New Roman" w:eastAsia="Times New Roman" w:hAnsi="Times New Roman"/>
          <w:sz w:val="18"/>
          <w:szCs w:val="18"/>
          <w:color w:val="auto"/>
        </w:rPr>
      </w:pPr>
    </w:p>
    <w:p>
      <w:pPr>
        <w:ind w:left="1644" w:hanging="92"/>
        <w:spacing w:after="0"/>
        <w:tabs>
          <w:tab w:leader="none" w:pos="1644" w:val="left"/>
        </w:tabs>
        <w:numPr>
          <w:ilvl w:val="2"/>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 xml:space="preserve">  SOLE VOTING POWER</w:t>
      </w:r>
    </w:p>
    <w:p>
      <w:pPr>
        <w:spacing w:after="0" w:line="137" w:lineRule="exact"/>
        <w:rPr>
          <w:sz w:val="20"/>
          <w:szCs w:val="20"/>
          <w:color w:val="auto"/>
        </w:rPr>
      </w:pPr>
    </w:p>
    <w:tbl>
      <w:tblPr>
        <w:tblLayout w:type="fixed"/>
        <w:tblInd w:w="164" w:type="dxa"/>
        <w:tblCellMar>
          <w:top w:w="0" w:type="dxa"/>
          <w:left w:w="0" w:type="dxa"/>
          <w:bottom w:w="0" w:type="dxa"/>
          <w:right w:w="0" w:type="dxa"/>
        </w:tblCellMar>
      </w:tblPr>
      <w:tr>
        <w:trPr>
          <w:trHeight w:val="299"/>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00" w:type="dxa"/>
            <w:vAlign w:val="bottom"/>
          </w:tcPr>
          <w:p>
            <w:pPr>
              <w:spacing w:after="0"/>
              <w:rPr>
                <w:sz w:val="24"/>
                <w:szCs w:val="24"/>
                <w:color w:val="auto"/>
              </w:rPr>
            </w:pP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400" w:type="dxa"/>
            <w:vAlign w:val="bottom"/>
            <w:tcBorders>
              <w:bottom w:val="single" w:sz="8" w:color="auto"/>
            </w:tcBorders>
          </w:tcPr>
          <w:p>
            <w:pPr>
              <w:spacing w:after="0"/>
              <w:rPr>
                <w:sz w:val="5"/>
                <w:szCs w:val="5"/>
                <w:color w:val="auto"/>
              </w:rPr>
            </w:pPr>
          </w:p>
        </w:tc>
        <w:tc>
          <w:tcPr>
            <w:tcW w:w="90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280" w:type="dxa"/>
            <w:vAlign w:val="bottom"/>
            <w:vMerge w:val="continue"/>
          </w:tcPr>
          <w:p>
            <w:pPr>
              <w:spacing w:after="0"/>
              <w:rPr>
                <w:sz w:val="10"/>
                <w:szCs w:val="10"/>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8</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10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00" w:type="dxa"/>
            <w:vAlign w:val="bottom"/>
            <w:vMerge w:val="continue"/>
          </w:tcPr>
          <w:p>
            <w:pPr>
              <w:spacing w:after="0"/>
              <w:rPr>
                <w:sz w:val="9"/>
                <w:szCs w:val="9"/>
                <w:color w:val="auto"/>
              </w:rPr>
            </w:pPr>
          </w:p>
        </w:tc>
        <w:tc>
          <w:tcPr>
            <w:tcW w:w="9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78,673,970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400" w:type="dxa"/>
            <w:vAlign w:val="bottom"/>
            <w:tcBorders>
              <w:bottom w:val="single" w:sz="8" w:color="auto"/>
            </w:tcBorders>
          </w:tcPr>
          <w:p>
            <w:pPr>
              <w:spacing w:after="0"/>
              <w:rPr>
                <w:sz w:val="10"/>
                <w:szCs w:val="10"/>
                <w:color w:val="auto"/>
              </w:rPr>
            </w:pPr>
          </w:p>
        </w:tc>
        <w:tc>
          <w:tcPr>
            <w:tcW w:w="90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vMerge w:val="continue"/>
          </w:tcPr>
          <w:p>
            <w:pPr>
              <w:spacing w:after="0"/>
              <w:rPr>
                <w:sz w:val="6"/>
                <w:szCs w:val="6"/>
                <w:color w:val="auto"/>
              </w:rPr>
            </w:pPr>
          </w:p>
        </w:tc>
        <w:tc>
          <w:tcPr>
            <w:tcW w:w="4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  9</w:t>
            </w: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162"/>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00" w:type="dxa"/>
            <w:vAlign w:val="bottom"/>
            <w:vMerge w:val="continue"/>
          </w:tcPr>
          <w:p>
            <w:pPr>
              <w:spacing w:after="0"/>
              <w:rPr>
                <w:sz w:val="14"/>
                <w:szCs w:val="14"/>
                <w:color w:val="auto"/>
              </w:rPr>
            </w:pPr>
          </w:p>
        </w:tc>
        <w:tc>
          <w:tcPr>
            <w:tcW w:w="9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28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400" w:type="dxa"/>
            <w:vAlign w:val="bottom"/>
          </w:tcPr>
          <w:p>
            <w:pPr>
              <w:spacing w:after="0"/>
              <w:rPr>
                <w:sz w:val="18"/>
                <w:szCs w:val="18"/>
                <w:color w:val="auto"/>
              </w:rPr>
            </w:pPr>
          </w:p>
        </w:tc>
        <w:tc>
          <w:tcPr>
            <w:tcW w:w="9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  425,093 </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4"/>
        </w:trPr>
        <w:tc>
          <w:tcPr>
            <w:tcW w:w="12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WITH</w:t>
            </w:r>
          </w:p>
        </w:tc>
        <w:tc>
          <w:tcPr>
            <w:tcW w:w="400" w:type="dxa"/>
            <w:vAlign w:val="bottom"/>
            <w:tcBorders>
              <w:bottom w:val="single" w:sz="8" w:color="auto"/>
            </w:tcBorders>
          </w:tcPr>
          <w:p>
            <w:pPr>
              <w:spacing w:after="0"/>
              <w:rPr>
                <w:sz w:val="16"/>
                <w:szCs w:val="16"/>
                <w:color w:val="auto"/>
              </w:rPr>
            </w:pPr>
          </w:p>
        </w:tc>
        <w:tc>
          <w:tcPr>
            <w:tcW w:w="9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4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10</w:t>
            </w:r>
          </w:p>
        </w:tc>
        <w:tc>
          <w:tcPr>
            <w:tcW w:w="9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964"/>
        <w:spacing w:after="0"/>
        <w:rPr>
          <w:sz w:val="20"/>
          <w:szCs w:val="20"/>
          <w:color w:val="auto"/>
        </w:rPr>
      </w:pPr>
      <w:r>
        <w:rPr>
          <w:rFonts w:ascii="Times New Roman" w:cs="Times New Roman" w:eastAsia="Times New Roman" w:hAnsi="Times New Roman"/>
          <w:sz w:val="18"/>
          <w:szCs w:val="18"/>
          <w:color w:val="auto"/>
        </w:rPr>
        <w:t xml:space="preserve">  9,667,397 </w:t>
      </w:r>
      <w:r>
        <w:rPr>
          <w:rFonts w:ascii="Times New Roman" w:cs="Times New Roman" w:eastAsia="Times New Roman" w:hAnsi="Times New Roman"/>
          <w:sz w:val="26"/>
          <w:szCs w:val="26"/>
          <w:color w:val="auto"/>
          <w:vertAlign w:val="superscript"/>
        </w:rPr>
        <w:t>(3)</w:t>
      </w: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AGGREGATE AMOUNT BENEFICIALLY OWNED BY EACH REPORTING PERSON</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10,092,490</w:t>
      </w:r>
    </w:p>
    <w:p>
      <w:pPr>
        <w:spacing w:after="0" w:line="3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CHECK BOX IF THE AGGREGATE AMOUNT IN ROW (11) EXCLUDES CERTAIN SHARES (See Instructions)</w:t>
      </w:r>
    </w:p>
    <w:p>
      <w:pPr>
        <w:spacing w:after="0" w:line="211" w:lineRule="exact"/>
        <w:rPr>
          <w:rFonts w:ascii="Times New Roman" w:cs="Times New Roman" w:eastAsia="Times New Roman" w:hAnsi="Times New Roman"/>
          <w:sz w:val="18"/>
          <w:szCs w:val="18"/>
          <w:b w:val="1"/>
          <w:bCs w:val="1"/>
          <w:color w:val="auto"/>
        </w:rPr>
      </w:pPr>
    </w:p>
    <w:p>
      <w:pPr>
        <w:ind w:left="624" w:hanging="98"/>
        <w:spacing w:after="0" w:line="207" w:lineRule="exact"/>
        <w:tabs>
          <w:tab w:leader="none" w:pos="624" w:val="left"/>
        </w:tabs>
        <w:numPr>
          <w:ilvl w:val="2"/>
          <w:numId w:val="2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PERCENT OF CLASS REPRESENTED BY AMOUNT IN ROW (11)</w:t>
      </w:r>
    </w:p>
    <w:p>
      <w:pPr>
        <w:spacing w:after="0" w:line="196"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26"/>
          <w:szCs w:val="26"/>
          <w:color w:val="auto"/>
          <w:vertAlign w:val="superscript"/>
        </w:rPr>
        <w:t>(4)</w:t>
      </w:r>
    </w:p>
    <w:p>
      <w:pPr>
        <w:ind w:left="524" w:hanging="367"/>
        <w:spacing w:after="0"/>
        <w:tabs>
          <w:tab w:leader="none" w:pos="524" w:val="left"/>
        </w:tabs>
        <w:numPr>
          <w:ilvl w:val="1"/>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TYPE OF REPORTING PERSON (See Instructions)</w:t>
      </w:r>
    </w:p>
    <w:p>
      <w:pPr>
        <w:spacing w:after="0" w:line="232" w:lineRule="exact"/>
        <w:rPr>
          <w:rFonts w:ascii="Times New Roman" w:cs="Times New Roman" w:eastAsia="Times New Roman" w:hAnsi="Times New Roman"/>
          <w:sz w:val="18"/>
          <w:szCs w:val="18"/>
          <w:b w:val="1"/>
          <w:bCs w:val="1"/>
          <w:color w:val="auto"/>
        </w:rPr>
      </w:pPr>
    </w:p>
    <w:p>
      <w:pPr>
        <w:ind w:left="624" w:hanging="98"/>
        <w:spacing w:after="0"/>
        <w:tabs>
          <w:tab w:leader="none" w:pos="624"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8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includes 425,093 shares of Class A common stock underlying stock options held by the Reporting Person that are exercisable within 60 days of the date hereof.</w:t>
      </w:r>
    </w:p>
    <w:p>
      <w:pPr>
        <w:ind w:left="424"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figure gives effect to the voting power of the Class B common stock, which entitles its holder to ten votes for each share held, until a Sunset becomes effective. A “Sunset” is triggered by any of the earlier of the following: (i) the Sunset Holders (as defined in the amended and restated certificate of incorporation of the Issuer (the “Charter”)) cease to maintain direct or indirect beneficial ownership of 10% of the outstanding shares of Class A Common Stock (determined assuming all outstanding shares of Class B Common Stock have been converted into Class A Common Stock), (ii) the Sunset Holders collectively cease to maintain direct or indirect beneficial ownership of at least 25% of the aggregate voting power of the outstanding shares of Common Stock, and (iii) upon the tenth anniversary of the effective date of the Charter.</w:t>
      </w:r>
    </w:p>
    <w:p>
      <w:pPr>
        <w:spacing w:after="0" w:line="2"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shares include: (i) 2,000,000 shares of Class A common stock; and (ii) 7,667,397 shares of Class B common stock, all of which may be deemed to be beneficially owned by each Reporting Person.</w:t>
      </w:r>
    </w:p>
    <w:p>
      <w:pPr>
        <w:ind w:left="424" w:hanging="424"/>
        <w:spacing w:after="0" w:line="253"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sum of (i) 54,850,578 shares of Class A common stock outstanding as of November 4, 2024, as reported on the Issuer’s Quarterly Report on Form 10-Q, filed on November 8, 2024, plus (ii) 2,000,000 shares of Class A common stock received by the Reporting Persons upon conversion of an equivalent number of shares Class B common stock effective November 20, 2024, plus (iii) 7,667,397 shares of Class B common stock that may be converted by the Reporting Persons into an equivalent number of shares of Class A common stock, plus (iv) 425,093 shares of Class A common stock underlying stock options held by Mr. Webb that are exercisable as of the date hereof.</w:t>
      </w:r>
    </w:p>
    <w:p>
      <w:pPr>
        <w:sectPr>
          <w:pgSz w:w="11900" w:h="16838" w:orient="portrait"/>
          <w:cols w:equalWidth="0" w:num="1">
            <w:col w:w="10984"/>
          </w:cols>
          <w:pgMar w:left="436" w:top="266" w:right="479" w:bottom="1440" w:gutter="0" w:footer="0" w:header="0"/>
        </w:sectPr>
      </w:pPr>
    </w:p>
    <w:bookmarkStart w:id="8" w:name="page9"/>
    <w:bookmarkEnd w:id="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69376K106</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This Amendment No. 3 to Schedule 13D (this “Amendment”) amends the items included herein that were contained in the Schedule 13D filed on December 20, 2023, as amended by Amendment No. 1 filed October 8, 2024, and Amendment No. 2 filed November 12, 2024 (the “Original Schedule 13D”, and together with this Amendment, this “Schedule 13D”) relating to shares of Class A common stock, par value $0.001 per shares, and shares of Class B common stock, par value $0.001 per shares, of P10, Inc., a Delaware corporation (the “Issuer”), filed by: (i) 210/P10 Acquisition Partners, LLC, a Texas limited liability company (“210/P10”); (ii) 210 Capital, LLC, a Delaware limited liability company (“210 Capital”); (iii) Covenant RHA Partners, L.P., a Texas limited partnership (“RHA Partners”); (iv) CCW/LAW Holdings, LLC, a Texas limited liability company (“CCW Holdings”); (v) RHA Investments, Inc., a Texas corporation (“RHA Investments”); (vi) Robert Alpert; and (vii) C. Clark Webb (each, a “Reporting Person” and collectively, the “Reporting Persons”).</w:t>
      </w:r>
    </w:p>
    <w:p>
      <w:pPr>
        <w:spacing w:after="0" w:line="192" w:lineRule="exact"/>
        <w:rPr>
          <w:sz w:val="20"/>
          <w:szCs w:val="20"/>
          <w:color w:val="auto"/>
        </w:rPr>
      </w:pPr>
    </w:p>
    <w:p>
      <w:pPr>
        <w:jc w:val="both"/>
        <w:ind w:left="4" w:right="380"/>
        <w:spacing w:after="0" w:line="289" w:lineRule="auto"/>
        <w:rPr>
          <w:sz w:val="20"/>
          <w:szCs w:val="20"/>
          <w:color w:val="auto"/>
        </w:rPr>
      </w:pPr>
      <w:r>
        <w:rPr>
          <w:rFonts w:ascii="Times New Roman" w:cs="Times New Roman" w:eastAsia="Times New Roman" w:hAnsi="Times New Roman"/>
          <w:sz w:val="17"/>
          <w:szCs w:val="17"/>
          <w:color w:val="auto"/>
        </w:rPr>
        <w:t>On November 20, 2024, the Reporting Persons effected sales that, in the aggregate, resulted in the disposition of beneficial ownership of an amount equal to one percent or more of the outstanding shares Class A common stock of the Issuer. This Amendment is being filed to, among other things, update the information regarding the beneficial ownership of the shares of Class A common stock of the Issuer held by the Reporting Persons.</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in the Original Schedule 13D.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Capitalized terms used but not defined in this Amendment shall have the same meanings ascribed to them in the Original Schedule 13D.</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in its entirety as follows:</w:t>
      </w:r>
    </w:p>
    <w:p>
      <w:pPr>
        <w:spacing w:after="0" w:line="131" w:lineRule="exact"/>
        <w:rPr>
          <w:sz w:val="20"/>
          <w:szCs w:val="20"/>
          <w:color w:val="auto"/>
        </w:rPr>
      </w:pPr>
    </w:p>
    <w:p>
      <w:pPr>
        <w:ind w:left="784" w:right="680" w:hanging="784"/>
        <w:spacing w:after="0" w:line="282" w:lineRule="auto"/>
        <w:tabs>
          <w:tab w:leader="none" w:pos="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 The information contained in rows 7, 8, 9, 10, 11 and 13 on the cover pages of this Schedule 13D (including the footnotes thereto) is incorporated by reference herein.</w:t>
      </w:r>
    </w:p>
    <w:p>
      <w:pPr>
        <w:spacing w:after="0" w:line="54" w:lineRule="exact"/>
        <w:rPr>
          <w:sz w:val="20"/>
          <w:szCs w:val="20"/>
          <w:color w:val="auto"/>
        </w:rPr>
      </w:pPr>
    </w:p>
    <w:p>
      <w:pPr>
        <w:ind w:left="784" w:right="100"/>
        <w:spacing w:after="0" w:line="266" w:lineRule="auto"/>
        <w:rPr>
          <w:sz w:val="20"/>
          <w:szCs w:val="20"/>
          <w:color w:val="auto"/>
        </w:rPr>
      </w:pPr>
      <w:r>
        <w:rPr>
          <w:rFonts w:ascii="Times New Roman" w:cs="Times New Roman" w:eastAsia="Times New Roman" w:hAnsi="Times New Roman"/>
          <w:sz w:val="18"/>
          <w:szCs w:val="18"/>
          <w:color w:val="auto"/>
        </w:rPr>
        <w:t>210/P10 is the direct beneficial holder of the 2,000,000 shares of Class A common stock and 7,667,397 shares of Class B common stock that may be deemed to be beneficially owned by each Reporting Person. The holders of Class B Common Stock may elect to convert on a one-for-one basis into Class A Common Stock at any time.</w:t>
      </w:r>
    </w:p>
    <w:p>
      <w:pPr>
        <w:spacing w:after="0" w:line="81" w:lineRule="exact"/>
        <w:rPr>
          <w:sz w:val="20"/>
          <w:szCs w:val="20"/>
          <w:color w:val="auto"/>
        </w:rPr>
      </w:pPr>
    </w:p>
    <w:p>
      <w:pPr>
        <w:ind w:left="784"/>
        <w:spacing w:after="0" w:line="273" w:lineRule="auto"/>
        <w:rPr>
          <w:sz w:val="20"/>
          <w:szCs w:val="20"/>
          <w:color w:val="auto"/>
        </w:rPr>
      </w:pPr>
      <w:r>
        <w:rPr>
          <w:rFonts w:ascii="Times New Roman" w:cs="Times New Roman" w:eastAsia="Times New Roman" w:hAnsi="Times New Roman"/>
          <w:sz w:val="17"/>
          <w:szCs w:val="17"/>
          <w:color w:val="auto"/>
        </w:rPr>
        <w:t>210/P10 is managed by its sole member, 210 Capital, which is managed by its members RHA Partners and CCW Holdings. Mr. Webb has the power to direct the affairs of CCW Holdings as its sole manager. In addition, RHA Partners is managed by its general partner RHA Investments, and Mr. Alpert has the power to direct the affairs of RHA Investments as its President and sole shareholder. Accordingly, each of 210 Capital, RHA Partners, CCW Holdings, RHA Investments, Mr. Alpert and Mr. Webb may be deemed to beneficially own such shares of Class B common stock. In addition, (i) Mr. Alpert directly holds 339,028 shares of Class A common stock and may be deemed to beneficially own an additional 425,093 shares of Class A common stock issuable upon exercise of exercisable stock options; and (ii) Mr. Webb may be deemed to beneficially own an additional 425,093 shares of Class A common stock issuable upon exercise of exercisable stock options.</w:t>
      </w:r>
    </w:p>
    <w:p>
      <w:pPr>
        <w:spacing w:after="0" w:line="77" w:lineRule="exact"/>
        <w:rPr>
          <w:sz w:val="20"/>
          <w:szCs w:val="20"/>
          <w:color w:val="auto"/>
        </w:rPr>
      </w:pPr>
    </w:p>
    <w:p>
      <w:pPr>
        <w:ind w:left="784" w:right="120"/>
        <w:spacing w:after="0" w:line="266" w:lineRule="auto"/>
        <w:rPr>
          <w:sz w:val="20"/>
          <w:szCs w:val="20"/>
          <w:color w:val="auto"/>
        </w:rPr>
      </w:pPr>
      <w:r>
        <w:rPr>
          <w:rFonts w:ascii="Times New Roman" w:cs="Times New Roman" w:eastAsia="Times New Roman" w:hAnsi="Times New Roman"/>
          <w:sz w:val="18"/>
          <w:szCs w:val="18"/>
          <w:color w:val="auto"/>
        </w:rPr>
        <w:t>However, each Reporting Person declares that neither the filing of this Schedule 13D nor anything herein shall be construed as an admission that such person is, for the purposes of Section 13(d) or 13(g) of the Exchange Act of 1934, as amended, the beneficial owner of any securities or rights to acquire securities directly held by any other Reporting Person covered by this Schedule 13D.</w:t>
      </w:r>
    </w:p>
    <w:p>
      <w:pPr>
        <w:spacing w:after="0" w:line="68" w:lineRule="exact"/>
        <w:rPr>
          <w:sz w:val="20"/>
          <w:szCs w:val="20"/>
          <w:color w:val="auto"/>
        </w:rPr>
      </w:pPr>
    </w:p>
    <w:p>
      <w:pPr>
        <w:jc w:val="both"/>
        <w:ind w:left="784" w:right="500" w:hanging="784"/>
        <w:spacing w:after="0" w:line="266" w:lineRule="auto"/>
        <w:tabs>
          <w:tab w:leader="none" w:pos="78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described herein and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none of the Reporting Persons have effected any transactions with respect to shares of Class A common stock or Class B common stock of the Issuer during the past 60 days or since the filing of the Original Schedule 13D, whichever is less.</w:t>
      </w:r>
    </w:p>
    <w:p>
      <w:pPr>
        <w:sectPr>
          <w:pgSz w:w="11900" w:h="16838" w:orient="portrait"/>
          <w:cols w:equalWidth="0" w:num="1">
            <w:col w:w="11004"/>
          </w:cols>
          <w:pgMar w:left="436" w:top="270" w:right="459" w:bottom="1440" w:gutter="0" w:footer="0" w:header="0"/>
        </w:sectPr>
      </w:pPr>
    </w:p>
    <w:bookmarkStart w:id="9" w:name="page10"/>
    <w:bookmarkEnd w:id="9"/>
    <w:p>
      <w:pPr>
        <w:jc w:val="both"/>
        <w:ind w:left="784" w:hanging="784"/>
        <w:spacing w:after="0" w:line="312" w:lineRule="auto"/>
        <w:tabs>
          <w:tab w:leader="none" w:pos="784"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other than the Reporting Persons is known to have the right to receive, or the power to direct the receipt of dividends from, or proceeds from the sale of, the shares of the Class A common stock or Class B common stock of the Issuer held by the Reporting Persons.</w:t>
      </w:r>
    </w:p>
    <w:p>
      <w:pPr>
        <w:spacing w:after="0" w:line="31" w:lineRule="exact"/>
        <w:rPr>
          <w:rFonts w:ascii="Times New Roman" w:cs="Times New Roman" w:eastAsia="Times New Roman" w:hAnsi="Times New Roman"/>
          <w:sz w:val="17"/>
          <w:szCs w:val="17"/>
          <w:color w:val="auto"/>
        </w:rPr>
      </w:pPr>
    </w:p>
    <w:p>
      <w:pPr>
        <w:ind w:left="784" w:hanging="784"/>
        <w:spacing w:after="0"/>
        <w:tabs>
          <w:tab w:leader="none" w:pos="78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644"/>
          </w:cols>
          <w:pgMar w:left="436" w:top="270" w:right="819" w:bottom="1440" w:gutter="0" w:footer="0" w:header="0"/>
        </w:sectPr>
      </w:pPr>
    </w:p>
    <w:bookmarkStart w:id="10" w:name="page11"/>
    <w:bookmarkEnd w:id="1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22, 2024</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210/P10 ACQUISITION PARTNERS,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210 Capital,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210 CAPITAL,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Covenant RHA Partners,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CCW/LAW Holdings,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CCW/LAW HOLDINGS,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COVENANT RHA PARTNERS,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RHA Investments,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Authorized Signatory</w:t>
      </w:r>
    </w:p>
    <w:p>
      <w:pPr>
        <w:spacing w:after="0" w:line="2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RHA INVESTMENTS,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Its:  President</w:t>
      </w:r>
    </w:p>
    <w:p>
      <w:pPr>
        <w:spacing w:after="0" w:line="24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ROBERT ALPERT</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 CLARK WEBB</w:t>
      </w:r>
    </w:p>
    <w:p>
      <w:pPr>
        <w:sectPr>
          <w:pgSz w:w="11900" w:h="16838" w:orient="portrait"/>
          <w:cols w:equalWidth="0" w:num="1">
            <w:col w:w="10900"/>
          </w:cols>
          <w:pgMar w:left="440" w:top="266" w:right="5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Appendix A</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For each Reporting Person listed below, the following table sets forth information regarding transactions involving shares of Class A common stock or Class B common stock of the Issuer effected during the 60 days ended November 22, 2024, including the aggregate number of shares acquired or disposed of, the date of the transaction, the price per share, the aggregate proceeds and where and how the transaction were effected.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2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Number and</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w:t>
            </w:r>
          </w:p>
        </w:tc>
        <w:tc>
          <w:tcPr>
            <w:tcW w:w="126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Type of shares of</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Class of</w:t>
            </w: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gridSpan w:val="2"/>
            <w:vMerge w:val="continue"/>
          </w:tcPr>
          <w:p>
            <w:pPr>
              <w:spacing w:after="0"/>
              <w:rPr>
                <w:sz w:val="12"/>
                <w:szCs w:val="12"/>
                <w:color w:val="auto"/>
              </w:rPr>
            </w:pPr>
          </w:p>
        </w:tc>
        <w:tc>
          <w:tcPr>
            <w:tcW w:w="1260" w:type="dxa"/>
            <w:vAlign w:val="bottom"/>
            <w:gridSpan w:val="2"/>
          </w:tcPr>
          <w:p>
            <w:pPr>
              <w:jc w:val="center"/>
              <w:ind w:right="141"/>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8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80" w:type="dxa"/>
            <w:vAlign w:val="bottom"/>
          </w:tcPr>
          <w:p>
            <w:pPr>
              <w:spacing w:after="0"/>
              <w:rPr>
                <w:sz w:val="12"/>
                <w:szCs w:val="12"/>
                <w:color w:val="auto"/>
              </w:rPr>
            </w:pPr>
          </w:p>
        </w:tc>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Where and How the Transaction</w:t>
            </w: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Reporting</w:t>
            </w:r>
          </w:p>
        </w:tc>
        <w:tc>
          <w:tcPr>
            <w:tcW w:w="1260" w:type="dxa"/>
            <w:vAlign w:val="bottom"/>
            <w:gridSpan w:val="2"/>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acquired or</w:t>
            </w:r>
          </w:p>
        </w:tc>
        <w:tc>
          <w:tcPr>
            <w:tcW w:w="7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Person</w:t>
            </w:r>
          </w:p>
        </w:tc>
        <w:tc>
          <w:tcPr>
            <w:tcW w:w="3140" w:type="dxa"/>
            <w:vAlign w:val="bottom"/>
          </w:tcPr>
          <w:p>
            <w:pPr>
              <w:spacing w:after="0"/>
              <w:rPr>
                <w:sz w:val="15"/>
                <w:szCs w:val="15"/>
                <w:color w:val="auto"/>
              </w:rPr>
            </w:pPr>
          </w:p>
        </w:tc>
        <w:tc>
          <w:tcPr>
            <w:tcW w:w="1260" w:type="dxa"/>
            <w:vAlign w:val="bottom"/>
            <w:gridSpan w:val="2"/>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(disposed)</w:t>
            </w:r>
          </w:p>
        </w:tc>
        <w:tc>
          <w:tcPr>
            <w:tcW w:w="7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Proceeds</w:t>
            </w:r>
          </w:p>
        </w:tc>
        <w:tc>
          <w:tcPr>
            <w:tcW w:w="80" w:type="dxa"/>
            <w:vAlign w:val="bottom"/>
          </w:tcPr>
          <w:p>
            <w:pPr>
              <w:spacing w:after="0"/>
              <w:rPr>
                <w:sz w:val="15"/>
                <w:szCs w:val="15"/>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was Effected</w:t>
            </w:r>
          </w:p>
        </w:tc>
        <w:tc>
          <w:tcPr>
            <w:tcW w:w="0" w:type="dxa"/>
            <w:vAlign w:val="bottom"/>
          </w:tcPr>
          <w:p>
            <w:pPr>
              <w:spacing w:after="0"/>
              <w:rPr>
                <w:sz w:val="1"/>
                <w:szCs w:val="1"/>
                <w:color w:val="auto"/>
              </w:rPr>
            </w:pPr>
          </w:p>
        </w:tc>
      </w:tr>
      <w:tr>
        <w:trPr>
          <w:trHeight w:val="203"/>
        </w:trPr>
        <w:tc>
          <w:tcPr>
            <w:tcW w:w="35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 Clark Webb</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(2,000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5"/>
              </w:rPr>
              <w:t>Class A</w:t>
            </w: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11/13/2024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5"/>
              </w:rPr>
              <w:t>12.0150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0.024</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M</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5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(21,723)</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11/13/2024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11.9433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0.259</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(98,277)</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11.9246</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(130,000)</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11/15/2024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12.0130</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(165,000)</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12.1317</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(202,000)</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11/19/2024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12.2047</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(800,000)</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11/20/2024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12.7773</w:t>
            </w:r>
          </w:p>
        </w:tc>
        <w:tc>
          <w:tcPr>
            <w:tcW w:w="1040" w:type="dxa"/>
            <w:vAlign w:val="bottom"/>
            <w:gridSpan w:val="5"/>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$ 10.222 M</w:t>
            </w:r>
          </w:p>
        </w:tc>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198"/>
        </w:trPr>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tcPr>
          <w:p>
            <w:pPr>
              <w:jc w:val="right"/>
              <w:ind w:right="81"/>
              <w:spacing w:after="0" w:line="198" w:lineRule="exact"/>
              <w:rPr>
                <w:sz w:val="20"/>
                <w:szCs w:val="20"/>
                <w:color w:val="auto"/>
              </w:rPr>
            </w:pPr>
            <w:r>
              <w:rPr>
                <w:rFonts w:ascii="Times New Roman" w:cs="Times New Roman" w:eastAsia="Times New Roman" w:hAnsi="Times New Roman"/>
                <w:sz w:val="18"/>
                <w:szCs w:val="18"/>
                <w:color w:val="auto"/>
              </w:rPr>
              <w:t>(2,000,000)</w:t>
            </w:r>
          </w:p>
        </w:tc>
        <w:tc>
          <w:tcPr>
            <w:tcW w:w="7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B</w:t>
            </w:r>
          </w:p>
        </w:tc>
        <w:tc>
          <w:tcPr>
            <w:tcW w:w="10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11/20/2024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3"/>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Voluntary conversion of Class B</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shares into Class A shares</w:t>
            </w:r>
          </w:p>
        </w:tc>
        <w:tc>
          <w:tcPr>
            <w:tcW w:w="0" w:type="dxa"/>
            <w:vAlign w:val="bottom"/>
          </w:tcPr>
          <w:p>
            <w:pPr>
              <w:spacing w:after="0"/>
              <w:rPr>
                <w:sz w:val="1"/>
                <w:szCs w:val="1"/>
                <w:color w:val="auto"/>
              </w:rPr>
            </w:pPr>
          </w:p>
        </w:tc>
      </w:tr>
      <w:tr>
        <w:trPr>
          <w:trHeight w:val="198"/>
        </w:trPr>
        <w:tc>
          <w:tcPr>
            <w:tcW w:w="35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shd w:val="clear" w:color="auto" w:fill="CCEEFF"/>
          </w:tcPr>
          <w:p>
            <w:pPr>
              <w:jc w:val="right"/>
              <w:ind w:right="141"/>
              <w:spacing w:after="0" w:line="198" w:lineRule="exact"/>
              <w:rPr>
                <w:sz w:val="20"/>
                <w:szCs w:val="20"/>
                <w:color w:val="auto"/>
              </w:rPr>
            </w:pPr>
            <w:r>
              <w:rPr>
                <w:rFonts w:ascii="Times New Roman" w:cs="Times New Roman" w:eastAsia="Times New Roman" w:hAnsi="Times New Roman"/>
                <w:sz w:val="18"/>
                <w:szCs w:val="18"/>
                <w:color w:val="auto"/>
              </w:rPr>
              <w:t>2,000,000</w:t>
            </w:r>
          </w:p>
        </w:tc>
        <w:tc>
          <w:tcPr>
            <w:tcW w:w="7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11/20/2024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N/A</w:t>
            </w:r>
          </w:p>
        </w:tc>
        <w:tc>
          <w:tcPr>
            <w:tcW w:w="2580" w:type="dxa"/>
            <w:vAlign w:val="bottom"/>
            <w:gridSpan w:val="2"/>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Voluntary conversion of Class B</w:t>
            </w:r>
          </w:p>
        </w:tc>
        <w:tc>
          <w:tcPr>
            <w:tcW w:w="0" w:type="dxa"/>
            <w:vAlign w:val="bottom"/>
          </w:tcPr>
          <w:p>
            <w:pPr>
              <w:spacing w:after="0"/>
              <w:rPr>
                <w:sz w:val="1"/>
                <w:szCs w:val="1"/>
                <w:color w:val="auto"/>
              </w:rPr>
            </w:pPr>
          </w:p>
        </w:tc>
      </w:tr>
      <w:tr>
        <w:trPr>
          <w:trHeight w:val="234"/>
        </w:trPr>
        <w:tc>
          <w:tcPr>
            <w:tcW w:w="42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shares into Class A shares</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210/P10</w:t>
            </w: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(333,000)</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11/21/2024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5"/>
              </w:rPr>
              <w:t>13.1941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(309,200)</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11/21/2024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13.5232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M</w:t>
            </w:r>
          </w:p>
        </w:tc>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r>
        <w:trPr>
          <w:trHeight w:val="198"/>
        </w:trPr>
        <w:tc>
          <w:tcPr>
            <w:tcW w:w="35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 Clark Webb</w:t>
            </w:r>
          </w:p>
        </w:tc>
        <w:tc>
          <w:tcPr>
            <w:tcW w:w="1260" w:type="dxa"/>
            <w:vAlign w:val="bottom"/>
            <w:gridSpan w:val="2"/>
          </w:tcPr>
          <w:p>
            <w:pPr>
              <w:jc w:val="right"/>
              <w:ind w:right="141"/>
              <w:spacing w:after="0" w:line="198" w:lineRule="exact"/>
              <w:rPr>
                <w:sz w:val="20"/>
                <w:szCs w:val="20"/>
                <w:color w:val="auto"/>
              </w:rPr>
            </w:pPr>
            <w:r>
              <w:rPr>
                <w:rFonts w:ascii="Times New Roman" w:cs="Times New Roman" w:eastAsia="Times New Roman" w:hAnsi="Times New Roman"/>
                <w:sz w:val="18"/>
                <w:szCs w:val="18"/>
                <w:color w:val="auto"/>
              </w:rPr>
              <w:t>10,000</w:t>
            </w:r>
          </w:p>
        </w:tc>
        <w:tc>
          <w:tcPr>
            <w:tcW w:w="7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11/21/2024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w w:val="95"/>
              </w:rPr>
              <w:t>13.6500</w:t>
            </w:r>
          </w:p>
        </w:tc>
        <w:tc>
          <w:tcPr>
            <w:tcW w:w="1040" w:type="dxa"/>
            <w:vAlign w:val="bottom"/>
            <w:gridSpan w:val="5"/>
          </w:tcPr>
          <w:p>
            <w:pPr>
              <w:ind w:left="80"/>
              <w:spacing w:after="0" w:line="198" w:lineRule="exact"/>
              <w:rPr>
                <w:sz w:val="20"/>
                <w:szCs w:val="20"/>
                <w:color w:val="auto"/>
              </w:rPr>
            </w:pPr>
            <w:r>
              <w:rPr>
                <w:rFonts w:ascii="Times New Roman" w:cs="Times New Roman" w:eastAsia="Times New Roman" w:hAnsi="Times New Roman"/>
                <w:sz w:val="18"/>
                <w:szCs w:val="18"/>
                <w:color w:val="auto"/>
              </w:rPr>
              <w:t>($ 0.137) M</w:t>
            </w:r>
          </w:p>
        </w:tc>
        <w:tc>
          <w:tcPr>
            <w:tcW w:w="258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Open market purchase</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(inadvertent trade not directed by</w:t>
            </w: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the Reporting Person)</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 Clark Webb</w:t>
            </w: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(37,350)</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Class 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11/22/2024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13.6329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0.512 M</w:t>
            </w:r>
          </w:p>
        </w:tc>
        <w:tc>
          <w:tcPr>
            <w:tcW w:w="2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Open market sale</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
      <w:numFmt w:val="bullet"/>
      <w:start w:val="1"/>
    </w:lvl>
    <w:lvl w:ilvl="1">
      <w:lvlJc w:val="left"/>
      <w:lvlText w:val=" "/>
      <w:numFmt w:val="bullet"/>
      <w:start w:val="1"/>
    </w:lvl>
  </w:abstractNum>
  <w:abstractNum w:abstractNumId="2">
    <w:nsid w:val="519B500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3">
    <w:nsid w:val="431BD7B7"/>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4">
    <w:nsid w:val="3F2DBA3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5">
    <w:nsid w:val="7C83E458"/>
    <w:multiLevelType w:val="hybridMultilevel"/>
    <w:lvl w:ilvl="0">
      <w:lvlJc w:val="left"/>
      <w:lvlText w:val=" "/>
      <w:numFmt w:val="bullet"/>
      <w:start w:val="1"/>
    </w:lvl>
    <w:lvl w:ilvl="1">
      <w:lvlJc w:val="left"/>
      <w:lvlText w:val=" "/>
      <w:numFmt w:val="bullet"/>
      <w:start w:val="1"/>
    </w:lvl>
  </w:abstractNum>
  <w:abstractNum w:abstractNumId="6">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7">
    <w:nsid w:val="62BBD95A"/>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8">
    <w:nsid w:val="436C6125"/>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9">
    <w:nsid w:val="628C895D"/>
    <w:multiLevelType w:val="hybridMultilevel"/>
    <w:lvl w:ilvl="0">
      <w:lvlJc w:val="left"/>
      <w:lvlText w:val=" "/>
      <w:numFmt w:val="bullet"/>
      <w:start w:val="1"/>
    </w:lvl>
    <w:lvl w:ilvl="1">
      <w:lvlJc w:val="left"/>
      <w:lvlText w:val=" "/>
      <w:numFmt w:val="bullet"/>
      <w:start w:val="1"/>
    </w:lvl>
  </w:abstractNum>
  <w:abstractNum w:abstractNumId="10">
    <w:nsid w:val="333AB105"/>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721DA317"/>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2">
    <w:nsid w:val="2443A858"/>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3">
    <w:nsid w:val="2D1D5AE9"/>
    <w:multiLevelType w:val="hybridMultilevel"/>
    <w:lvl w:ilvl="0">
      <w:lvlJc w:val="left"/>
      <w:lvlText w:val=" "/>
      <w:numFmt w:val="bullet"/>
      <w:start w:val="1"/>
    </w:lvl>
    <w:lvl w:ilvl="1">
      <w:lvlJc w:val="left"/>
      <w:lvlText w:val=" "/>
      <w:numFmt w:val="bullet"/>
      <w:start w:val="1"/>
    </w:lvl>
  </w:abstractNum>
  <w:abstractNum w:abstractNumId="14">
    <w:nsid w:val="6763845E"/>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5">
    <w:nsid w:val="75A2A8D4"/>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16">
    <w:nsid w:val="8EDBDA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17">
    <w:nsid w:val="79838CB2"/>
    <w:multiLevelType w:val="hybridMultilevel"/>
    <w:lvl w:ilvl="0">
      <w:lvlJc w:val="left"/>
      <w:lvlText w:val=" "/>
      <w:numFmt w:val="bullet"/>
      <w:start w:val="1"/>
    </w:lvl>
    <w:lvl w:ilvl="1">
      <w:lvlJc w:val="left"/>
      <w:lvlText w:val=" "/>
      <w:numFmt w:val="bullet"/>
      <w:start w:val="1"/>
    </w:lvl>
  </w:abstractNum>
  <w:abstractNum w:abstractNumId="18">
    <w:nsid w:val="4353D0CD"/>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9">
    <w:nsid w:val="B03E0C6"/>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0">
    <w:nsid w:val="189A769B"/>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1">
    <w:nsid w:val="54E49EB4"/>
    <w:multiLevelType w:val="hybridMultilevel"/>
    <w:lvl w:ilvl="0">
      <w:lvlJc w:val="left"/>
      <w:lvlText w:val=" "/>
      <w:numFmt w:val="bullet"/>
      <w:start w:val="1"/>
    </w:lvl>
    <w:lvl w:ilvl="1">
      <w:lvlJc w:val="left"/>
      <w:lvlText w:val=" "/>
      <w:numFmt w:val="bullet"/>
      <w:start w:val="1"/>
    </w:lvl>
  </w:abstractNum>
  <w:abstractNum w:abstractNumId="22">
    <w:nsid w:val="71F3245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3">
    <w:nsid w:val="2CA8861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4">
    <w:nsid w:val="836C40E"/>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5">
    <w:nsid w:val="2901D82"/>
    <w:multiLevelType w:val="hybridMultilevel"/>
    <w:lvl w:ilvl="0">
      <w:lvlJc w:val="left"/>
      <w:lvlText w:val=" "/>
      <w:numFmt w:val="bullet"/>
      <w:start w:val="1"/>
    </w:lvl>
    <w:lvl w:ilvl="1">
      <w:lvlJc w:val="left"/>
      <w:lvlText w:val=" "/>
      <w:numFmt w:val="bullet"/>
      <w:start w:val="1"/>
    </w:lvl>
  </w:abstractNum>
  <w:abstractNum w:abstractNumId="26">
    <w:nsid w:val="3A95F87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7">
    <w:nsid w:val="8138641"/>
    <w:multiLevelType w:val="hybridMultilevel"/>
    <w:lvl w:ilvl="0">
      <w:lvlJc w:val="left"/>
      <w:lvlText w:val="%1"/>
      <w:numFmt w:val="decimal"/>
      <w:start w:val="1"/>
    </w:lvl>
    <w:lvl w:ilvl="1">
      <w:lvlJc w:val="left"/>
      <w:lvlText w:val="%2"/>
      <w:numFmt w:val="decimal"/>
      <w:start w:val="11"/>
    </w:lvl>
    <w:lvl w:ilvl="2">
      <w:lvlJc w:val="left"/>
      <w:lvlText w:val=" "/>
      <w:numFmt w:val="bullet"/>
      <w:start w:val="1"/>
    </w:lvl>
  </w:abstractNum>
  <w:abstractNum w:abstractNumId="28">
    <w:nsid w:val="1E7FF521"/>
    <w:multiLevelType w:val="hybridMultilevel"/>
    <w:lvl w:ilvl="0">
      <w:lvlJc w:val="left"/>
      <w:lvlText w:val="(%1)"/>
      <w:numFmt w:val="decimal"/>
      <w:start w:val="1"/>
    </w:lvl>
    <w:lvl w:ilvl="1">
      <w:lvlJc w:val="left"/>
      <w:lvlText w:val="%2"/>
      <w:numFmt w:val="decimal"/>
      <w:start w:val="1"/>
    </w:lvl>
    <w:lvl w:ilvl="2">
      <w:lvlJc w:val="left"/>
      <w:lvlText w:val=" "/>
      <w:numFmt w:val="bullet"/>
      <w:start w:val="1"/>
    </w:lvl>
  </w:abstractNum>
  <w:abstractNum w:abstractNumId="29">
    <w:nsid w:val="7C3DBD3D"/>
    <w:multiLevelType w:val="hybridMultilevel"/>
    <w:lvl w:ilvl="0">
      <w:lvlJc w:val="left"/>
      <w:lvlText w:val="(%1)"/>
      <w:numFmt w:val="lowerLetter"/>
      <w:start w:val="1"/>
    </w:lvl>
  </w:abstractNum>
  <w:abstractNum w:abstractNumId="30">
    <w:nsid w:val="737B8DDC"/>
    <w:multiLevelType w:val="hybridMultilevel"/>
    <w:lvl w:ilvl="0">
      <w:lvlJc w:val="left"/>
      <w:lvlText w:val="(%1)"/>
      <w:numFmt w:val="lowerLetter"/>
      <w:start w:val="3"/>
    </w:lvl>
  </w:abstractNum>
  <w:abstractNum w:abstractNumId="31">
    <w:nsid w:val="6CEAF087"/>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2024-11-22T20:54:08Z</dcterms:created>
  <dcterms:modified xsi:type="dcterms:W3CDTF">2024-11-22T20:54:08Z</dcterms:modified>
</cp:coreProperties>
</file>