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727075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742315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0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08,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180340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P10,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001-40937</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87-2908160</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9"/>
              </w:rPr>
              <w:t>4514 Cole Avenue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9"/>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Suite 500</w:t>
            </w:r>
          </w:p>
        </w:tc>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9"/>
              </w:rPr>
              <w:t>Dallas, Texas</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75205</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214 865-7998</w:t>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Class A 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PX</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New York Stock Exchange</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803910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10" w:right="319" w:bottom="1440" w:gutter="0" w:footer="0" w:header="0"/>
        </w:sectPr>
      </w:pPr>
    </w:p>
    <w:bookmarkStart w:id="1" w:name="page2"/>
    <w:bookmarkEnd w:id="1"/>
    <w:p>
      <w:pPr>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895985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71494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0960"/>
          </w:cols>
          <w:pgMar w:left="320" w:top="1176" w:right="6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jc w:val="both"/>
        <w:ind w:firstLine="856"/>
        <w:spacing w:after="0" w:line="276" w:lineRule="auto"/>
        <w:rPr>
          <w:sz w:val="20"/>
          <w:szCs w:val="20"/>
          <w:color w:val="auto"/>
        </w:rPr>
      </w:pPr>
      <w:r>
        <w:rPr>
          <w:rFonts w:ascii="Times New Roman" w:cs="Times New Roman" w:eastAsia="Times New Roman" w:hAnsi="Times New Roman"/>
          <w:sz w:val="16"/>
          <w:szCs w:val="16"/>
          <w:color w:val="auto"/>
        </w:rPr>
        <w:t>On May 8, 2025, P10, Inc. (the “Company”) issued a press release announcing its financial results for the first quarter ended March 31, 2025. A copy of the press release is attached hereto as Exhibit 99.1 and is incorporated herein by reference.</w:t>
      </w:r>
    </w:p>
    <w:p>
      <w:pPr>
        <w:spacing w:after="0" w:line="145" w:lineRule="exact"/>
        <w:rPr>
          <w:sz w:val="20"/>
          <w:szCs w:val="20"/>
          <w:color w:val="auto"/>
        </w:rPr>
      </w:pPr>
    </w:p>
    <w:p>
      <w:pPr>
        <w:jc w:val="both"/>
        <w:ind w:firstLine="856"/>
        <w:spacing w:after="0" w:line="256" w:lineRule="auto"/>
        <w:rPr>
          <w:sz w:val="20"/>
          <w:szCs w:val="20"/>
          <w:color w:val="auto"/>
        </w:rPr>
      </w:pPr>
      <w:r>
        <w:rPr>
          <w:rFonts w:ascii="Times New Roman" w:cs="Times New Roman" w:eastAsia="Times New Roman" w:hAnsi="Times New Roman"/>
          <w:sz w:val="16"/>
          <w:szCs w:val="16"/>
          <w:color w:val="auto"/>
        </w:rPr>
        <w:t>The information disclosed under this Item 2.02, including Exhibit 99.1, is being furnished and shall not be deemed “filed” for purposes of Section 18 of the Securities Exchange Act of 1934, as amended (the “Exchange Act”) or otherwise subject to the liability of that section, and shall not be deemed incorporated by reference into any Company filing made under the Securities Act of 1933, as amended (the “Securities Act”), or under the Exchange Act, except as expressly set forth by specific reference in such filing.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700" w:firstLine="856"/>
        <w:spacing w:after="0" w:line="276" w:lineRule="auto"/>
        <w:rPr>
          <w:sz w:val="20"/>
          <w:szCs w:val="20"/>
          <w:color w:val="auto"/>
        </w:rPr>
      </w:pPr>
      <w:r>
        <w:rPr>
          <w:rFonts w:ascii="Times New Roman" w:cs="Times New Roman" w:eastAsia="Times New Roman" w:hAnsi="Times New Roman"/>
          <w:sz w:val="16"/>
          <w:szCs w:val="16"/>
          <w:color w:val="auto"/>
        </w:rPr>
        <w:t>On May 8, 2025, the Company posted an earnings presentation to its website. A copy of the earnings presentation is attached hereto as Exhibit 99.2 and is incorporated herein by reference.</w:t>
      </w:r>
    </w:p>
    <w:p>
      <w:pPr>
        <w:spacing w:after="0" w:line="145" w:lineRule="exact"/>
        <w:rPr>
          <w:sz w:val="20"/>
          <w:szCs w:val="20"/>
          <w:color w:val="auto"/>
        </w:rPr>
      </w:pPr>
    </w:p>
    <w:p>
      <w:pPr>
        <w:ind w:right="260" w:firstLine="856"/>
        <w:spacing w:after="0" w:line="261" w:lineRule="auto"/>
        <w:rPr>
          <w:sz w:val="20"/>
          <w:szCs w:val="20"/>
          <w:color w:val="auto"/>
        </w:rPr>
      </w:pPr>
      <w:r>
        <w:rPr>
          <w:rFonts w:ascii="Times New Roman" w:cs="Times New Roman" w:eastAsia="Times New Roman" w:hAnsi="Times New Roman"/>
          <w:sz w:val="16"/>
          <w:szCs w:val="16"/>
          <w:color w:val="auto"/>
        </w:rPr>
        <w:t>The information disclosed under this Item 7.01, including Exhibit 99.2, is being furnished and shall not be deemed “filed” for purposes of Section 18 of the Exchange Act or otherwise subject to the liability of that section, and shall not be deemed incorporated by reference into any Company filing made under the Securities Act or under the Exchange Act, except as expressly set forth by specific reference in such filing.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No.</w:t>
            </w:r>
          </w:p>
        </w:tc>
        <w:tc>
          <w:tcPr>
            <w:tcW w:w="96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0"/>
        </w:trPr>
        <w:tc>
          <w:tcPr>
            <w:tcW w:w="7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169"/>
        </w:trPr>
        <w:tc>
          <w:tcPr>
            <w:tcW w:w="7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99.1</w:t>
            </w:r>
          </w:p>
        </w:tc>
        <w:tc>
          <w:tcPr>
            <w:tcW w:w="880" w:type="dxa"/>
            <w:vAlign w:val="bottom"/>
          </w:tcPr>
          <w:p>
            <w:pPr>
              <w:spacing w:after="0"/>
              <w:rPr>
                <w:sz w:val="14"/>
                <w:szCs w:val="14"/>
                <w:color w:val="auto"/>
              </w:rPr>
            </w:pPr>
          </w:p>
        </w:tc>
        <w:tc>
          <w:tcPr>
            <w:tcW w:w="964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Press Release of P10, Inc. dated May 8, 2025</w:t>
            </w:r>
          </w:p>
        </w:tc>
      </w:tr>
      <w:tr>
        <w:trPr>
          <w:trHeight w:val="20"/>
        </w:trPr>
        <w:tc>
          <w:tcPr>
            <w:tcW w:w="74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EE"/>
            </w:tcBorders>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169"/>
        </w:trPr>
        <w:tc>
          <w:tcPr>
            <w:tcW w:w="7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880" w:type="dxa"/>
            <w:vAlign w:val="bottom"/>
          </w:tcPr>
          <w:p>
            <w:pPr>
              <w:spacing w:after="0"/>
              <w:rPr>
                <w:sz w:val="14"/>
                <w:szCs w:val="14"/>
                <w:color w:val="auto"/>
              </w:rPr>
            </w:pPr>
          </w:p>
        </w:tc>
        <w:tc>
          <w:tcPr>
            <w:tcW w:w="964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First Quarter 2025 Earnings Presentation, dated May 8, 2025</w:t>
            </w:r>
          </w:p>
        </w:tc>
      </w:tr>
      <w:tr>
        <w:trPr>
          <w:trHeight w:val="20"/>
        </w:trPr>
        <w:tc>
          <w:tcPr>
            <w:tcW w:w="74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3840" w:type="dxa"/>
            <w:vAlign w:val="bottom"/>
            <w:tcBorders>
              <w:right w:val="single" w:sz="8" w:color="0000EE"/>
            </w:tcBorders>
            <w:gridSpan w:val="3"/>
            <w:shd w:val="clear" w:color="auto" w:fill="0000FF"/>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205"/>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880" w:type="dxa"/>
            <w:vAlign w:val="bottom"/>
          </w:tcPr>
          <w:p>
            <w:pPr>
              <w:spacing w:after="0"/>
              <w:rPr>
                <w:sz w:val="17"/>
                <w:szCs w:val="17"/>
                <w:color w:val="auto"/>
              </w:rPr>
            </w:pPr>
          </w:p>
        </w:tc>
        <w:tc>
          <w:tcPr>
            <w:tcW w:w="96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1422"/>
        </w:trPr>
        <w:tc>
          <w:tcPr>
            <w:tcW w:w="7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315" w:right="319" w:bottom="1440" w:gutter="0" w:footer="0" w:header="0"/>
        </w:sectPr>
      </w:pPr>
    </w:p>
    <w:bookmarkStart w:id="3" w:name="page4"/>
    <w:bookmarkEnd w:id="3"/>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P10, INC.</w:t>
      </w:r>
    </w:p>
    <w:p>
      <w:pPr>
        <w:spacing w:after="0" w:line="323"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May 8,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b w:val="1"/>
          <w:bCs w:val="1"/>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22860</wp:posOffset>
            </wp:positionV>
            <wp:extent cx="32816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Amanda Coussens</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981710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1032"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5381625</wp:posOffset>
            </wp:positionH>
            <wp:positionV relativeFrom="page">
              <wp:posOffset>321945</wp:posOffset>
            </wp:positionV>
            <wp:extent cx="1036320" cy="6235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36320" cy="623570"/>
                    </a:xfrm>
                    <a:prstGeom prst="rect">
                      <a:avLst/>
                    </a:prstGeom>
                    <a:noFill/>
                  </pic:spPr>
                </pic:pic>
              </a:graphicData>
            </a:graphic>
          </wp:anchor>
        </w:drawing>
        <w:drawing>
          <wp:anchor simplePos="0" relativeHeight="251657728" behindDoc="1" locked="0" layoutInCell="0" allowOverlap="1">
            <wp:simplePos x="0" y="0"/>
            <wp:positionH relativeFrom="page">
              <wp:posOffset>1213485</wp:posOffset>
            </wp:positionH>
            <wp:positionV relativeFrom="page">
              <wp:posOffset>501650</wp:posOffset>
            </wp:positionV>
            <wp:extent cx="758190" cy="353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58190" cy="353060"/>
                    </a:xfrm>
                    <a:prstGeom prst="rect">
                      <a:avLst/>
                    </a:prstGeom>
                    <a:noFill/>
                  </pic:spPr>
                </pic:pic>
              </a:graphicData>
            </a:graphic>
          </wp:anchor>
        </w:drawing>
      </w:r>
    </w:p>
    <w:p>
      <w:pPr>
        <w:spacing w:after="0" w:line="250" w:lineRule="exact"/>
        <w:rPr>
          <w:sz w:val="20"/>
          <w:szCs w:val="20"/>
          <w:color w:val="auto"/>
        </w:rPr>
      </w:pPr>
    </w:p>
    <w:p>
      <w:pPr>
        <w:ind w:left="2520"/>
        <w:spacing w:after="0"/>
        <w:rPr>
          <w:sz w:val="20"/>
          <w:szCs w:val="20"/>
          <w:color w:val="auto"/>
        </w:rPr>
      </w:pPr>
      <w:r>
        <w:rPr>
          <w:rFonts w:ascii="Arial" w:cs="Arial" w:eastAsia="Arial" w:hAnsi="Arial"/>
          <w:sz w:val="19"/>
          <w:szCs w:val="19"/>
          <w:b w:val="1"/>
          <w:bCs w:val="1"/>
          <w:color w:val="2F2F45"/>
        </w:rPr>
        <w:t>P10 Reports First Quarter 2025 Earnings Results</w:t>
      </w:r>
    </w:p>
    <w:p>
      <w:pPr>
        <w:spacing w:after="0" w:line="304" w:lineRule="exact"/>
        <w:rPr>
          <w:sz w:val="20"/>
          <w:szCs w:val="20"/>
          <w:color w:val="auto"/>
        </w:rPr>
      </w:pPr>
    </w:p>
    <w:p>
      <w:pPr>
        <w:jc w:val="center"/>
        <w:ind w:right="-400"/>
        <w:spacing w:after="0"/>
        <w:rPr>
          <w:sz w:val="20"/>
          <w:szCs w:val="20"/>
          <w:color w:val="auto"/>
        </w:rPr>
      </w:pPr>
      <w:r>
        <w:rPr>
          <w:rFonts w:ascii="Arial" w:cs="Arial" w:eastAsia="Arial" w:hAnsi="Arial"/>
          <w:sz w:val="19"/>
          <w:szCs w:val="19"/>
          <w:i w:val="1"/>
          <w:iCs w:val="1"/>
          <w:color w:val="2F2F45"/>
        </w:rPr>
        <w:t>Record fundraising and deployments of over $1.4 Billion in Gross New Fee-Paying AUM</w:t>
      </w:r>
    </w:p>
    <w:p>
      <w:pPr>
        <w:spacing w:after="0" w:line="207" w:lineRule="exact"/>
        <w:rPr>
          <w:sz w:val="20"/>
          <w:szCs w:val="20"/>
          <w:color w:val="auto"/>
        </w:rPr>
      </w:pPr>
    </w:p>
    <w:p>
      <w:pPr>
        <w:jc w:val="center"/>
        <w:ind w:right="-400"/>
        <w:spacing w:after="0"/>
        <w:rPr>
          <w:sz w:val="20"/>
          <w:szCs w:val="20"/>
          <w:color w:val="auto"/>
        </w:rPr>
      </w:pPr>
      <w:r>
        <w:rPr>
          <w:rFonts w:ascii="Arial" w:cs="Arial" w:eastAsia="Arial" w:hAnsi="Arial"/>
          <w:sz w:val="19"/>
          <w:szCs w:val="19"/>
          <w:i w:val="1"/>
          <w:iCs w:val="1"/>
          <w:color w:val="2F2F45"/>
        </w:rPr>
        <w:t>Increased Quarterly Dividend by 7%</w:t>
      </w:r>
    </w:p>
    <w:p>
      <w:pPr>
        <w:spacing w:after="0" w:line="207" w:lineRule="exact"/>
        <w:rPr>
          <w:sz w:val="20"/>
          <w:szCs w:val="20"/>
          <w:color w:val="auto"/>
        </w:rPr>
      </w:pPr>
    </w:p>
    <w:p>
      <w:pPr>
        <w:jc w:val="center"/>
        <w:ind w:right="-400"/>
        <w:spacing w:after="0"/>
        <w:rPr>
          <w:sz w:val="20"/>
          <w:szCs w:val="20"/>
          <w:color w:val="auto"/>
        </w:rPr>
      </w:pPr>
      <w:r>
        <w:rPr>
          <w:rFonts w:ascii="Arial" w:cs="Arial" w:eastAsia="Arial" w:hAnsi="Arial"/>
          <w:sz w:val="19"/>
          <w:szCs w:val="19"/>
          <w:i w:val="1"/>
          <w:iCs w:val="1"/>
          <w:color w:val="2F2F45"/>
        </w:rPr>
        <w:t>Completed Acquisition of Qualitas Funds</w:t>
      </w:r>
    </w:p>
    <w:p>
      <w:pPr>
        <w:spacing w:after="0" w:line="205" w:lineRule="exact"/>
        <w:rPr>
          <w:sz w:val="20"/>
          <w:szCs w:val="20"/>
          <w:color w:val="auto"/>
        </w:rPr>
      </w:pPr>
    </w:p>
    <w:p>
      <w:pPr>
        <w:ind w:left="820" w:right="439"/>
        <w:spacing w:after="0" w:line="250" w:lineRule="auto"/>
        <w:rPr>
          <w:sz w:val="20"/>
          <w:szCs w:val="20"/>
          <w:color w:val="auto"/>
        </w:rPr>
      </w:pPr>
      <w:r>
        <w:rPr>
          <w:rFonts w:ascii="Arial" w:cs="Arial" w:eastAsia="Arial" w:hAnsi="Arial"/>
          <w:sz w:val="19"/>
          <w:szCs w:val="19"/>
          <w:color w:val="2F2F45"/>
        </w:rPr>
        <w:t xml:space="preserve">DALLAS, May 8, 2025 (GLOBE NEWSWIRE) - </w:t>
      </w:r>
      <w:r>
        <w:rPr>
          <w:rFonts w:ascii="Arial" w:cs="Arial" w:eastAsia="Arial" w:hAnsi="Arial"/>
          <w:sz w:val="19"/>
          <w:szCs w:val="19"/>
          <w:color w:val="000000"/>
        </w:rPr>
        <w:t>P10, Inc.</w:t>
      </w:r>
      <w:r>
        <w:rPr>
          <w:rFonts w:ascii="Arial" w:cs="Arial" w:eastAsia="Arial" w:hAnsi="Arial"/>
          <w:sz w:val="19"/>
          <w:szCs w:val="19"/>
          <w:color w:val="2F2F45"/>
        </w:rPr>
        <w:t xml:space="preserve"> (NYSE: PX) (the “Company”), a leading private markets solutions provider, today reported financial results for the first quarter ended March 31, 2025.</w:t>
      </w:r>
    </w:p>
    <w:p>
      <w:pPr>
        <w:spacing w:after="0" w:line="145"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First Quarter 2025 Financial Highlights</w:t>
      </w:r>
    </w:p>
    <w:p>
      <w:pPr>
        <w:spacing w:after="0" w:line="184" w:lineRule="exact"/>
        <w:rPr>
          <w:sz w:val="20"/>
          <w:szCs w:val="20"/>
          <w:color w:val="auto"/>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Revenue: $67.7 million, a 2% increase year over year.</w:t>
      </w:r>
    </w:p>
    <w:p>
      <w:pPr>
        <w:spacing w:after="0" w:line="12" w:lineRule="exact"/>
        <w:rPr>
          <w:rFonts w:ascii="Times New Roman" w:cs="Times New Roman" w:eastAsia="Times New Roman" w:hAnsi="Times New Roman"/>
          <w:sz w:val="16"/>
          <w:szCs w:val="16"/>
          <w:color w:val="2F2F45"/>
        </w:rPr>
      </w:pPr>
    </w:p>
    <w:p>
      <w:pPr>
        <w:ind w:left="1380" w:hanging="282"/>
        <w:spacing w:after="0" w:line="233" w:lineRule="auto"/>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Fee-Related Revenue: $67.6 million, a 4% increase year over year.</w:t>
      </w:r>
    </w:p>
    <w:p>
      <w:pPr>
        <w:ind w:left="1380" w:hanging="282"/>
        <w:spacing w:after="0" w:line="233" w:lineRule="auto"/>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Fee-Paying Assets Under Management: $26.3 billion, a 10% increase year over year.</w:t>
      </w:r>
    </w:p>
    <w:p>
      <w:pPr>
        <w:ind w:left="1380" w:hanging="282"/>
        <w:spacing w:after="0" w:line="233" w:lineRule="auto"/>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GAAP Net Income: $4.7 million compared to $5.2 million in the prior year.</w:t>
      </w:r>
    </w:p>
    <w:p>
      <w:pPr>
        <w:ind w:left="1380" w:hanging="282"/>
        <w:spacing w:after="0" w:line="233" w:lineRule="auto"/>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Fee-Related Earnings: $30.7 million compared to $30.7 million in the prior year.</w:t>
      </w:r>
    </w:p>
    <w:p>
      <w:pPr>
        <w:ind w:left="1380" w:hanging="282"/>
        <w:spacing w:after="0" w:line="233" w:lineRule="auto"/>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Adjusted Net Income: $23.5 million compared to $25.4 million in the prior year.</w:t>
      </w:r>
    </w:p>
    <w:p>
      <w:pPr>
        <w:ind w:left="1380" w:hanging="282"/>
        <w:spacing w:after="0" w:line="233" w:lineRule="auto"/>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Fully Diluted GAAP EPS: $0.04 compared to $0.04 in the prior year.</w:t>
      </w: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9"/>
          <w:szCs w:val="19"/>
          <w:color w:val="2F2F45"/>
        </w:rPr>
        <w:t>Fully Diluted ANI per share: $0.20 compared to $0.21 in the prior year.</w:t>
      </w:r>
    </w:p>
    <w:p>
      <w:pPr>
        <w:spacing w:after="0" w:line="166" w:lineRule="exact"/>
        <w:rPr>
          <w:sz w:val="20"/>
          <w:szCs w:val="20"/>
          <w:color w:val="auto"/>
        </w:rPr>
      </w:pPr>
    </w:p>
    <w:p>
      <w:pPr>
        <w:ind w:left="820" w:right="939"/>
        <w:spacing w:after="0" w:line="267" w:lineRule="auto"/>
        <w:rPr>
          <w:sz w:val="20"/>
          <w:szCs w:val="20"/>
          <w:color w:val="auto"/>
        </w:rPr>
      </w:pPr>
      <w:r>
        <w:rPr>
          <w:rFonts w:ascii="Arial" w:cs="Arial" w:eastAsia="Arial" w:hAnsi="Arial"/>
          <w:sz w:val="19"/>
          <w:szCs w:val="19"/>
          <w:color w:val="2F2F45"/>
        </w:rPr>
        <w:t xml:space="preserve">A presentation of the quarterly financials may be accessed </w:t>
      </w:r>
      <w:r>
        <w:rPr>
          <w:rFonts w:ascii="Arial" w:cs="Arial" w:eastAsia="Arial" w:hAnsi="Arial"/>
          <w:sz w:val="19"/>
          <w:szCs w:val="19"/>
          <w:color w:val="000000"/>
        </w:rPr>
        <w:t>here</w:t>
      </w:r>
      <w:r>
        <w:rPr>
          <w:rFonts w:ascii="Arial" w:cs="Arial" w:eastAsia="Arial" w:hAnsi="Arial"/>
          <w:sz w:val="19"/>
          <w:szCs w:val="19"/>
          <w:color w:val="2F2F45"/>
        </w:rPr>
        <w:t xml:space="preserve"> and is available on the Company’s website.</w:t>
      </w:r>
    </w:p>
    <w:p>
      <w:pPr>
        <w:spacing w:after="0" w:line="129" w:lineRule="exact"/>
        <w:rPr>
          <w:sz w:val="20"/>
          <w:szCs w:val="20"/>
          <w:color w:val="auto"/>
        </w:rPr>
      </w:pPr>
    </w:p>
    <w:p>
      <w:pPr>
        <w:ind w:left="820" w:right="499"/>
        <w:spacing w:after="0" w:line="254" w:lineRule="auto"/>
        <w:rPr>
          <w:sz w:val="20"/>
          <w:szCs w:val="20"/>
          <w:color w:val="auto"/>
        </w:rPr>
      </w:pPr>
      <w:r>
        <w:rPr>
          <w:rFonts w:ascii="Arial" w:cs="Arial" w:eastAsia="Arial" w:hAnsi="Arial"/>
          <w:sz w:val="18"/>
          <w:szCs w:val="18"/>
          <w:color w:val="2F2F45"/>
        </w:rPr>
        <w:t>“In the first quarter, P10 raised and deployed over $1.4 billion in gross new fee-paying AUM, representing the best fundraising quarter in our history,” said Luke Sarsfield, P10 Chairman and Chief Executive Officer. “Our record quarter is a true testament to the strength of our platform and what we are building here at P10. Additionally, we recently completed the acquisition of Qualitas Funds, significantly expanding our global presence. Looking ahead, we believe we are well positioned to meet our fundraising targets and further expand our client franchise by providing unrivaled access to investment opportunities.”</w:t>
      </w:r>
    </w:p>
    <w:p>
      <w:pPr>
        <w:spacing w:after="0" w:line="146"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Stock Repurchase Program</w:t>
      </w:r>
    </w:p>
    <w:p>
      <w:pPr>
        <w:spacing w:after="0" w:line="184" w:lineRule="exact"/>
        <w:rPr>
          <w:sz w:val="20"/>
          <w:szCs w:val="20"/>
          <w:color w:val="auto"/>
        </w:rPr>
      </w:pPr>
    </w:p>
    <w:p>
      <w:pPr>
        <w:jc w:val="both"/>
        <w:ind w:left="820" w:right="419"/>
        <w:spacing w:after="0" w:line="250" w:lineRule="auto"/>
        <w:rPr>
          <w:sz w:val="20"/>
          <w:szCs w:val="20"/>
          <w:color w:val="auto"/>
        </w:rPr>
      </w:pPr>
      <w:r>
        <w:rPr>
          <w:rFonts w:ascii="Arial" w:cs="Arial" w:eastAsia="Arial" w:hAnsi="Arial"/>
          <w:sz w:val="19"/>
          <w:szCs w:val="19"/>
          <w:color w:val="2F2F45"/>
        </w:rPr>
        <w:t>In the first quarter, the Company repurchased 1,215,106 shares at an average price of $12.31 per share. The repurchase activity left approximately $28.5 million available under the repurchase authorization at the end of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1596390</wp:posOffset>
            </wp:positionV>
            <wp:extent cx="616839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1228725</wp:posOffset>
            </wp:positionH>
            <wp:positionV relativeFrom="page">
              <wp:posOffset>269240</wp:posOffset>
            </wp:positionV>
            <wp:extent cx="998855" cy="465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998855" cy="4654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Declaration of Dividend</w:t>
      </w:r>
    </w:p>
    <w:p>
      <w:pPr>
        <w:spacing w:after="0" w:line="184" w:lineRule="exact"/>
        <w:rPr>
          <w:sz w:val="20"/>
          <w:szCs w:val="20"/>
          <w:color w:val="auto"/>
        </w:rPr>
      </w:pPr>
    </w:p>
    <w:p>
      <w:pPr>
        <w:jc w:val="both"/>
        <w:ind w:left="820" w:right="659"/>
        <w:spacing w:after="0" w:line="250" w:lineRule="auto"/>
        <w:rPr>
          <w:sz w:val="20"/>
          <w:szCs w:val="20"/>
          <w:color w:val="auto"/>
        </w:rPr>
      </w:pPr>
      <w:r>
        <w:rPr>
          <w:rFonts w:ascii="Arial" w:cs="Arial" w:eastAsia="Arial" w:hAnsi="Arial"/>
          <w:sz w:val="19"/>
          <w:szCs w:val="19"/>
          <w:color w:val="2F2F45"/>
        </w:rPr>
        <w:t>The Board of Directors of the Company has declared a quarterly cash dividend of $0.0375 per share on Class A and Class B common stock, an increase of 7%, payable on June 20, 2025, to the holders of record as of the close of business on May 30, 2025.</w:t>
      </w:r>
    </w:p>
    <w:p>
      <w:pPr>
        <w:spacing w:after="0" w:line="145"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Conference Call Details</w:t>
      </w:r>
    </w:p>
    <w:p>
      <w:pPr>
        <w:spacing w:after="0" w:line="184" w:lineRule="exact"/>
        <w:rPr>
          <w:sz w:val="20"/>
          <w:szCs w:val="20"/>
          <w:color w:val="auto"/>
        </w:rPr>
      </w:pPr>
    </w:p>
    <w:p>
      <w:pPr>
        <w:ind w:left="820" w:right="799"/>
        <w:spacing w:after="0" w:line="267" w:lineRule="auto"/>
        <w:rPr>
          <w:sz w:val="20"/>
          <w:szCs w:val="20"/>
          <w:color w:val="auto"/>
        </w:rPr>
      </w:pPr>
      <w:r>
        <w:rPr>
          <w:rFonts w:ascii="Arial" w:cs="Arial" w:eastAsia="Arial" w:hAnsi="Arial"/>
          <w:sz w:val="19"/>
          <w:szCs w:val="19"/>
          <w:color w:val="2F2F45"/>
        </w:rPr>
        <w:t>The Company will host a conference call at 8:30 a.m. Eastern Time on Thursday, May 8, 2025. All participants must register prior to joining the event.</w:t>
      </w:r>
    </w:p>
    <w:p>
      <w:pPr>
        <w:spacing w:after="0" w:line="152" w:lineRule="exact"/>
        <w:rPr>
          <w:sz w:val="20"/>
          <w:szCs w:val="20"/>
          <w:color w:val="auto"/>
        </w:rPr>
      </w:pPr>
    </w:p>
    <w:p>
      <w:pPr>
        <w:ind w:left="1380" w:hanging="282"/>
        <w:spacing w:after="0"/>
        <w:tabs>
          <w:tab w:leader="none" w:pos="1380" w:val="left"/>
        </w:tabs>
        <w:numPr>
          <w:ilvl w:val="0"/>
          <w:numId w:val="3"/>
        </w:numPr>
        <w:rPr>
          <w:rFonts w:ascii="Times New Roman" w:cs="Times New Roman" w:eastAsia="Times New Roman" w:hAnsi="Times New Roman"/>
          <w:sz w:val="19"/>
          <w:szCs w:val="19"/>
          <w:color w:val="2F2F45"/>
        </w:rPr>
      </w:pPr>
      <w:r>
        <w:rPr>
          <w:rFonts w:ascii="Arial" w:cs="Arial" w:eastAsia="Arial" w:hAnsi="Arial"/>
          <w:sz w:val="19"/>
          <w:szCs w:val="19"/>
          <w:color w:val="2F2F45"/>
        </w:rPr>
        <w:t xml:space="preserve">To join and view the live webcast, please register </w:t>
      </w:r>
      <w:r>
        <w:rPr>
          <w:rFonts w:ascii="Arial" w:cs="Arial" w:eastAsia="Arial" w:hAnsi="Arial"/>
          <w:sz w:val="19"/>
          <w:szCs w:val="19"/>
          <w:color w:val="000000"/>
        </w:rPr>
        <w:t>here</w:t>
      </w:r>
      <w:r>
        <w:rPr>
          <w:rFonts w:ascii="Arial" w:cs="Arial" w:eastAsia="Arial" w:hAnsi="Arial"/>
          <w:sz w:val="19"/>
          <w:szCs w:val="19"/>
          <w:color w:val="2F2F45"/>
        </w:rPr>
        <w:t>.</w:t>
      </w:r>
    </w:p>
    <w:p>
      <w:pPr>
        <w:spacing w:after="0" w:line="11" w:lineRule="exact"/>
        <w:rPr>
          <w:rFonts w:ascii="Times New Roman" w:cs="Times New Roman" w:eastAsia="Times New Roman" w:hAnsi="Times New Roman"/>
          <w:sz w:val="19"/>
          <w:szCs w:val="19"/>
          <w:color w:val="2F2F45"/>
        </w:rPr>
      </w:pPr>
    </w:p>
    <w:p>
      <w:pPr>
        <w:ind w:left="1380" w:hanging="282"/>
        <w:spacing w:after="0"/>
        <w:tabs>
          <w:tab w:leader="none" w:pos="1380" w:val="left"/>
        </w:tabs>
        <w:numPr>
          <w:ilvl w:val="0"/>
          <w:numId w:val="3"/>
        </w:numPr>
        <w:rPr>
          <w:rFonts w:ascii="Times New Roman" w:cs="Times New Roman" w:eastAsia="Times New Roman" w:hAnsi="Times New Roman"/>
          <w:sz w:val="19"/>
          <w:szCs w:val="19"/>
          <w:color w:val="2F2F45"/>
        </w:rPr>
      </w:pPr>
      <w:r>
        <w:rPr>
          <w:rFonts w:ascii="Arial" w:cs="Arial" w:eastAsia="Arial" w:hAnsi="Arial"/>
          <w:sz w:val="19"/>
          <w:szCs w:val="19"/>
          <w:color w:val="2F2F45"/>
        </w:rPr>
        <w:t xml:space="preserve">To join by telephone, please register </w:t>
      </w:r>
      <w:r>
        <w:rPr>
          <w:rFonts w:ascii="Arial" w:cs="Arial" w:eastAsia="Arial" w:hAnsi="Arial"/>
          <w:sz w:val="19"/>
          <w:szCs w:val="19"/>
          <w:color w:val="000000"/>
        </w:rPr>
        <w:t>here</w:t>
      </w:r>
      <w:r>
        <w:rPr>
          <w:rFonts w:ascii="Arial" w:cs="Arial" w:eastAsia="Arial" w:hAnsi="Arial"/>
          <w:sz w:val="19"/>
          <w:szCs w:val="19"/>
          <w:color w:val="2F2F45"/>
        </w:rPr>
        <w:t>.</w:t>
      </w:r>
    </w:p>
    <w:p>
      <w:pPr>
        <w:spacing w:after="0" w:line="165" w:lineRule="exact"/>
        <w:rPr>
          <w:sz w:val="20"/>
          <w:szCs w:val="20"/>
          <w:color w:val="auto"/>
        </w:rPr>
      </w:pPr>
    </w:p>
    <w:p>
      <w:pPr>
        <w:ind w:left="820" w:right="819"/>
        <w:spacing w:after="0" w:line="267" w:lineRule="auto"/>
        <w:rPr>
          <w:sz w:val="20"/>
          <w:szCs w:val="20"/>
          <w:color w:val="auto"/>
        </w:rPr>
      </w:pPr>
      <w:r>
        <w:rPr>
          <w:rFonts w:ascii="Arial" w:cs="Arial" w:eastAsia="Arial" w:hAnsi="Arial"/>
          <w:sz w:val="19"/>
          <w:szCs w:val="19"/>
          <w:color w:val="2F2F45"/>
        </w:rPr>
        <w:t xml:space="preserve">For those unable to participate in the live event, a replay will be made available on P10’s investor relations page at </w:t>
      </w:r>
      <w:r>
        <w:rPr>
          <w:rFonts w:ascii="Arial" w:cs="Arial" w:eastAsia="Arial" w:hAnsi="Arial"/>
          <w:sz w:val="19"/>
          <w:szCs w:val="19"/>
          <w:color w:val="000000"/>
        </w:rPr>
        <w:t>www.p10alts.com</w:t>
      </w:r>
      <w:r>
        <w:rPr>
          <w:rFonts w:ascii="Arial" w:cs="Arial" w:eastAsia="Arial" w:hAnsi="Arial"/>
          <w:sz w:val="19"/>
          <w:szCs w:val="19"/>
          <w:color w:val="2F2F45"/>
        </w:rPr>
        <w:t>.</w:t>
      </w:r>
    </w:p>
    <w:p>
      <w:pPr>
        <w:spacing w:after="0" w:line="129"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About P10</w:t>
      </w:r>
    </w:p>
    <w:p>
      <w:pPr>
        <w:spacing w:after="0" w:line="184" w:lineRule="exact"/>
        <w:rPr>
          <w:sz w:val="20"/>
          <w:szCs w:val="20"/>
          <w:color w:val="auto"/>
        </w:rPr>
      </w:pPr>
    </w:p>
    <w:p>
      <w:pPr>
        <w:ind w:left="820" w:right="579"/>
        <w:spacing w:after="0" w:line="239" w:lineRule="auto"/>
        <w:rPr>
          <w:sz w:val="20"/>
          <w:szCs w:val="20"/>
          <w:color w:val="auto"/>
        </w:rPr>
      </w:pPr>
      <w:r>
        <w:rPr>
          <w:rFonts w:ascii="Arial" w:cs="Arial" w:eastAsia="Arial" w:hAnsi="Arial"/>
          <w:sz w:val="19"/>
          <w:szCs w:val="19"/>
          <w:color w:val="302C45"/>
        </w:rPr>
        <w:t xml:space="preserve">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March 31, 2025, P10’s products have a global investor base of more than 3,800 investors across 50 states, 60 countries, and six continents, which includes some of the world’s largest pension funds, endowments, foundations, corporate pensions, and financial institutions. Visit </w:t>
      </w:r>
      <w:r>
        <w:rPr>
          <w:rFonts w:ascii="Verdana" w:cs="Verdana" w:eastAsia="Verdana" w:hAnsi="Verdana"/>
          <w:sz w:val="15"/>
          <w:szCs w:val="15"/>
          <w:color w:val="000000"/>
        </w:rPr>
        <w:t>www.p10alts.com</w:t>
      </w:r>
      <w:r>
        <w:rPr>
          <w:rFonts w:ascii="Arial" w:cs="Arial" w:eastAsia="Arial" w:hAnsi="Arial"/>
          <w:sz w:val="19"/>
          <w:szCs w:val="19"/>
          <w:color w:val="302C45"/>
        </w:rPr>
        <w:t>.</w:t>
      </w:r>
    </w:p>
    <w:p>
      <w:pPr>
        <w:spacing w:after="0" w:line="156"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Forward-Looking Statements</w:t>
      </w:r>
    </w:p>
    <w:p>
      <w:pPr>
        <w:spacing w:after="0" w:line="184" w:lineRule="exact"/>
        <w:rPr>
          <w:sz w:val="20"/>
          <w:szCs w:val="20"/>
          <w:color w:val="auto"/>
        </w:rPr>
      </w:pPr>
    </w:p>
    <w:p>
      <w:pPr>
        <w:ind w:left="820" w:right="419"/>
        <w:spacing w:after="0" w:line="236" w:lineRule="auto"/>
        <w:rPr>
          <w:sz w:val="20"/>
          <w:szCs w:val="20"/>
          <w:color w:val="auto"/>
        </w:rPr>
      </w:pPr>
      <w:r>
        <w:rPr>
          <w:rFonts w:ascii="Arial" w:cs="Arial" w:eastAsia="Arial" w:hAnsi="Arial"/>
          <w:sz w:val="19"/>
          <w:szCs w:val="19"/>
          <w:color w:val="302C45"/>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reflect management’s current plans, estimates, and expectations, and are inherently uncertain. All forward-looking statements are subject to known and unknown risks, uncertainties, assumptions and other important factors that may cause actual results to be materially different;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762000</wp:posOffset>
            </wp:positionV>
            <wp:extent cx="616839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1228725</wp:posOffset>
            </wp:positionH>
            <wp:positionV relativeFrom="page">
              <wp:posOffset>269240</wp:posOffset>
            </wp:positionV>
            <wp:extent cx="998855" cy="465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998855" cy="465455"/>
                    </a:xfrm>
                    <a:prstGeom prst="rect">
                      <a:avLst/>
                    </a:prstGeom>
                    <a:noFill/>
                  </pic:spPr>
                </pic:pic>
              </a:graphicData>
            </a:graphic>
          </wp:anchor>
        </w:drawing>
      </w:r>
    </w:p>
    <w:p>
      <w:pPr>
        <w:spacing w:after="0" w:line="345" w:lineRule="exact"/>
        <w:rPr>
          <w:sz w:val="20"/>
          <w:szCs w:val="20"/>
          <w:color w:val="auto"/>
        </w:rPr>
      </w:pPr>
    </w:p>
    <w:p>
      <w:pPr>
        <w:ind w:left="820" w:right="499"/>
        <w:spacing w:after="0" w:line="237" w:lineRule="auto"/>
        <w:rPr>
          <w:sz w:val="20"/>
          <w:szCs w:val="20"/>
          <w:color w:val="auto"/>
        </w:rPr>
      </w:pPr>
      <w:r>
        <w:rPr>
          <w:rFonts w:ascii="Arial" w:cs="Arial" w:eastAsia="Arial" w:hAnsi="Arial"/>
          <w:sz w:val="19"/>
          <w:szCs w:val="19"/>
          <w:color w:val="302C45"/>
        </w:rPr>
        <w:t>agreements; our ability to make acquisitions and successfully integrate the businesses we acquire; assumptions relating to our operations, financial results, financial condition, business prospects and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2024, filed with the U.S. Securities and Exchange Commission (“SEC”) on February 28, 2025,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Use of Non-GAAP Financial Measures by P10</w:t>
      </w:r>
    </w:p>
    <w:p>
      <w:pPr>
        <w:spacing w:after="0" w:line="184" w:lineRule="exact"/>
        <w:rPr>
          <w:sz w:val="20"/>
          <w:szCs w:val="20"/>
          <w:color w:val="auto"/>
        </w:rPr>
      </w:pPr>
    </w:p>
    <w:p>
      <w:pPr>
        <w:ind w:left="820" w:right="419"/>
        <w:spacing w:after="0" w:line="236" w:lineRule="auto"/>
        <w:rPr>
          <w:sz w:val="20"/>
          <w:szCs w:val="20"/>
          <w:color w:val="auto"/>
        </w:rPr>
      </w:pPr>
      <w:r>
        <w:rPr>
          <w:rFonts w:ascii="Arial" w:cs="Arial" w:eastAsia="Arial" w:hAnsi="Arial"/>
          <w:sz w:val="19"/>
          <w:szCs w:val="19"/>
          <w:color w:val="302C45"/>
        </w:rPr>
        <w:t>The non-GAAP financial measures contained in this press release (including, without limitation, Fee-Related Revenue (“FRR”), Fee-Related Earnings (“FRE”), Fee-Related Earnings Margin, Adjusted Net Income (“ANI”), Fully Diluted ANI per share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to their most directly comparable GAAP measure is included later in this press release. The Company believes the presentation of these non-GAAP measures provide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These non-GAAP measures should not be considered substitutes for net income or cash flows from operating, investing, or financing activities.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spacing w:after="0" w:line="154"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Key Financial &amp; Operating Metrics</w:t>
      </w:r>
    </w:p>
    <w:p>
      <w:pPr>
        <w:spacing w:after="0" w:line="184" w:lineRule="exact"/>
        <w:rPr>
          <w:sz w:val="20"/>
          <w:szCs w:val="20"/>
          <w:color w:val="auto"/>
        </w:rPr>
      </w:pPr>
    </w:p>
    <w:p>
      <w:pPr>
        <w:ind w:left="820" w:right="539"/>
        <w:spacing w:after="0" w:line="242" w:lineRule="auto"/>
        <w:rPr>
          <w:sz w:val="20"/>
          <w:szCs w:val="20"/>
          <w:color w:val="auto"/>
        </w:rPr>
      </w:pPr>
      <w:r>
        <w:rPr>
          <w:rFonts w:ascii="Arial" w:cs="Arial" w:eastAsia="Arial" w:hAnsi="Arial"/>
          <w:sz w:val="19"/>
          <w:szCs w:val="19"/>
          <w:color w:val="302C45"/>
        </w:rPr>
        <w:t>Fee-paying assets under management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270"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P10 Investor Contact:</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9"/>
          <w:szCs w:val="19"/>
          <w:color w:val="0563C1"/>
        </w:rPr>
        <w:t>info@p10alts.com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978535</wp:posOffset>
            </wp:positionV>
            <wp:extent cx="616839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1228725</wp:posOffset>
            </wp:positionH>
            <wp:positionV relativeFrom="page">
              <wp:posOffset>269240</wp:posOffset>
            </wp:positionV>
            <wp:extent cx="998855" cy="465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998855" cy="4654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P10 Media Contact:</w:t>
      </w:r>
    </w:p>
    <w:p>
      <w:pPr>
        <w:spacing w:after="0" w:line="7" w:lineRule="exact"/>
        <w:rPr>
          <w:sz w:val="20"/>
          <w:szCs w:val="20"/>
          <w:color w:val="auto"/>
        </w:rPr>
      </w:pPr>
    </w:p>
    <w:p>
      <w:pPr>
        <w:ind w:left="820"/>
        <w:spacing w:after="0"/>
        <w:rPr>
          <w:sz w:val="20"/>
          <w:szCs w:val="20"/>
          <w:color w:val="auto"/>
        </w:rPr>
      </w:pPr>
      <w:r>
        <w:rPr>
          <w:rFonts w:ascii="Arial" w:cs="Arial" w:eastAsia="Arial" w:hAnsi="Arial"/>
          <w:sz w:val="19"/>
          <w:szCs w:val="19"/>
          <w:color w:val="2F2F45"/>
        </w:rPr>
        <w:t>Josh Clarkson</w:t>
      </w:r>
    </w:p>
    <w:p>
      <w:pPr>
        <w:ind w:left="820"/>
        <w:spacing w:after="0" w:line="233" w:lineRule="auto"/>
        <w:rPr>
          <w:sz w:val="20"/>
          <w:szCs w:val="20"/>
          <w:color w:val="auto"/>
        </w:rPr>
      </w:pPr>
      <w:r>
        <w:rPr>
          <w:rFonts w:ascii="Arial" w:cs="Arial" w:eastAsia="Arial" w:hAnsi="Arial"/>
          <w:sz w:val="19"/>
          <w:szCs w:val="19"/>
          <w:color w:val="2F2F45"/>
        </w:rPr>
        <w:t>Taylor Donahue</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9"/>
          <w:szCs w:val="19"/>
          <w:color w:val="0563C1"/>
        </w:rPr>
        <w:t>pro-p10@prosek.com</w:t>
      </w:r>
    </w:p>
    <w:p>
      <w:pPr>
        <w:spacing w:after="0" w:line="166" w:lineRule="exact"/>
        <w:rPr>
          <w:sz w:val="20"/>
          <w:szCs w:val="20"/>
          <w:color w:val="auto"/>
        </w:rPr>
      </w:pPr>
    </w:p>
    <w:p>
      <w:pPr>
        <w:ind w:left="2540"/>
        <w:spacing w:after="0"/>
        <w:rPr>
          <w:sz w:val="20"/>
          <w:szCs w:val="20"/>
          <w:color w:val="auto"/>
        </w:rPr>
      </w:pPr>
      <w:r>
        <w:rPr>
          <w:rFonts w:ascii="Arial" w:cs="Arial" w:eastAsia="Arial" w:hAnsi="Arial"/>
          <w:sz w:val="19"/>
          <w:szCs w:val="19"/>
          <w:b w:val="1"/>
          <w:bCs w:val="1"/>
          <w:color w:val="2F2F45"/>
        </w:rPr>
        <w:t>Reconciliation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109220</wp:posOffset>
            </wp:positionV>
            <wp:extent cx="4949190" cy="38823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49190" cy="388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20" w:right="679" w:hanging="6"/>
        <w:spacing w:after="0" w:line="241" w:lineRule="auto"/>
        <w:tabs>
          <w:tab w:leader="none" w:pos="1009" w:val="left"/>
        </w:tabs>
        <w:numPr>
          <w:ilvl w:val="0"/>
          <w:numId w:val="4"/>
        </w:numPr>
        <w:rPr>
          <w:rFonts w:ascii="Arial" w:cs="Arial" w:eastAsia="Arial" w:hAnsi="Arial"/>
          <w:sz w:val="13"/>
          <w:szCs w:val="13"/>
          <w:color w:val="302C45"/>
        </w:rPr>
      </w:pPr>
      <w:r>
        <w:rPr>
          <w:rFonts w:ascii="Arial" w:cs="Arial" w:eastAsia="Arial" w:hAnsi="Arial"/>
          <w:sz w:val="13"/>
          <w:szCs w:val="13"/>
          <w:color w:val="302C45"/>
        </w:rPr>
        <w:t>Fully Diluted ANI EPS calculations include the total of all shares of common stock, stock options under the treasury stock method, restricted stock awards, and the redeemable non-controlling interests of P10 Intermediate converted to Class A stock as of each period presented.</w:t>
      </w:r>
    </w:p>
    <w:p>
      <w:pPr>
        <w:spacing w:after="0" w:line="149" w:lineRule="exact"/>
        <w:rPr>
          <w:sz w:val="20"/>
          <w:szCs w:val="20"/>
          <w:color w:val="auto"/>
        </w:rPr>
      </w:pPr>
    </w:p>
    <w:p>
      <w:pPr>
        <w:ind w:left="2140"/>
        <w:spacing w:after="0"/>
        <w:rPr>
          <w:sz w:val="20"/>
          <w:szCs w:val="20"/>
          <w:color w:val="auto"/>
        </w:rPr>
      </w:pPr>
      <w:r>
        <w:rPr>
          <w:rFonts w:ascii="Arial" w:cs="Arial" w:eastAsia="Arial" w:hAnsi="Arial"/>
          <w:sz w:val="19"/>
          <w:szCs w:val="19"/>
          <w:b w:val="1"/>
          <w:bCs w:val="1"/>
          <w:color w:val="2F2F45"/>
        </w:rPr>
        <w:t>Notes to Reconciliation of Non-GAAP Financial Measures</w:t>
      </w:r>
    </w:p>
    <w:p>
      <w:pPr>
        <w:spacing w:after="0" w:line="184" w:lineRule="exact"/>
        <w:rPr>
          <w:sz w:val="20"/>
          <w:szCs w:val="20"/>
          <w:color w:val="auto"/>
        </w:rPr>
      </w:pPr>
    </w:p>
    <w:p>
      <w:pPr>
        <w:ind w:left="820" w:right="479"/>
        <w:spacing w:after="0" w:line="242" w:lineRule="auto"/>
        <w:rPr>
          <w:sz w:val="20"/>
          <w:szCs w:val="20"/>
          <w:color w:val="auto"/>
        </w:rPr>
      </w:pPr>
      <w:r>
        <w:rPr>
          <w:rFonts w:ascii="Arial" w:cs="Arial" w:eastAsia="Arial" w:hAnsi="Arial"/>
          <w:sz w:val="19"/>
          <w:szCs w:val="19"/>
          <w:color w:val="auto"/>
        </w:rPr>
        <w:t>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880110</wp:posOffset>
            </wp:positionV>
            <wp:extent cx="616839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1228725</wp:posOffset>
            </wp:positionH>
            <wp:positionV relativeFrom="page">
              <wp:posOffset>269240</wp:posOffset>
            </wp:positionV>
            <wp:extent cx="998855" cy="4654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998855" cy="465455"/>
                    </a:xfrm>
                    <a:prstGeom prst="rect">
                      <a:avLst/>
                    </a:prstGeom>
                    <a:noFill/>
                  </pic:spPr>
                </pic:pic>
              </a:graphicData>
            </a:graphic>
          </wp:anchor>
        </w:drawing>
      </w:r>
    </w:p>
    <w:p>
      <w:pPr>
        <w:spacing w:after="0" w:line="250" w:lineRule="exact"/>
        <w:rPr>
          <w:sz w:val="20"/>
          <w:szCs w:val="20"/>
          <w:color w:val="auto"/>
        </w:rPr>
      </w:pPr>
    </w:p>
    <w:p>
      <w:pPr>
        <w:ind w:left="820" w:right="499"/>
        <w:spacing w:after="0" w:line="250" w:lineRule="auto"/>
        <w:rPr>
          <w:sz w:val="20"/>
          <w:szCs w:val="20"/>
          <w:color w:val="auto"/>
        </w:rPr>
      </w:pPr>
      <w:r>
        <w:rPr>
          <w:rFonts w:ascii="Arial" w:cs="Arial" w:eastAsia="Arial" w:hAnsi="Arial"/>
          <w:sz w:val="19"/>
          <w:szCs w:val="19"/>
          <w:color w:val="auto"/>
        </w:rPr>
        <w:t>consider these measures in isolation or as a substitute for GAAP measures. Other companies may calculate these measures differently than we do, limiting their usefulness as a comparative measure.</w:t>
      </w:r>
    </w:p>
    <w:p>
      <w:pPr>
        <w:spacing w:after="0" w:line="145" w:lineRule="exact"/>
        <w:rPr>
          <w:sz w:val="20"/>
          <w:szCs w:val="20"/>
          <w:color w:val="auto"/>
        </w:rPr>
      </w:pPr>
    </w:p>
    <w:p>
      <w:pPr>
        <w:ind w:left="820" w:right="419"/>
        <w:spacing w:after="0" w:line="239" w:lineRule="auto"/>
        <w:rPr>
          <w:sz w:val="20"/>
          <w:szCs w:val="20"/>
          <w:color w:val="auto"/>
        </w:rPr>
      </w:pPr>
      <w:r>
        <w:rPr>
          <w:rFonts w:ascii="Arial" w:cs="Arial" w:eastAsia="Arial" w:hAnsi="Arial"/>
          <w:sz w:val="19"/>
          <w:szCs w:val="19"/>
          <w:color w:val="auto"/>
        </w:rPr>
        <w:t>We use Adjusted Net Income, or ANI, Fee-Related Revenues, Fee-Related Earnings and Fee-Related Earnings Margin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an estimate of our cash flows generated by our core operations. ANI is calculated as Fee-Related Earnings, plus Non-Fee Related Income, less actual cash paid for interest and federal and state income taxes.</w:t>
      </w:r>
    </w:p>
    <w:p>
      <w:pPr>
        <w:spacing w:after="0" w:line="156" w:lineRule="exact"/>
        <w:rPr>
          <w:sz w:val="20"/>
          <w:szCs w:val="20"/>
          <w:color w:val="auto"/>
        </w:rPr>
      </w:pPr>
    </w:p>
    <w:p>
      <w:pPr>
        <w:ind w:left="820" w:right="459"/>
        <w:spacing w:after="0" w:line="267" w:lineRule="auto"/>
        <w:rPr>
          <w:sz w:val="20"/>
          <w:szCs w:val="20"/>
          <w:color w:val="auto"/>
        </w:rPr>
      </w:pPr>
      <w:r>
        <w:rPr>
          <w:rFonts w:ascii="Arial" w:cs="Arial" w:eastAsia="Arial" w:hAnsi="Arial"/>
          <w:sz w:val="19"/>
          <w:szCs w:val="19"/>
          <w:color w:val="auto"/>
        </w:rPr>
        <w:t>In order to compute Fee-Related Earnings, we adjust our GAAP Net Income for the following items:</w:t>
      </w:r>
    </w:p>
    <w:p>
      <w:pPr>
        <w:spacing w:after="0" w:line="129" w:lineRule="exact"/>
        <w:rPr>
          <w:sz w:val="20"/>
          <w:szCs w:val="20"/>
          <w:color w:val="auto"/>
        </w:rPr>
      </w:pPr>
    </w:p>
    <w:p>
      <w:pPr>
        <w:ind w:left="1380" w:right="819" w:hanging="282"/>
        <w:spacing w:after="0" w:line="243" w:lineRule="auto"/>
        <w:tabs>
          <w:tab w:leader="none" w:pos="138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Expenses that typically do not require us to pay them in cash in the current period (such as depreciation, amortization and stock-based compensation);</w:t>
      </w:r>
    </w:p>
    <w:p>
      <w:pPr>
        <w:ind w:left="1380" w:hanging="282"/>
        <w:spacing w:after="0" w:line="232" w:lineRule="auto"/>
        <w:tabs>
          <w:tab w:leader="none" w:pos="138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The cost of financing our business;</w:t>
      </w:r>
    </w:p>
    <w:p>
      <w:pPr>
        <w:ind w:left="1380" w:right="1099" w:hanging="282"/>
        <w:spacing w:after="0" w:line="233" w:lineRule="auto"/>
        <w:tabs>
          <w:tab w:leader="none" w:pos="138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One-time expenses related to restructuring of the management team including placement/search fees;</w:t>
      </w:r>
    </w:p>
    <w:p>
      <w:pPr>
        <w:ind w:left="1380" w:hanging="282"/>
        <w:spacing w:after="0" w:line="232" w:lineRule="auto"/>
        <w:tabs>
          <w:tab w:leader="none" w:pos="138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Expenses related to one-time technical accounting matters;</w:t>
      </w:r>
    </w:p>
    <w:p>
      <w:pPr>
        <w:ind w:left="1380" w:right="439" w:hanging="282"/>
        <w:spacing w:after="0" w:line="233" w:lineRule="auto"/>
        <w:tabs>
          <w:tab w:leader="none" w:pos="138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w:t>
      </w:r>
    </w:p>
    <w:p>
      <w:pPr>
        <w:spacing w:after="0" w:line="2" w:lineRule="exact"/>
        <w:rPr>
          <w:rFonts w:ascii="Times New Roman" w:cs="Times New Roman" w:eastAsia="Times New Roman" w:hAnsi="Times New Roman"/>
          <w:sz w:val="19"/>
          <w:szCs w:val="19"/>
          <w:color w:val="auto"/>
        </w:rPr>
      </w:pPr>
    </w:p>
    <w:p>
      <w:pPr>
        <w:ind w:left="1380" w:hanging="282"/>
        <w:spacing w:after="0" w:line="232" w:lineRule="auto"/>
        <w:tabs>
          <w:tab w:leader="none" w:pos="138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The effects of income taxes;</w:t>
      </w:r>
    </w:p>
    <w:p>
      <w:pPr>
        <w:ind w:left="1380" w:hanging="282"/>
        <w:spacing w:after="0"/>
        <w:tabs>
          <w:tab w:leader="none" w:pos="138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Non-Fee Related Income.</w:t>
      </w:r>
    </w:p>
    <w:p>
      <w:pPr>
        <w:spacing w:after="0" w:line="378" w:lineRule="exact"/>
        <w:rPr>
          <w:sz w:val="20"/>
          <w:szCs w:val="20"/>
          <w:color w:val="auto"/>
        </w:rPr>
      </w:pPr>
    </w:p>
    <w:p>
      <w:pPr>
        <w:ind w:left="820"/>
        <w:spacing w:after="0"/>
        <w:rPr>
          <w:sz w:val="20"/>
          <w:szCs w:val="20"/>
          <w:color w:val="auto"/>
        </w:rPr>
      </w:pPr>
      <w:r>
        <w:rPr>
          <w:rFonts w:ascii="Arial" w:cs="Arial" w:eastAsia="Arial" w:hAnsi="Arial"/>
          <w:sz w:val="19"/>
          <w:szCs w:val="19"/>
          <w:color w:val="auto"/>
        </w:rPr>
        <w:t>Fee-Related Revenues is calculated as Total Revenues less Non-Fee Related Revenue.</w:t>
      </w:r>
    </w:p>
    <w:p>
      <w:pPr>
        <w:spacing w:after="0" w:line="184" w:lineRule="exact"/>
        <w:rPr>
          <w:sz w:val="20"/>
          <w:szCs w:val="20"/>
          <w:color w:val="auto"/>
        </w:rPr>
      </w:pPr>
    </w:p>
    <w:p>
      <w:pPr>
        <w:ind w:left="820" w:right="639"/>
        <w:spacing w:after="0" w:line="295" w:lineRule="auto"/>
        <w:rPr>
          <w:sz w:val="20"/>
          <w:szCs w:val="20"/>
          <w:color w:val="auto"/>
        </w:rPr>
      </w:pPr>
      <w:r>
        <w:rPr>
          <w:rFonts w:ascii="Arial" w:cs="Arial" w:eastAsia="Arial" w:hAnsi="Arial"/>
          <w:sz w:val="18"/>
          <w:szCs w:val="18"/>
          <w:color w:val="auto"/>
        </w:rPr>
        <w:t>Fee-Related Earnings is a non-GAAP performance measure used to monitor our baseline earnings less any incentive fee revenue and excluding any incentive fee-related expenses.</w:t>
      </w:r>
    </w:p>
    <w:p>
      <w:pPr>
        <w:spacing w:after="0" w:line="106" w:lineRule="exact"/>
        <w:rPr>
          <w:sz w:val="20"/>
          <w:szCs w:val="20"/>
          <w:color w:val="auto"/>
        </w:rPr>
      </w:pPr>
    </w:p>
    <w:p>
      <w:pPr>
        <w:ind w:left="820" w:right="499"/>
        <w:spacing w:after="0" w:line="267" w:lineRule="auto"/>
        <w:rPr>
          <w:sz w:val="20"/>
          <w:szCs w:val="20"/>
          <w:color w:val="auto"/>
        </w:rPr>
      </w:pPr>
      <w:r>
        <w:rPr>
          <w:rFonts w:ascii="Arial" w:cs="Arial" w:eastAsia="Arial" w:hAnsi="Arial"/>
          <w:sz w:val="19"/>
          <w:szCs w:val="19"/>
          <w:color w:val="auto"/>
        </w:rPr>
        <w:t>Fee-Related Earnings Margin is calculated as Fee-Related Earnings divided by Fee-Related Revenues.</w:t>
      </w:r>
    </w:p>
    <w:p>
      <w:pPr>
        <w:spacing w:after="0" w:line="129" w:lineRule="exact"/>
        <w:rPr>
          <w:sz w:val="20"/>
          <w:szCs w:val="20"/>
          <w:color w:val="auto"/>
        </w:rPr>
      </w:pPr>
    </w:p>
    <w:p>
      <w:pPr>
        <w:ind w:left="820" w:right="879"/>
        <w:spacing w:after="0" w:line="267" w:lineRule="auto"/>
        <w:rPr>
          <w:sz w:val="20"/>
          <w:szCs w:val="20"/>
          <w:color w:val="auto"/>
        </w:rPr>
      </w:pPr>
      <w:r>
        <w:rPr>
          <w:rFonts w:ascii="Arial" w:cs="Arial" w:eastAsia="Arial" w:hAnsi="Arial"/>
          <w:sz w:val="19"/>
          <w:szCs w:val="19"/>
          <w:color w:val="auto"/>
        </w:rPr>
        <w:t>Adjusted Net Income reflects net cash paid for federal and state income taxes and cash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1661160</wp:posOffset>
            </wp:positionV>
            <wp:extent cx="616839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840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55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5855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55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5855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55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5855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5645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5645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2025-05-08T06:41:57Z</dcterms:created>
  <dcterms:modified xsi:type="dcterms:W3CDTF">2025-05-08T06:41:57Z</dcterms:modified>
</cp:coreProperties>
</file>