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2124075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ind w:left="3420"/>
        <w:spacing w:after="0"/>
        <w:rPr>
          <w:sz w:val="20"/>
          <w:szCs w:val="20"/>
          <w:color w:val="auto"/>
        </w:rPr>
      </w:pPr>
      <w:r>
        <w:rPr>
          <w:rFonts w:ascii="Arial" w:cs="Arial" w:eastAsia="Arial" w:hAnsi="Arial"/>
          <w:sz w:val="24"/>
          <w:szCs w:val="24"/>
          <w:b w:val="1"/>
          <w:bCs w:val="1"/>
          <w:color w:val="auto"/>
        </w:rPr>
        <w:t>CURRENT REPORT</w:t>
      </w:r>
    </w:p>
    <w:p>
      <w:pPr>
        <w:spacing w:after="0" w:line="156" w:lineRule="exact"/>
        <w:rPr>
          <w:sz w:val="24"/>
          <w:szCs w:val="24"/>
          <w:color w:val="auto"/>
        </w:rPr>
      </w:pPr>
    </w:p>
    <w:p>
      <w:pPr>
        <w:ind w:left="2800"/>
        <w:spacing w:after="0"/>
        <w:rPr>
          <w:sz w:val="20"/>
          <w:szCs w:val="20"/>
          <w:color w:val="auto"/>
        </w:rPr>
      </w:pPr>
      <w:r>
        <w:rPr>
          <w:rFonts w:ascii="Arial" w:cs="Arial" w:eastAsia="Arial" w:hAnsi="Arial"/>
          <w:sz w:val="24"/>
          <w:szCs w:val="24"/>
          <w:b w:val="1"/>
          <w:bCs w:val="1"/>
          <w:color w:val="auto"/>
        </w:rPr>
        <w:t>Pursuant to Section 13 or 15(d) of</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The Securities Exchange Act of 1934</w:t>
      </w:r>
    </w:p>
    <w:p>
      <w:pPr>
        <w:spacing w:after="0" w:line="12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Date of Report (Date of earliest event reported): April 24,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2124075</wp:posOffset>
            </wp:positionH>
            <wp:positionV relativeFrom="paragraph">
              <wp:posOffset>122555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9"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4520" w:type="dxa"/>
            <w:vAlign w:val="bottom"/>
          </w:tcPr>
          <w:p>
            <w:pPr>
              <w:jc w:val="right"/>
              <w:ind w:right="3004"/>
              <w:spacing w:after="0"/>
              <w:rPr>
                <w:sz w:val="20"/>
                <w:szCs w:val="20"/>
                <w:color w:val="auto"/>
              </w:rPr>
            </w:pPr>
            <w:r>
              <w:rPr>
                <w:rFonts w:ascii="Arial" w:cs="Arial" w:eastAsia="Arial" w:hAnsi="Arial"/>
                <w:sz w:val="18"/>
                <w:szCs w:val="18"/>
                <w:b w:val="1"/>
                <w:bCs w:val="1"/>
                <w:color w:val="auto"/>
              </w:rPr>
              <w:t>000-30939</w:t>
            </w:r>
          </w:p>
        </w:tc>
      </w:tr>
      <w:tr>
        <w:trPr>
          <w:trHeight w:val="174"/>
        </w:trPr>
        <w:tc>
          <w:tcPr>
            <w:tcW w:w="3500" w:type="dxa"/>
            <w:vAlign w:val="bottom"/>
          </w:tcPr>
          <w:p>
            <w:pPr>
              <w:spacing w:after="0"/>
              <w:rPr>
                <w:sz w:val="15"/>
                <w:szCs w:val="15"/>
                <w:color w:val="auto"/>
              </w:rPr>
            </w:pPr>
          </w:p>
        </w:tc>
        <w:tc>
          <w:tcPr>
            <w:tcW w:w="4520" w:type="dxa"/>
            <w:vAlign w:val="bottom"/>
          </w:tcPr>
          <w:p>
            <w:pPr>
              <w:jc w:val="center"/>
              <w:ind w:right="2324"/>
              <w:spacing w:after="0"/>
              <w:rPr>
                <w:sz w:val="20"/>
                <w:szCs w:val="20"/>
                <w:color w:val="auto"/>
              </w:rPr>
            </w:pPr>
            <w:r>
              <w:rPr>
                <w:rFonts w:ascii="Arial" w:cs="Arial" w:eastAsia="Arial" w:hAnsi="Arial"/>
                <w:sz w:val="14"/>
                <w:szCs w:val="14"/>
                <w:b w:val="1"/>
                <w:bCs w:val="1"/>
                <w:color w:val="auto"/>
                <w:w w:val="87"/>
              </w:rPr>
              <w:t>(Commission File Number)</w:t>
            </w:r>
          </w:p>
        </w:tc>
      </w:tr>
      <w:tr>
        <w:trPr>
          <w:trHeight w:val="339"/>
        </w:trPr>
        <w:tc>
          <w:tcPr>
            <w:tcW w:w="3500" w:type="dxa"/>
            <w:vAlign w:val="bottom"/>
          </w:tcPr>
          <w:p>
            <w:pPr>
              <w:jc w:val="center"/>
              <w:ind w:right="202"/>
              <w:spacing w:after="0"/>
              <w:rPr>
                <w:sz w:val="20"/>
                <w:szCs w:val="20"/>
                <w:color w:val="auto"/>
              </w:rPr>
            </w:pPr>
            <w:r>
              <w:rPr>
                <w:rFonts w:ascii="Arial" w:cs="Arial" w:eastAsia="Arial" w:hAnsi="Arial"/>
                <w:sz w:val="18"/>
                <w:szCs w:val="18"/>
                <w:b w:val="1"/>
                <w:bCs w:val="1"/>
                <w:color w:val="auto"/>
                <w:w w:val="88"/>
              </w:rPr>
              <w:t>Delaware</w:t>
            </w:r>
          </w:p>
        </w:tc>
        <w:tc>
          <w:tcPr>
            <w:tcW w:w="452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35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88"/>
              </w:rPr>
              <w:t>(State of Other Jurisdiction of Incorporation)</w:t>
            </w:r>
          </w:p>
        </w:tc>
        <w:tc>
          <w:tcPr>
            <w:tcW w:w="4520" w:type="dxa"/>
            <w:vAlign w:val="bottom"/>
          </w:tcPr>
          <w:p>
            <w:pPr>
              <w:jc w:val="center"/>
              <w:ind w:left="3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500" w:type="dxa"/>
            <w:vAlign w:val="bottom"/>
          </w:tcPr>
          <w:p>
            <w:pPr>
              <w:spacing w:after="0"/>
              <w:rPr>
                <w:sz w:val="15"/>
                <w:szCs w:val="15"/>
                <w:color w:val="auto"/>
              </w:rPr>
            </w:pPr>
          </w:p>
        </w:tc>
        <w:tc>
          <w:tcPr>
            <w:tcW w:w="4520" w:type="dxa"/>
            <w:vAlign w:val="bottom"/>
          </w:tcPr>
          <w:p>
            <w:pPr>
              <w:jc w:val="center"/>
              <w:ind w:left="33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3500" w:type="dxa"/>
            <w:vAlign w:val="bottom"/>
          </w:tcPr>
          <w:p>
            <w:pPr>
              <w:jc w:val="center"/>
              <w:ind w:right="202"/>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452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3500" w:type="dxa"/>
            <w:vAlign w:val="bottom"/>
          </w:tcPr>
          <w:p>
            <w:pPr>
              <w:jc w:val="center"/>
              <w:ind w:right="20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520" w:type="dxa"/>
            <w:vAlign w:val="bottom"/>
          </w:tcPr>
          <w:p>
            <w:pPr>
              <w:jc w:val="center"/>
              <w:ind w:left="3384"/>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11525 Stonehollow Dr., Suite 110, Austin, Texas 78758</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-732790</wp:posOffset>
            </wp:positionH>
            <wp:positionV relativeFrom="paragraph">
              <wp:posOffset>154305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59"/>
          </w:cols>
          <w:pgMar w:left="1400" w:top="773" w:right="1440"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231" w:lineRule="exact"/>
        <w:rPr>
          <w:sz w:val="20"/>
          <w:szCs w:val="20"/>
          <w:color w:val="auto"/>
        </w:rPr>
      </w:pPr>
    </w:p>
    <w:p>
      <w:pPr>
        <w:ind w:left="1260" w:hanging="1252"/>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 99</w:t>
      </w:r>
      <w:r>
        <w:rPr>
          <w:rFonts w:ascii="Arial" w:cs="Arial" w:eastAsia="Arial" w:hAnsi="Arial"/>
          <w:sz w:val="15"/>
          <w:szCs w:val="15"/>
          <w:color w:val="auto"/>
        </w:rPr>
        <w:t>Press Release of Active Power, Inc. dated April 24, 2003</w:t>
      </w:r>
    </w:p>
    <w:p>
      <w:pPr>
        <w:spacing w:after="0" w:line="21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Regulation FD Disclosure (Information Furnished Pursuant to “Item 12. Results of Operations and Financial Condition”)</w:t>
      </w:r>
    </w:p>
    <w:p>
      <w:pPr>
        <w:spacing w:after="0" w:line="231" w:lineRule="exact"/>
        <w:rPr>
          <w:sz w:val="20"/>
          <w:szCs w:val="20"/>
          <w:color w:val="auto"/>
        </w:rPr>
      </w:pPr>
    </w:p>
    <w:p>
      <w:pPr>
        <w:ind w:firstLine="1255"/>
        <w:spacing w:after="0" w:line="268" w:lineRule="auto"/>
        <w:rPr>
          <w:sz w:val="20"/>
          <w:szCs w:val="20"/>
          <w:color w:val="auto"/>
        </w:rPr>
      </w:pPr>
      <w:r>
        <w:rPr>
          <w:rFonts w:ascii="Arial" w:cs="Arial" w:eastAsia="Arial" w:hAnsi="Arial"/>
          <w:sz w:val="18"/>
          <w:szCs w:val="18"/>
          <w:color w:val="auto"/>
        </w:rPr>
        <w:t>On April 24, 2003, Active Power, Inc. issued a press release describing its results of operations for its fiscal quarter ended March 31, 2003. A copy of the press release is attached as Exhibit 99 to this current report.</w:t>
      </w:r>
    </w:p>
    <w:p>
      <w:pPr>
        <w:spacing w:after="0" w:line="2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22"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Registrant has duly caused this report to be signed on its behalf by the undersigned hereunto duly authorized.</w:t>
      </w:r>
    </w:p>
    <w:p>
      <w:pPr>
        <w:spacing w:after="0" w:line="112"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20"/>
        <w:spacing w:after="0"/>
        <w:tabs>
          <w:tab w:leader="none" w:pos="5820" w:val="left"/>
          <w:tab w:leader="none" w:pos="6500" w:val="left"/>
          <w:tab w:leader="none" w:pos="6840" w:val="left"/>
        </w:tabs>
        <w:rPr>
          <w:sz w:val="20"/>
          <w:szCs w:val="20"/>
          <w:color w:val="auto"/>
        </w:rPr>
      </w:pPr>
      <w:r>
        <w:rPr>
          <w:rFonts w:ascii="Arial" w:cs="Arial" w:eastAsia="Arial" w:hAnsi="Arial"/>
          <w:sz w:val="18"/>
          <w:szCs w:val="18"/>
          <w:color w:val="auto"/>
        </w:rPr>
        <w:t>Dated: April 24, 2003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Chairman of the Board, President and Chief Executive Officer</w:t>
      </w:r>
    </w:p>
    <w:p>
      <w:pPr>
        <w:sectPr>
          <w:pgSz w:w="11900" w:h="16838" w:orient="portrait"/>
          <w:cols w:equalWidth="0" w:num="1">
            <w:col w:w="11200"/>
          </w:cols>
          <w:pgMar w:left="240" w:top="422" w:right="459" w:bottom="1440" w:gutter="0" w:footer="0" w:header="0"/>
        </w:sectPr>
      </w:pPr>
    </w:p>
    <w:bookmarkStart w:id="3" w:name="page4"/>
    <w:bookmarkEnd w:id="3"/>
    <w:p>
      <w:pPr>
        <w:ind w:left="4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ectPr>
          <w:pgSz w:w="11900" w:h="16838" w:orient="portrait"/>
          <w:cols w:equalWidth="0" w:num="1">
            <w:col w:w="9539"/>
          </w:cols>
          <w:pgMar w:left="920" w:top="422" w:right="1440" w:bottom="1440" w:gutter="0" w:footer="0" w:header="0"/>
        </w:sect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Exhibit No.</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Description</w:t>
      </w:r>
    </w:p>
    <w:p>
      <w:pPr>
        <w:spacing w:after="0" w:line="200" w:lineRule="exact"/>
        <w:rPr>
          <w:sz w:val="20"/>
          <w:szCs w:val="20"/>
          <w:color w:val="auto"/>
        </w:rPr>
      </w:pPr>
    </w:p>
    <w:p>
      <w:pPr>
        <w:sectPr>
          <w:pgSz w:w="11900" w:h="16838" w:orient="portrait"/>
          <w:cols w:equalWidth="0" w:num="2">
            <w:col w:w="1100" w:space="720"/>
            <w:col w:w="7719"/>
          </w:cols>
          <w:pgMar w:left="920" w:top="422" w:right="1440" w:bottom="1440" w:gutter="0" w:footer="0" w:header="0"/>
          <w:type w:val="continuous"/>
        </w:sectPr>
      </w:pPr>
    </w:p>
    <w:p>
      <w:pPr>
        <w:spacing w:after="0" w:line="4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Press Release of Active Power, Inc. dated April 24, 2003</w:t>
      </w:r>
    </w:p>
    <w:p>
      <w:pPr>
        <w:sectPr>
          <w:pgSz w:w="11900" w:h="16838" w:orient="portrait"/>
          <w:cols w:equalWidth="0" w:num="2">
            <w:col w:w="1100" w:space="720"/>
            <w:col w:w="7719"/>
          </w:cols>
          <w:pgMar w:left="920" w:top="422" w:right="1440"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 of Active Power, Inc. dated April 24,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LOGO]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FIRST QUARTER RESULTS</w:t>
      </w:r>
    </w:p>
    <w:p>
      <w:pPr>
        <w:spacing w:after="0" w:line="16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AUSTIN, Texas (April 24, 2003) — Active Power, Inc. (NASDAQ: ACPW) today announced results for its first quarter ended March 31, 2003. Total revenues for the first quarter of fiscal 2003 totaled $1.6 million, down 61% from the same period the previous year. Included in this decrease was the absence of any development funding during the first quarter of 2003, compared with $1.0 million of development funding for the same period in 2002.</w:t>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loss for the first quarter of 2003 was $6.3 million, or 15 cents per share, compared to a net loss of $6.5 million, or 16 cents per share, in the first quarter of 2002. Consumption of cash and investments for the quarter was $5.3 million, as compared to $8.3 million for the same period last year. Cash and investments at March 31, 2003 were $84.7 million.</w:t>
      </w:r>
    </w:p>
    <w:p>
      <w:pPr>
        <w:spacing w:after="0" w:line="12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“Product revenue was less than expected for the first quarter due primarily to protracted purchasing decisions in a weak capital spending environment. We have, however, seen an increase in end-user quoting activity, particularly for our new 1200 kVA UPS product. We made significant strides in establishing additional sales, distribution and service channels throughout North America and internationally in the first quarter, which we anticipate will begin impacting business activity in the second half of this year,” said Joe Pinkerton, Chairman and CEO of Active Power.</w:t>
      </w:r>
    </w:p>
    <w:p>
      <w:pPr>
        <w:spacing w:after="0" w:line="9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product development efforts continue to go well. We are nearing completion of our 65-1200 kVA flywheel-based UPS product line and have recently made excellent strides in the development of a 5-15 minute runtime battery-free system. We intend to leverage our expanded product line and additional sales channels to drive revenue growth over the next several quarters.”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Business Highlights:</w:t>
      </w:r>
    </w:p>
    <w:p>
      <w:pPr>
        <w:spacing w:after="0" w:line="77" w:lineRule="exact"/>
        <w:rPr>
          <w:sz w:val="20"/>
          <w:szCs w:val="20"/>
          <w:color w:val="auto"/>
        </w:rPr>
      </w:pPr>
    </w:p>
    <w:p>
      <w:pPr>
        <w:ind w:left="760" w:right="260" w:hanging="306"/>
        <w:spacing w:after="0" w:line="268"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our first order earlier this week, worth over $400,000, for two of our new high power 1200 kVA UPS products. This compact and efficient battery-free product has been generating outstanding interest from megawatt-class UPS customers.</w:t>
      </w:r>
    </w:p>
    <w:p>
      <w:pPr>
        <w:spacing w:after="0" w:line="37" w:lineRule="exact"/>
        <w:rPr>
          <w:rFonts w:ascii="Arial" w:cs="Arial" w:eastAsia="Arial" w:hAnsi="Arial"/>
          <w:sz w:val="18"/>
          <w:szCs w:val="18"/>
          <w:color w:val="auto"/>
        </w:rPr>
      </w:pPr>
    </w:p>
    <w:p>
      <w:pPr>
        <w:ind w:left="760" w:right="380" w:hanging="306"/>
        <w:spacing w:after="0" w:line="228"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our OEM channel by adding Fuji Electric, a leading UPS supplier in Asia, to sell and distribute CleanSource</w:t>
      </w:r>
      <w:r>
        <w:rPr>
          <w:rFonts w:ascii="Arial" w:cs="Arial" w:eastAsia="Arial" w:hAnsi="Arial"/>
          <w:sz w:val="22"/>
          <w:szCs w:val="22"/>
          <w:color w:val="auto"/>
          <w:vertAlign w:val="superscript"/>
        </w:rPr>
        <w:t>®</w:t>
      </w:r>
      <w:r>
        <w:rPr>
          <w:rFonts w:ascii="Arial" w:cs="Arial" w:eastAsia="Arial" w:hAnsi="Arial"/>
          <w:sz w:val="18"/>
          <w:szCs w:val="18"/>
          <w:color w:val="auto"/>
        </w:rPr>
        <w:t>2 DC systems in Japan. In addition,</w:t>
      </w:r>
    </w:p>
    <w:p>
      <w:pPr>
        <w:sectPr>
          <w:pgSz w:w="11900" w:h="16838" w:orient="portrait"/>
          <w:cols w:equalWidth="0" w:num="1">
            <w:col w:w="11420"/>
          </w:cols>
          <w:pgMar w:left="240" w:top="274" w:right="239" w:bottom="1440" w:gutter="0" w:footer="0" w:header="0"/>
        </w:sectPr>
      </w:pPr>
    </w:p>
    <w:bookmarkStart w:id="5" w:name="page6"/>
    <w:bookmarkEnd w:id="5"/>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strengthened our OEM channel by continuing our support and training of Caterpillar and Powerware sales and service personnel.</w:t>
      </w:r>
    </w:p>
    <w:p>
      <w:pPr>
        <w:spacing w:after="0" w:line="77" w:lineRule="exact"/>
        <w:rPr>
          <w:sz w:val="20"/>
          <w:szCs w:val="20"/>
          <w:color w:val="auto"/>
        </w:rPr>
      </w:pPr>
    </w:p>
    <w:p>
      <w:pPr>
        <w:ind w:left="760" w:right="440" w:hanging="306"/>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our efforts to lower cash consumption and operating costs by implementing a workforce reduction earlier this week that will lower our annual costs by approximately $3 million, beginning in Q3 of this year.</w:t>
      </w:r>
    </w:p>
    <w:p>
      <w:pPr>
        <w:spacing w:after="0" w:line="37" w:lineRule="exact"/>
        <w:rPr>
          <w:rFonts w:ascii="Arial" w:cs="Arial" w:eastAsia="Arial" w:hAnsi="Arial"/>
          <w:sz w:val="18"/>
          <w:szCs w:val="18"/>
          <w:color w:val="auto"/>
        </w:rPr>
      </w:pPr>
    </w:p>
    <w:p>
      <w:pPr>
        <w:ind w:left="760" w:right="340" w:hanging="306"/>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Executed agreements with several manufacturer’s representatives and distributors to sell our Active Power branded products throughout the United States.</w:t>
      </w:r>
    </w:p>
    <w:p>
      <w:pPr>
        <w:spacing w:after="0" w:line="37" w:lineRule="exact"/>
        <w:rPr>
          <w:rFonts w:ascii="Arial" w:cs="Arial" w:eastAsia="Arial" w:hAnsi="Arial"/>
          <w:sz w:val="18"/>
          <w:szCs w:val="18"/>
          <w:color w:val="auto"/>
        </w:rPr>
      </w:pPr>
    </w:p>
    <w:p>
      <w:pPr>
        <w:ind w:left="760" w:right="180" w:hanging="306"/>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Built on previous success protecting airport facilities by shipping a UPS system to a Spanish airport in Q1. This UPS system will protect the airport’s critical runway lighting systems.</w:t>
      </w:r>
    </w:p>
    <w:p>
      <w:pPr>
        <w:spacing w:after="0" w:line="37" w:lineRule="exact"/>
        <w:rPr>
          <w:rFonts w:ascii="Arial" w:cs="Arial" w:eastAsia="Arial" w:hAnsi="Arial"/>
          <w:sz w:val="18"/>
          <w:szCs w:val="18"/>
          <w:color w:val="auto"/>
        </w:rPr>
      </w:pPr>
    </w:p>
    <w:p>
      <w:pPr>
        <w:ind w:left="760" w:right="440" w:hanging="306"/>
        <w:spacing w:after="0" w:line="325"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Furthered our success in the broadcast industry at the recently held National Association of Broadcasters trade show with a well-received product demonstration that resulted in excellent lead generation, particularly for our new mid-range (65-130 kVA) UPS product line.</w:t>
      </w:r>
    </w:p>
    <w:p>
      <w:pPr>
        <w:spacing w:after="0" w:line="1" w:lineRule="exact"/>
        <w:rPr>
          <w:rFonts w:ascii="Arial" w:cs="Arial" w:eastAsia="Arial" w:hAnsi="Arial"/>
          <w:sz w:val="16"/>
          <w:szCs w:val="16"/>
          <w:color w:val="auto"/>
        </w:rPr>
      </w:pPr>
    </w:p>
    <w:p>
      <w:pPr>
        <w:ind w:left="760" w:hanging="306"/>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Awarded the Frost and Sullivan product strategy award for 2003 for our ability to satisfy customer needs with new and innovative products.</w:t>
      </w:r>
    </w:p>
    <w:p>
      <w:pPr>
        <w:spacing w:after="0" w:line="126" w:lineRule="exact"/>
        <w:rPr>
          <w:rFonts w:ascii="Arial" w:cs="Arial" w:eastAsia="Arial" w:hAnsi="Arial"/>
          <w:sz w:val="16"/>
          <w:szCs w:val="16"/>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Surpassed 5 million hours of product runtime protecting critical applications around the world.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Outlook:</w:t>
      </w:r>
    </w:p>
    <w:p>
      <w:pPr>
        <w:spacing w:after="0" w:line="1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Active Power expects a moderate sequential increase in second quarter 2003 revenue. We believe second quarter earnings per share will be a loss of 14 to 15 cents, and consumption of cash and investments will decrease to a range of $4.5 million to $5.0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1" w:lineRule="exact"/>
        <w:rPr>
          <w:sz w:val="20"/>
          <w:szCs w:val="20"/>
          <w:color w:val="auto"/>
        </w:rPr>
      </w:pPr>
    </w:p>
    <w:p>
      <w:pPr>
        <w:spacing w:after="0" w:line="311" w:lineRule="auto"/>
        <w:rPr>
          <w:sz w:val="20"/>
          <w:szCs w:val="20"/>
          <w:color w:val="auto"/>
        </w:rPr>
      </w:pPr>
      <w:r>
        <w:rPr>
          <w:rFonts w:ascii="Arial" w:cs="Arial" w:eastAsia="Arial" w:hAnsi="Arial"/>
          <w:sz w:val="17"/>
          <w:szCs w:val="17"/>
          <w:color w:val="auto"/>
        </w:rPr>
        <w:t>The Company will host a conference call today, Thursday, April 24, at 11:00 a.m. Eastern Time, to further review the Company’s fiscal Q1 results. A replay of the webcast will be available until May 9</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Access the live broadcast and replay through our web site: </w:t>
      </w:r>
      <w:r>
        <w:rPr>
          <w:rFonts w:ascii="Arial" w:cs="Arial" w:eastAsia="Arial" w:hAnsi="Arial"/>
          <w:sz w:val="17"/>
          <w:szCs w:val="17"/>
          <w:u w:val="single" w:color="auto"/>
          <w:color w:val="auto"/>
        </w:rPr>
        <w:t>www.activepower.com</w:t>
      </w:r>
      <w:r>
        <w:rPr>
          <w:rFonts w:ascii="Arial" w:cs="Arial" w:eastAsia="Arial" w:hAnsi="Arial"/>
          <w:sz w:val="17"/>
          <w:szCs w:val="17"/>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21" w:lineRule="exact"/>
        <w:rPr>
          <w:sz w:val="20"/>
          <w:szCs w:val="20"/>
          <w:color w:val="auto"/>
        </w:rPr>
      </w:pPr>
    </w:p>
    <w:p>
      <w:pPr>
        <w:ind w:right="240"/>
        <w:spacing w:after="0" w:line="316" w:lineRule="auto"/>
        <w:rPr>
          <w:sz w:val="20"/>
          <w:szCs w:val="20"/>
          <w:color w:val="auto"/>
        </w:rPr>
      </w:pPr>
      <w:r>
        <w:rPr>
          <w:rFonts w:ascii="Arial" w:cs="Arial" w:eastAsia="Arial" w:hAnsi="Arial"/>
          <w:sz w:val="16"/>
          <w:szCs w:val="16"/>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 CleanSource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that provides a highly reliable, low-cost and non-toxic replacement for lead-acid batteries used in conventional power quality installations.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a slowing global economy, particularly in the primary markets served by the Company’s products; limited product lines; inability to expand</w:t>
      </w:r>
    </w:p>
    <w:p>
      <w:pPr>
        <w:sectPr>
          <w:pgSz w:w="11900" w:h="16838" w:orient="portrait"/>
          <w:cols w:equalWidth="0" w:num="1">
            <w:col w:w="11420"/>
          </w:cols>
          <w:pgMar w:left="240" w:top="280" w:right="239" w:bottom="1440" w:gutter="0" w:footer="0" w:header="0"/>
        </w:sectPr>
      </w:pPr>
    </w:p>
    <w:bookmarkStart w:id="6" w:name="page7"/>
    <w:bookmarkEnd w:id="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integrate new distribution channels; our dependence on our relationship with Caterpillar</w:t>
      </w:r>
      <w:r>
        <w:rPr>
          <w:rFonts w:ascii="Arial" w:cs="Arial" w:eastAsia="Arial" w:hAnsi="Arial"/>
          <w:sz w:val="16"/>
          <w:szCs w:val="16"/>
          <w:color w:val="auto"/>
          <w:vertAlign w:val="superscript"/>
        </w:rPr>
        <w:t>®</w:t>
      </w:r>
      <w:r>
        <w:rPr>
          <w:rFonts w:ascii="Arial" w:cs="Arial" w:eastAsia="Arial" w:hAnsi="Arial"/>
          <w:sz w:val="16"/>
          <w:szCs w:val="16"/>
          <w:color w:val="auto"/>
        </w:rPr>
        <w:t xml:space="preserve"> Inc.; competition; delays in research and development; inability to increase product sales; inventory risks; dependence upon key personnel; inability to protect our intellectual property rights; potential future acquisitions; the volatility of our stock price regardless of our actual financial performance; and other factors detailed in Active Power’s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and CleanSource are registered trademarks of 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All other trademarks are the properties of their respective companies.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Michael Chibib, Investors, 512.744.9453, </w:t>
      </w:r>
      <w:r>
        <w:rPr>
          <w:rFonts w:ascii="Arial" w:cs="Arial" w:eastAsia="Arial" w:hAnsi="Arial"/>
          <w:sz w:val="18"/>
          <w:szCs w:val="18"/>
          <w:u w:val="single" w:color="auto"/>
          <w:color w:val="auto"/>
        </w:rPr>
        <w:t>mchibib@activepower.com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Derek Jones, Corporate Communications, 512.744.9210, </w:t>
      </w:r>
      <w:r>
        <w:rPr>
          <w:rFonts w:ascii="Arial" w:cs="Arial" w:eastAsia="Arial" w:hAnsi="Arial"/>
          <w:sz w:val="18"/>
          <w:szCs w:val="18"/>
          <w:u w:val="single" w:color="auto"/>
          <w:color w:val="auto"/>
        </w:rPr>
        <w:t>djones@activepower.com</w:t>
      </w:r>
    </w:p>
    <w:p>
      <w:pPr>
        <w:sectPr>
          <w:pgSz w:w="11900" w:h="16838" w:orient="portrait"/>
          <w:cols w:equalWidth="0" w:num="1">
            <w:col w:w="11260"/>
          </w:cols>
          <w:pgMar w:left="240" w:top="278"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for per share amounts)</w:t>
      </w:r>
    </w:p>
    <w:p>
      <w:pPr>
        <w:spacing w:after="0" w:line="147"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1"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60325</wp:posOffset>
            </wp:positionV>
            <wp:extent cx="11233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5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133"/>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5"/>
                <w:szCs w:val="15"/>
                <w:color w:val="auto"/>
              </w:rPr>
            </w:pPr>
          </w:p>
        </w:tc>
      </w:tr>
      <w:tr>
        <w:trPr>
          <w:trHeight w:val="95"/>
        </w:trPr>
        <w:tc>
          <w:tcPr>
            <w:tcW w:w="95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95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150" w:type="dxa"/>
            <w:vAlign w:val="bottom"/>
            <w:gridSpan w:val="4"/>
          </w:tcPr>
          <w:p>
            <w:pPr>
              <w:ind w:left="450"/>
              <w:spacing w:after="0"/>
              <w:rPr>
                <w:sz w:val="20"/>
                <w:szCs w:val="20"/>
                <w:color w:val="auto"/>
              </w:rPr>
            </w:pPr>
            <w:r>
              <w:rPr>
                <w:rFonts w:ascii="Arial" w:cs="Arial" w:eastAsia="Arial" w:hAnsi="Arial"/>
                <w:sz w:val="14"/>
                <w:szCs w:val="14"/>
                <w:b w:val="1"/>
                <w:bCs w:val="1"/>
                <w:color w:val="auto"/>
                <w:w w:val="89"/>
              </w:rPr>
              <w:t>(unaudited)</w:t>
            </w: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80" w:type="dxa"/>
            <w:vAlign w:val="bottom"/>
          </w:tcPr>
          <w:p>
            <w:pPr>
              <w:ind w:left="200"/>
              <w:spacing w:after="0"/>
              <w:rPr>
                <w:sz w:val="20"/>
                <w:szCs w:val="20"/>
                <w:color w:val="auto"/>
              </w:rPr>
            </w:pPr>
            <w:r>
              <w:rPr>
                <w:rFonts w:ascii="Arial" w:cs="Arial" w:eastAsia="Arial" w:hAnsi="Arial"/>
                <w:sz w:val="18"/>
                <w:szCs w:val="18"/>
                <w:color w:val="auto"/>
              </w:rPr>
              <w:t>Product revenue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50" w:type="dxa"/>
            <w:vAlign w:val="bottom"/>
          </w:tcPr>
          <w:p>
            <w:pPr>
              <w:jc w:val="right"/>
              <w:spacing w:after="0"/>
              <w:rPr>
                <w:sz w:val="20"/>
                <w:szCs w:val="20"/>
                <w:color w:val="auto"/>
              </w:rPr>
            </w:pPr>
            <w:r>
              <w:rPr>
                <w:rFonts w:ascii="Arial" w:cs="Arial" w:eastAsia="Arial" w:hAnsi="Arial"/>
                <w:sz w:val="18"/>
                <w:szCs w:val="18"/>
                <w:color w:val="auto"/>
              </w:rPr>
              <w:t>1,625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3,131</w:t>
            </w: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contract</w:t>
            </w:r>
          </w:p>
        </w:tc>
        <w:tc>
          <w:tcPr>
            <w:tcW w:w="110" w:type="dxa"/>
            <w:vAlign w:val="bottom"/>
            <w:shd w:val="clear" w:color="auto" w:fill="CCEEFF"/>
          </w:tcPr>
          <w:p>
            <w:pPr>
              <w:spacing w:after="0"/>
              <w:rPr>
                <w:sz w:val="18"/>
                <w:szCs w:val="18"/>
                <w:color w:val="auto"/>
              </w:rPr>
            </w:pPr>
          </w:p>
        </w:tc>
        <w:tc>
          <w:tcPr>
            <w:tcW w:w="970" w:type="dxa"/>
            <w:vAlign w:val="bottom"/>
            <w:gridSpan w:val="3"/>
            <w:shd w:val="clear" w:color="auto" w:fill="CCEEFF"/>
          </w:tcPr>
          <w:p>
            <w:pPr>
              <w:ind w:left="2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r>
      <w:tr>
        <w:trPr>
          <w:trHeight w:val="108"/>
        </w:trPr>
        <w:tc>
          <w:tcPr>
            <w:tcW w:w="95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60" w:type="dxa"/>
            <w:vAlign w:val="bottom"/>
            <w:shd w:val="clear" w:color="auto" w:fill="CCEEFF"/>
          </w:tcPr>
          <w:p>
            <w:pPr>
              <w:spacing w:after="0"/>
              <w:rPr>
                <w:sz w:val="18"/>
                <w:szCs w:val="18"/>
                <w:color w:val="auto"/>
              </w:rPr>
            </w:pPr>
          </w:p>
        </w:tc>
      </w:tr>
      <w:tr>
        <w:trPr>
          <w:trHeight w:val="323"/>
        </w:trPr>
        <w:tc>
          <w:tcPr>
            <w:tcW w:w="9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product revenue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60" w:type="dxa"/>
            <w:vAlign w:val="bottom"/>
            <w:shd w:val="clear" w:color="auto" w:fill="CCEEFF"/>
          </w:tcPr>
          <w:p>
            <w:pPr>
              <w:spacing w:after="0"/>
              <w:rPr>
                <w:sz w:val="18"/>
                <w:szCs w:val="18"/>
                <w:color w:val="auto"/>
              </w:rPr>
            </w:pPr>
          </w:p>
        </w:tc>
      </w:tr>
      <w:tr>
        <w:trPr>
          <w:trHeight w:val="216"/>
        </w:trPr>
        <w:tc>
          <w:tcPr>
            <w:tcW w:w="9580" w:type="dxa"/>
            <w:vAlign w:val="bottom"/>
          </w:tcPr>
          <w:p>
            <w:pPr>
              <w:ind w:left="200"/>
              <w:spacing w:after="0"/>
              <w:rPr>
                <w:sz w:val="20"/>
                <w:szCs w:val="20"/>
                <w:color w:val="auto"/>
              </w:rPr>
            </w:pPr>
            <w:r>
              <w:rPr>
                <w:rFonts w:ascii="Arial" w:cs="Arial" w:eastAsia="Arial" w:hAnsi="Arial"/>
                <w:sz w:val="18"/>
                <w:szCs w:val="18"/>
                <w:color w:val="auto"/>
              </w:rPr>
              <w:t>Cost of development contract</w:t>
            </w:r>
          </w:p>
        </w:tc>
        <w:tc>
          <w:tcPr>
            <w:tcW w:w="110" w:type="dxa"/>
            <w:vAlign w:val="bottom"/>
          </w:tcPr>
          <w:p>
            <w:pPr>
              <w:spacing w:after="0"/>
              <w:rPr>
                <w:sz w:val="18"/>
                <w:szCs w:val="18"/>
                <w:color w:val="auto"/>
              </w:rPr>
            </w:pPr>
          </w:p>
        </w:tc>
        <w:tc>
          <w:tcPr>
            <w:tcW w:w="970" w:type="dxa"/>
            <w:vAlign w:val="bottom"/>
            <w:gridSpan w:val="3"/>
          </w:tcPr>
          <w:p>
            <w:pPr>
              <w:ind w:left="2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development and engineering</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60" w:type="dxa"/>
            <w:vAlign w:val="bottom"/>
            <w:shd w:val="clear" w:color="auto" w:fill="CCEEFF"/>
          </w:tcPr>
          <w:p>
            <w:pPr>
              <w:spacing w:after="0"/>
              <w:rPr>
                <w:sz w:val="18"/>
                <w:szCs w:val="18"/>
                <w:color w:val="auto"/>
              </w:rPr>
            </w:pPr>
          </w:p>
        </w:tc>
      </w:tr>
      <w:tr>
        <w:trPr>
          <w:trHeight w:val="216"/>
        </w:trPr>
        <w:tc>
          <w:tcPr>
            <w:tcW w:w="9580" w:type="dxa"/>
            <w:vAlign w:val="bottom"/>
          </w:tcPr>
          <w:p>
            <w:pPr>
              <w:ind w:left="200"/>
              <w:spacing w:after="0"/>
              <w:rPr>
                <w:sz w:val="20"/>
                <w:szCs w:val="20"/>
                <w:color w:val="auto"/>
              </w:rPr>
            </w:pPr>
            <w:r>
              <w:rPr>
                <w:rFonts w:ascii="Arial" w:cs="Arial" w:eastAsia="Arial" w:hAnsi="Arial"/>
                <w:sz w:val="18"/>
                <w:szCs w:val="18"/>
                <w:color w:val="auto"/>
              </w:rPr>
              <w:t>Selling, general &amp; administrative</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2,706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3,048</w:t>
            </w: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stock compensation</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0" w:type="dxa"/>
            <w:vAlign w:val="bottom"/>
            <w:shd w:val="clear" w:color="auto" w:fill="CCEEFF"/>
          </w:tcPr>
          <w:p>
            <w:pPr>
              <w:spacing w:after="0"/>
              <w:rPr>
                <w:sz w:val="18"/>
                <w:szCs w:val="18"/>
                <w:color w:val="auto"/>
              </w:rPr>
            </w:pPr>
          </w:p>
        </w:tc>
      </w:tr>
      <w:tr>
        <w:trPr>
          <w:trHeight w:val="108"/>
        </w:trPr>
        <w:tc>
          <w:tcPr>
            <w:tcW w:w="95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11,594</w:t>
            </w:r>
          </w:p>
        </w:tc>
        <w:tc>
          <w:tcPr>
            <w:tcW w:w="60" w:type="dxa"/>
            <w:vAlign w:val="bottom"/>
            <w:shd w:val="clear" w:color="auto" w:fill="CCEEFF"/>
          </w:tcPr>
          <w:p>
            <w:pPr>
              <w:spacing w:after="0"/>
              <w:rPr>
                <w:sz w:val="18"/>
                <w:szCs w:val="18"/>
                <w:color w:val="auto"/>
              </w:rPr>
            </w:pPr>
          </w:p>
        </w:tc>
      </w:tr>
      <w:tr>
        <w:trPr>
          <w:trHeight w:val="322"/>
        </w:trPr>
        <w:tc>
          <w:tcPr>
            <w:tcW w:w="95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10" w:type="dxa"/>
            <w:vAlign w:val="bottom"/>
          </w:tcPr>
          <w:p>
            <w:pPr>
              <w:spacing w:after="0"/>
              <w:rPr>
                <w:sz w:val="24"/>
                <w:szCs w:val="24"/>
                <w:color w:val="auto"/>
              </w:rPr>
            </w:pPr>
          </w:p>
        </w:tc>
        <w:tc>
          <w:tcPr>
            <w:tcW w:w="950" w:type="dxa"/>
            <w:vAlign w:val="bottom"/>
            <w:gridSpan w:val="2"/>
          </w:tcPr>
          <w:p>
            <w:pPr>
              <w:jc w:val="right"/>
              <w:ind w:right="340"/>
              <w:spacing w:after="0"/>
              <w:rPr>
                <w:sz w:val="20"/>
                <w:szCs w:val="20"/>
                <w:color w:val="auto"/>
              </w:rPr>
            </w:pPr>
            <w:r>
              <w:rPr>
                <w:rFonts w:ascii="Arial" w:cs="Arial" w:eastAsia="Arial" w:hAnsi="Arial"/>
                <w:sz w:val="18"/>
                <w:szCs w:val="18"/>
                <w:color w:val="auto"/>
              </w:rPr>
              <w:t>(6,947)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(7,463)</w:t>
            </w:r>
          </w:p>
        </w:tc>
      </w:tr>
      <w:tr>
        <w:trPr>
          <w:trHeight w:val="110"/>
        </w:trPr>
        <w:tc>
          <w:tcPr>
            <w:tcW w:w="95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60" w:type="dxa"/>
            <w:vAlign w:val="bottom"/>
            <w:shd w:val="clear" w:color="auto" w:fill="CCEEFF"/>
          </w:tcPr>
          <w:p>
            <w:pPr>
              <w:spacing w:after="0"/>
              <w:rPr>
                <w:sz w:val="18"/>
                <w:szCs w:val="18"/>
                <w:color w:val="auto"/>
              </w:rPr>
            </w:pPr>
          </w:p>
        </w:tc>
      </w:tr>
      <w:tr>
        <w:trPr>
          <w:trHeight w:val="222"/>
        </w:trPr>
        <w:tc>
          <w:tcPr>
            <w:tcW w:w="95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1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r>
      <w:tr>
        <w:trPr>
          <w:trHeight w:val="102"/>
        </w:trPr>
        <w:tc>
          <w:tcPr>
            <w:tcW w:w="95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60" w:type="dxa"/>
            <w:vAlign w:val="bottom"/>
            <w:shd w:val="clear" w:color="auto" w:fill="CCEEFF"/>
          </w:tcPr>
          <w:p>
            <w:pPr>
              <w:spacing w:after="0"/>
              <w:rPr>
                <w:sz w:val="18"/>
                <w:szCs w:val="18"/>
                <w:color w:val="auto"/>
              </w:rPr>
            </w:pPr>
          </w:p>
        </w:tc>
      </w:tr>
      <w:tr>
        <w:trPr>
          <w:trHeight w:val="322"/>
        </w:trPr>
        <w:tc>
          <w:tcPr>
            <w:tcW w:w="9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0" w:type="dxa"/>
            <w:vAlign w:val="bottom"/>
          </w:tcPr>
          <w:p>
            <w:pPr>
              <w:spacing w:after="0"/>
              <w:rPr>
                <w:sz w:val="24"/>
                <w:szCs w:val="24"/>
                <w:color w:val="auto"/>
              </w:rPr>
            </w:pPr>
          </w:p>
        </w:tc>
        <w:tc>
          <w:tcPr>
            <w:tcW w:w="950" w:type="dxa"/>
            <w:vAlign w:val="bottom"/>
            <w:gridSpan w:val="2"/>
          </w:tcPr>
          <w:p>
            <w:pPr>
              <w:jc w:val="right"/>
              <w:ind w:right="340"/>
              <w:spacing w:after="0"/>
              <w:rPr>
                <w:sz w:val="20"/>
                <w:szCs w:val="20"/>
                <w:color w:val="auto"/>
              </w:rPr>
            </w:pPr>
            <w:r>
              <w:rPr>
                <w:rFonts w:ascii="Arial" w:cs="Arial" w:eastAsia="Arial" w:hAnsi="Arial"/>
                <w:sz w:val="18"/>
                <w:szCs w:val="18"/>
                <w:color w:val="auto"/>
              </w:rPr>
              <w:t>(6,324)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(6,539)</w:t>
            </w:r>
          </w:p>
        </w:tc>
      </w:tr>
      <w:tr>
        <w:trPr>
          <w:trHeight w:val="134"/>
        </w:trPr>
        <w:tc>
          <w:tcPr>
            <w:tcW w:w="95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3"/>
        </w:trPr>
        <w:tc>
          <w:tcPr>
            <w:tcW w:w="95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41,748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40,847</w:t>
            </w:r>
          </w:p>
        </w:tc>
        <w:tc>
          <w:tcPr>
            <w:tcW w:w="60" w:type="dxa"/>
            <w:vAlign w:val="bottom"/>
            <w:shd w:val="clear" w:color="auto" w:fill="CCEEFF"/>
          </w:tcPr>
          <w:p>
            <w:pPr>
              <w:spacing w:after="0"/>
              <w:rPr>
                <w:sz w:val="18"/>
                <w:szCs w:val="18"/>
                <w:color w:val="auto"/>
              </w:rPr>
            </w:pPr>
          </w:p>
        </w:tc>
      </w:tr>
      <w:tr>
        <w:trPr>
          <w:trHeight w:val="222"/>
        </w:trPr>
        <w:tc>
          <w:tcPr>
            <w:tcW w:w="9580" w:type="dxa"/>
            <w:vAlign w:val="bottom"/>
          </w:tcPr>
          <w:p>
            <w:pPr>
              <w:ind w:left="20"/>
              <w:spacing w:after="0"/>
              <w:rPr>
                <w:sz w:val="20"/>
                <w:szCs w:val="20"/>
                <w:color w:val="auto"/>
              </w:rPr>
            </w:pPr>
            <w:r>
              <w:rPr>
                <w:rFonts w:ascii="Arial" w:cs="Arial" w:eastAsia="Arial" w:hAnsi="Arial"/>
                <w:sz w:val="18"/>
                <w:szCs w:val="18"/>
                <w:color w:val="auto"/>
              </w:rPr>
              <w:t>Net loss per share of common stock—basic &amp; diluted</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50" w:type="dxa"/>
            <w:vAlign w:val="bottom"/>
            <w:gridSpan w:val="2"/>
          </w:tcPr>
          <w:p>
            <w:pPr>
              <w:jc w:val="right"/>
              <w:ind w:right="340"/>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-442595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-442595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-442595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-442595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-442595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-442595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tbl>
      <w:tblPr>
        <w:tblLayout w:type="fixed"/>
        <w:tblInd w:w="0" w:type="dxa"/>
        <w:tblCellMar>
          <w:top w:w="0" w:type="dxa"/>
          <w:left w:w="0" w:type="dxa"/>
          <w:bottom w:w="0" w:type="dxa"/>
          <w:right w:w="0" w:type="dxa"/>
        </w:tblCellMar>
      </w:tblPr>
      <w:tr>
        <w:trPr>
          <w:trHeight w:val="147"/>
        </w:trPr>
        <w:tc>
          <w:tcPr>
            <w:tcW w:w="43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30" w:type="dxa"/>
            <w:vAlign w:val="bottom"/>
          </w:tcPr>
          <w:p>
            <w:pPr>
              <w:jc w:val="center"/>
              <w:ind w:right="27"/>
              <w:spacing w:after="0" w:line="147" w:lineRule="exact"/>
              <w:rPr>
                <w:sz w:val="20"/>
                <w:szCs w:val="20"/>
                <w:color w:val="auto"/>
              </w:rPr>
            </w:pPr>
            <w:r>
              <w:rPr>
                <w:rFonts w:ascii="Arial" w:cs="Arial" w:eastAsia="Arial" w:hAnsi="Arial"/>
                <w:sz w:val="14"/>
                <w:szCs w:val="14"/>
                <w:b w:val="1"/>
                <w:bCs w:val="1"/>
                <w:color w:val="auto"/>
                <w:w w:val="89"/>
              </w:rPr>
              <w:t>March 31,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4"/>
        </w:trPr>
        <w:tc>
          <w:tcPr>
            <w:tcW w:w="43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30" w:type="dxa"/>
            <w:vAlign w:val="bottom"/>
          </w:tcPr>
          <w:p>
            <w:pPr>
              <w:jc w:val="center"/>
              <w:ind w:right="27"/>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3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30" w:type="dxa"/>
            <w:vAlign w:val="bottom"/>
          </w:tcPr>
          <w:p>
            <w:pPr>
              <w:jc w:val="center"/>
              <w:ind w:right="27"/>
              <w:spacing w:after="0"/>
              <w:rPr>
                <w:sz w:val="20"/>
                <w:szCs w:val="20"/>
                <w:color w:val="auto"/>
              </w:rPr>
            </w:pPr>
            <w:r>
              <w:rPr>
                <w:rFonts w:ascii="Arial" w:cs="Arial" w:eastAsia="Arial" w:hAnsi="Arial"/>
                <w:sz w:val="14"/>
                <w:szCs w:val="14"/>
                <w:b w:val="1"/>
                <w:bCs w:val="1"/>
                <w:color w:val="auto"/>
                <w:w w:val="86"/>
              </w:rPr>
              <w:t>(unaudited)</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6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80" w:type="dxa"/>
            <w:vAlign w:val="bottom"/>
          </w:tcPr>
          <w:p>
            <w:pPr>
              <w:ind w:left="20"/>
              <w:spacing w:after="0"/>
              <w:rPr>
                <w:sz w:val="20"/>
                <w:szCs w:val="20"/>
                <w:color w:val="auto"/>
              </w:rPr>
            </w:pPr>
            <w:r>
              <w:rPr>
                <w:rFonts w:ascii="Arial" w:cs="Arial" w:eastAsia="Arial" w:hAnsi="Arial"/>
                <w:sz w:val="18"/>
                <w:szCs w:val="18"/>
                <w:color w:val="auto"/>
              </w:rPr>
              <w:t>Cash &amp; investments</w:t>
            </w:r>
          </w:p>
        </w:tc>
        <w:tc>
          <w:tcPr>
            <w:tcW w:w="475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30" w:type="dxa"/>
            <w:vAlign w:val="bottom"/>
          </w:tcPr>
          <w:p>
            <w:pPr>
              <w:jc w:val="right"/>
              <w:spacing w:after="0"/>
              <w:rPr>
                <w:sz w:val="20"/>
                <w:szCs w:val="20"/>
                <w:color w:val="auto"/>
              </w:rPr>
            </w:pPr>
            <w:r>
              <w:rPr>
                <w:rFonts w:ascii="Arial" w:cs="Arial" w:eastAsia="Arial" w:hAnsi="Arial"/>
                <w:sz w:val="18"/>
                <w:szCs w:val="18"/>
                <w:color w:val="auto"/>
              </w:rPr>
              <w:t>84,705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90,045</w:t>
            </w: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46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46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5,624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46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6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12,100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12,095</w:t>
            </w:r>
          </w:p>
        </w:tc>
        <w:tc>
          <w:tcPr>
            <w:tcW w:w="0" w:type="dxa"/>
            <w:vAlign w:val="bottom"/>
          </w:tcPr>
          <w:p>
            <w:pPr>
              <w:spacing w:after="0"/>
              <w:rPr>
                <w:sz w:val="1"/>
                <w:szCs w:val="1"/>
                <w:color w:val="auto"/>
              </w:rPr>
            </w:pPr>
          </w:p>
        </w:tc>
      </w:tr>
      <w:tr>
        <w:trPr>
          <w:trHeight w:val="110"/>
        </w:trPr>
        <w:tc>
          <w:tcPr>
            <w:tcW w:w="438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3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8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7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38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3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46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3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75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30" w:type="dxa"/>
            <w:vAlign w:val="bottom"/>
          </w:tcPr>
          <w:p>
            <w:pPr>
              <w:jc w:val="right"/>
              <w:spacing w:after="0"/>
              <w:rPr>
                <w:sz w:val="20"/>
                <w:szCs w:val="20"/>
                <w:color w:val="auto"/>
              </w:rPr>
            </w:pPr>
            <w:r>
              <w:rPr>
                <w:rFonts w:ascii="Arial" w:cs="Arial" w:eastAsia="Arial" w:hAnsi="Arial"/>
                <w:sz w:val="18"/>
                <w:szCs w:val="18"/>
                <w:color w:val="auto"/>
              </w:rPr>
              <w:t>588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46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6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100,482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106,659</w:t>
            </w:r>
          </w:p>
        </w:tc>
        <w:tc>
          <w:tcPr>
            <w:tcW w:w="0" w:type="dxa"/>
            <w:vAlign w:val="bottom"/>
          </w:tcPr>
          <w:p>
            <w:pPr>
              <w:spacing w:after="0"/>
              <w:rPr>
                <w:sz w:val="1"/>
                <w:szCs w:val="1"/>
                <w:color w:val="auto"/>
              </w:rPr>
            </w:pPr>
          </w:p>
        </w:tc>
      </w:tr>
      <w:tr>
        <w:trPr>
          <w:trHeight w:val="110"/>
        </w:trPr>
        <w:tc>
          <w:tcPr>
            <w:tcW w:w="438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3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8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47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380" w:type="dxa"/>
            <w:vAlign w:val="bottom"/>
          </w:tcPr>
          <w:p>
            <w:pPr>
              <w:spacing w:after="0"/>
              <w:rPr>
                <w:sz w:val="11"/>
                <w:szCs w:val="11"/>
                <w:color w:val="auto"/>
              </w:rPr>
            </w:pPr>
          </w:p>
        </w:tc>
        <w:tc>
          <w:tcPr>
            <w:tcW w:w="4640" w:type="dxa"/>
            <w:vAlign w:val="bottom"/>
            <w:vMerge w:val="restart"/>
          </w:tcPr>
          <w:p>
            <w:pPr>
              <w:jc w:val="right"/>
              <w:ind w:right="3092"/>
              <w:spacing w:after="0"/>
              <w:rPr>
                <w:sz w:val="20"/>
                <w:szCs w:val="20"/>
                <w:color w:val="auto"/>
              </w:rPr>
            </w:pPr>
            <w:r>
              <w:rPr>
                <w:rFonts w:ascii="Arial" w:cs="Arial" w:eastAsia="Arial" w:hAnsi="Arial"/>
                <w:sz w:val="18"/>
                <w:szCs w:val="18"/>
                <w:color w:val="auto"/>
              </w:rPr>
              <w:t>###</w:t>
            </w:r>
          </w:p>
        </w:tc>
        <w:tc>
          <w:tcPr>
            <w:tcW w:w="110" w:type="dxa"/>
            <w:vAlign w:val="bottom"/>
            <w:tcBorders>
              <w:bottom w:val="single" w:sz="8" w:color="auto"/>
            </w:tcBorders>
          </w:tcPr>
          <w:p>
            <w:pPr>
              <w:spacing w:after="0"/>
              <w:rPr>
                <w:sz w:val="11"/>
                <w:szCs w:val="11"/>
                <w:color w:val="auto"/>
              </w:rPr>
            </w:pPr>
          </w:p>
        </w:tc>
        <w:tc>
          <w:tcPr>
            <w:tcW w:w="83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38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83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-1526540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-1526540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-1526540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-1526540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-1526540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-1526540</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-325755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sectPr>
      <w:pgSz w:w="11900" w:h="16838" w:orient="portrait"/>
      <w:cols w:equalWidth="0" w:num="1">
        <w:col w:w="11420"/>
      </w:cols>
      <w:pgMar w:left="240" w:top="4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2019-12-12T01:47:26Z</dcterms:created>
  <dcterms:modified xsi:type="dcterms:W3CDTF">2019-12-12T01:47:26Z</dcterms:modified>
</cp:coreProperties>
</file>