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1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19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280"/>
        <w:spacing w:after="0" w:line="250" w:lineRule="auto"/>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Jon I. Madorsky Revocable Trust dated</w:t>
        </w:r>
      </w:hyperlink>
      <w:r>
        <w:rPr>
          <w:rFonts w:ascii="Times New Roman" w:cs="Times New Roman" w:eastAsia="Times New Roman" w:hAnsi="Times New Roman"/>
          <w:sz w:val="21"/>
          <w:szCs w:val="21"/>
          <w:u w:val="single" w:color="auto"/>
          <w:color w:val="0000EE"/>
        </w:rPr>
        <w:t xml:space="preserve"> </w:t>
      </w:r>
      <w:hyperlink r:id="rId13">
        <w:r>
          <w:rPr>
            <w:rFonts w:ascii="Times New Roman" w:cs="Times New Roman" w:eastAsia="Times New Roman" w:hAnsi="Times New Roman"/>
            <w:sz w:val="21"/>
            <w:szCs w:val="21"/>
            <w:u w:val="single" w:color="auto"/>
            <w:color w:val="0000EE"/>
          </w:rPr>
          <w:t>December 1, 2008</w:t>
        </w:r>
      </w:hyperlink>
    </w:p>
    <w:p>
      <w:pPr>
        <w:spacing w:after="0" w:line="287"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RIDGEPOST CAPITAL, INC.</w:t>
            </w: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2699 HOWELL STREET, SUITE 1000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75204</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Ridgepost Capital,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RPC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4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140" w:type="dxa"/>
            <w:vAlign w:val="bottom"/>
            <w:vMerge w:val="continue"/>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960" w:type="dxa"/>
            <w:vAlign w:val="bottom"/>
            <w:tcBorders>
              <w:bottom w:val="single" w:sz="8" w:color="0000EE"/>
            </w:tcBorders>
          </w:tcPr>
          <w:p>
            <w:pPr>
              <w:spacing w:after="0"/>
              <w:rPr>
                <w:sz w:val="3"/>
                <w:szCs w:val="3"/>
                <w:color w:val="auto"/>
              </w:rPr>
            </w:pPr>
          </w:p>
        </w:tc>
        <w:tc>
          <w:tcPr>
            <w:tcW w:w="1780" w:type="dxa"/>
            <w:vAlign w:val="bottom"/>
          </w:tcPr>
          <w:p>
            <w:pPr>
              <w:spacing w:after="0"/>
              <w:rPr>
                <w:sz w:val="3"/>
                <w:szCs w:val="3"/>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2140" w:type="dxa"/>
            <w:vAlign w:val="bottom"/>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140" w:type="dxa"/>
            <w:vAlign w:val="bottom"/>
          </w:tcPr>
          <w:p>
            <w:pPr>
              <w:ind w:left="6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214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21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2140" w:type="dxa"/>
            <w:vAlign w:val="bottom"/>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02/14/2026</w:t>
            </w:r>
          </w:p>
        </w:tc>
        <w:tc>
          <w:tcPr>
            <w:tcW w:w="1780" w:type="dxa"/>
            <w:vAlign w:val="bottom"/>
          </w:tcPr>
          <w:p>
            <w:pPr>
              <w:spacing w:after="0"/>
              <w:rPr>
                <w:sz w:val="10"/>
                <w:szCs w:val="10"/>
                <w:color w:val="auto"/>
              </w:rPr>
            </w:pPr>
          </w:p>
        </w:tc>
        <w:tc>
          <w:tcPr>
            <w:tcW w:w="2140" w:type="dxa"/>
            <w:vAlign w:val="bottom"/>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40" w:type="dxa"/>
            <w:vAlign w:val="bottom"/>
            <w:gridSpan w:val="2"/>
            <w:vMerge w:val="continue"/>
          </w:tcPr>
          <w:p>
            <w:pPr>
              <w:spacing w:after="0"/>
              <w:rPr>
                <w:sz w:val="9"/>
                <w:szCs w:val="9"/>
                <w:color w:val="auto"/>
              </w:rPr>
            </w:pPr>
          </w:p>
        </w:tc>
        <w:tc>
          <w:tcPr>
            <w:tcW w:w="17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4"/>
        </w:trPr>
        <w:tc>
          <w:tcPr>
            <w:tcW w:w="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26"/>
        </w:trPr>
        <w:tc>
          <w:tcPr>
            <w:tcW w:w="20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02/18/2026</w:t>
            </w:r>
          </w:p>
        </w:tc>
        <w:tc>
          <w:tcPr>
            <w:tcW w:w="1780" w:type="dxa"/>
            <w:vAlign w:val="bottom"/>
          </w:tcPr>
          <w:p>
            <w:pPr>
              <w:spacing w:after="0"/>
              <w:rPr>
                <w:sz w:val="19"/>
                <w:szCs w:val="19"/>
                <w:color w:val="auto"/>
              </w:rPr>
            </w:pPr>
          </w:p>
        </w:tc>
        <w:tc>
          <w:tcPr>
            <w:tcW w:w="2140" w:type="dxa"/>
            <w:vAlign w:val="bottom"/>
          </w:tcPr>
          <w:p>
            <w:pPr>
              <w:ind w:left="80"/>
              <w:spacing w:after="0"/>
              <w:rPr>
                <w:sz w:val="20"/>
                <w:szCs w:val="20"/>
                <w:color w:val="auto"/>
              </w:rPr>
            </w:pPr>
            <w:r>
              <w:rPr>
                <w:rFonts w:ascii="Arial" w:cs="Arial" w:eastAsia="Arial" w:hAnsi="Arial"/>
                <w:sz w:val="13"/>
                <w:szCs w:val="13"/>
                <w:color w:val="auto"/>
              </w:rPr>
              <w:t>Line)</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0"/>
          <w:szCs w:val="20"/>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42,134</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487,708</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02/14/2026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10,882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w w:val="97"/>
              </w:rPr>
              <w:t>476,826</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These securities are held directly by Jon I. Madorsky, the trustee of Jon I. Madorsky Revocable Trust dated December 1, 2008.</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reporting person may be deemed to be a member of a Section 13(d) group that collectively owns more than 10% of the Issuer's Common Stock. Ex. 24 - Power of Attorney</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Nell M. Blatherwick,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855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 in Fact for the</w:t>
      </w:r>
      <w:r>
        <w:rPr>
          <w:sz w:val="20"/>
          <w:szCs w:val="20"/>
          <w:color w:val="auto"/>
        </w:rPr>
        <w:tab/>
      </w:r>
      <w:r>
        <w:rPr>
          <w:rFonts w:ascii="Times New Roman" w:cs="Times New Roman" w:eastAsia="Times New Roman" w:hAnsi="Times New Roman"/>
          <w:sz w:val="17"/>
          <w:szCs w:val="17"/>
          <w:color w:val="0000FF"/>
        </w:rPr>
        <w:t>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670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6708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LIMITED POWER OF ATTORNEY</w:t>
      </w:r>
    </w:p>
    <w:p>
      <w:pPr>
        <w:spacing w:after="0" w:line="221" w:lineRule="exact"/>
        <w:rPr>
          <w:sz w:val="20"/>
          <w:szCs w:val="20"/>
          <w:color w:val="auto"/>
        </w:rPr>
      </w:pPr>
    </w:p>
    <w:p>
      <w:pPr>
        <w:jc w:val="both"/>
        <w:ind w:firstLine="640"/>
        <w:spacing w:after="0" w:line="261" w:lineRule="auto"/>
        <w:rPr>
          <w:sz w:val="20"/>
          <w:szCs w:val="20"/>
          <w:color w:val="auto"/>
        </w:rPr>
      </w:pPr>
      <w:r>
        <w:rPr>
          <w:rFonts w:ascii="Times New Roman" w:cs="Times New Roman" w:eastAsia="Times New Roman" w:hAnsi="Times New Roman"/>
          <w:sz w:val="18"/>
          <w:szCs w:val="18"/>
          <w:color w:val="auto"/>
        </w:rPr>
        <w:t>Know all by these presents, that the undersigned hereby constitutes and appoints each of Nell M. Blatherwick, Andrew R. Nelson, Francisco Villamar and Christopher G. Barrett, or any of them acting or signing singly, and with full power of substitution, as the undersigned’s true and lawful attorney-in-fact to:</w:t>
      </w:r>
    </w:p>
    <w:p>
      <w:pPr>
        <w:spacing w:after="0" w:line="178" w:lineRule="exact"/>
        <w:rPr>
          <w:sz w:val="20"/>
          <w:szCs w:val="20"/>
          <w:color w:val="auto"/>
        </w:rPr>
      </w:pPr>
    </w:p>
    <w:p>
      <w:pPr>
        <w:jc w:val="both"/>
        <w:ind w:left="960" w:right="20" w:hanging="314"/>
        <w:spacing w:after="0" w:line="276"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Prepare and execute in the undersigned’s name and on the undersigned’s behalf, and submit to the U.S.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for and on behalf of the undersigned, in the undersigned’s capacity as an executive officer, director or a member of a Section 13(d) group that collectively beneficially owns more than 10% of the common stock of Ridgepost Capital,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Forms 3, 4, and 5 in accordance with Section 16(a) of the Securities Exchange Act of 1934 and the rules thereunder (the “</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w:t>
      </w:r>
    </w:p>
    <w:p>
      <w:pPr>
        <w:spacing w:after="0" w:line="166" w:lineRule="exact"/>
        <w:rPr>
          <w:rFonts w:ascii="Times New Roman" w:cs="Times New Roman" w:eastAsia="Times New Roman" w:hAnsi="Times New Roman"/>
          <w:sz w:val="17"/>
          <w:szCs w:val="17"/>
          <w:color w:val="auto"/>
        </w:rPr>
      </w:pPr>
    </w:p>
    <w:p>
      <w:pPr>
        <w:jc w:val="both"/>
        <w:ind w:left="960" w:hanging="314"/>
        <w:spacing w:after="0" w:line="261"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such Form 3, 4, or 5, complete and execute any amendment or amendments thereto, and timely file such form with the SEC and any stock exchange or similar authority; and</w:t>
      </w:r>
    </w:p>
    <w:p>
      <w:pPr>
        <w:spacing w:after="0" w:line="177" w:lineRule="exact"/>
        <w:rPr>
          <w:rFonts w:ascii="Times New Roman" w:cs="Times New Roman" w:eastAsia="Times New Roman" w:hAnsi="Times New Roman"/>
          <w:sz w:val="18"/>
          <w:szCs w:val="18"/>
          <w:color w:val="auto"/>
        </w:rPr>
      </w:pPr>
    </w:p>
    <w:p>
      <w:pPr>
        <w:jc w:val="both"/>
        <w:ind w:left="960" w:right="20" w:hanging="314"/>
        <w:spacing w:after="0" w:line="25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will contain such information as such attorney-in-fact may approve in such attorney-in-fact’s discretion.</w:t>
      </w:r>
    </w:p>
    <w:p>
      <w:pPr>
        <w:spacing w:after="0" w:line="183" w:lineRule="exact"/>
        <w:rPr>
          <w:sz w:val="20"/>
          <w:szCs w:val="20"/>
          <w:color w:val="auto"/>
        </w:rPr>
      </w:pPr>
    </w:p>
    <w:p>
      <w:pPr>
        <w:jc w:val="both"/>
        <w:ind w:right="20" w:firstLine="64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do or cause to be done by virtue of this power of attorney and the rights and powers herein granted.</w:t>
      </w:r>
    </w:p>
    <w:p>
      <w:pPr>
        <w:spacing w:after="0" w:line="184" w:lineRule="exact"/>
        <w:rPr>
          <w:sz w:val="20"/>
          <w:szCs w:val="20"/>
          <w:color w:val="auto"/>
        </w:rPr>
      </w:pPr>
    </w:p>
    <w:p>
      <w:pPr>
        <w:jc w:val="both"/>
        <w:ind w:right="20" w:firstLine="6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Section 16 of the Exchange Act, and neither the Company nor any of the foregoing attorney(s)-in-fact assumes any liability of the undersigned for any failure to comply with the requirements of Section 16 of the Exchange Act, or any liability of the undersigned for disgorgement of profits under Section 16(b) of the Exchange Act.</w:t>
      </w:r>
    </w:p>
    <w:p>
      <w:pPr>
        <w:spacing w:after="0" w:line="183"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18"/>
          <w:szCs w:val="18"/>
          <w:color w:val="auto"/>
        </w:rPr>
        <w:t>The undersigned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84" w:lineRule="exact"/>
        <w:rPr>
          <w:sz w:val="20"/>
          <w:szCs w:val="20"/>
          <w:color w:val="auto"/>
        </w:rPr>
      </w:pPr>
    </w:p>
    <w:p>
      <w:pPr>
        <w:jc w:val="both"/>
        <w:ind w:right="20" w:firstLine="640"/>
        <w:spacing w:after="0" w:line="261"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any reports, forms or documents with the SEC in respect of his or her ownership of Company securities,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412115</wp:posOffset>
            </wp:positionV>
            <wp:extent cx="69640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p>
      <w:pPr>
        <w:sectPr>
          <w:pgSz w:w="11900" w:h="16838" w:orient="portrait"/>
          <w:cols w:equalWidth="0" w:num="1">
            <w:col w:w="10980"/>
          </w:cols>
          <w:pgMar w:left="460" w:top="119"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IN WITNESS WHEREOF, the undersigned has executed this Power of Attorney as of March 6, 2026.</w:t>
      </w:r>
    </w:p>
    <w:p>
      <w:pPr>
        <w:spacing w:after="0" w:line="21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Jon I. Madorsky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15875</wp:posOffset>
            </wp:positionV>
            <wp:extent cx="257238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2572385" cy="17145"/>
                    </a:xfrm>
                    <a:prstGeom prst="rect">
                      <a:avLst/>
                    </a:prstGeom>
                    <a:noFill/>
                  </pic:spPr>
                </pic:pic>
              </a:graphicData>
            </a:graphic>
          </wp:anchor>
        </w:drawing>
      </w:r>
    </w:p>
    <w:p>
      <w:pPr>
        <w:spacing w:after="0" w:line="1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Jon I. Madorsky</w:t>
      </w:r>
    </w:p>
    <w:p>
      <w:pPr>
        <w:spacing w:after="0" w:line="219"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7"/>
          <w:szCs w:val="17"/>
          <w:color w:val="auto"/>
        </w:rPr>
        <w:t>Jon I. Madorsky as Trustee of the Jon I. Madorsky Revocable</w:t>
      </w:r>
    </w:p>
    <w:p>
      <w:pPr>
        <w:spacing w:after="0" w:line="3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Trust Dated December 1, 2008</w:t>
      </w:r>
    </w:p>
    <w:p>
      <w:pPr>
        <w:spacing w:after="0" w:line="20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By: /s/ Jon I. Madorsky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3874770</wp:posOffset>
            </wp:positionH>
            <wp:positionV relativeFrom="paragraph">
              <wp:posOffset>15875</wp:posOffset>
            </wp:positionV>
            <wp:extent cx="257238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2572385" cy="17145"/>
                    </a:xfrm>
                    <a:prstGeom prst="rect">
                      <a:avLst/>
                    </a:prstGeom>
                    <a:noFill/>
                  </pic:spPr>
                </pic:pic>
              </a:graphicData>
            </a:graphic>
          </wp:anchor>
        </w:drawing>
      </w:r>
    </w:p>
    <w:p>
      <w:pPr>
        <w:spacing w:after="0" w:line="13"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Jon I. Madorsky</w:t>
      </w:r>
    </w:p>
    <w:p>
      <w:pPr>
        <w:spacing w:after="0" w:line="25" w:lineRule="exact"/>
        <w:rPr>
          <w:sz w:val="20"/>
          <w:szCs w:val="20"/>
          <w:color w:val="auto"/>
        </w:rPr>
      </w:pPr>
    </w:p>
    <w:p>
      <w:pPr>
        <w:ind w:left="610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tab/>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-515620</wp:posOffset>
            </wp:positionH>
            <wp:positionV relativeFrom="paragraph">
              <wp:posOffset>426720</wp:posOffset>
            </wp:positionV>
            <wp:extent cx="69640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6964045" cy="17145"/>
                    </a:xfrm>
                    <a:prstGeom prst="rect">
                      <a:avLst/>
                    </a:prstGeom>
                    <a:noFill/>
                  </pic:spPr>
                </pic:pic>
              </a:graphicData>
            </a:graphic>
          </wp:anchor>
        </w:drawing>
      </w:r>
    </w:p>
    <w:sectPr>
      <w:pgSz w:w="11900" w:h="16838" w:orient="portrait"/>
      <w:cols w:equalWidth="0" w:num="1">
        <w:col w:w="10140"/>
      </w:cols>
      <w:pgMar w:left="1280" w:top="89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13" Type="http://schemas.openxmlformats.org/officeDocument/2006/relationships/hyperlink" Target="http://www.sec.gov/cgi-bin/browse-edgar?action=getcompany&amp;CIK=0001895437" TargetMode="External"/><Relationship Id="rId14" Type="http://schemas.openxmlformats.org/officeDocument/2006/relationships/hyperlink" Target="http://www.sec.gov/cgi-bin/browse-edgar?action=getcompany&amp;CIK=000184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2026-03-06T15:07:08Z</dcterms:created>
  <dcterms:modified xsi:type="dcterms:W3CDTF">2026-03-06T15:07:08Z</dcterms:modified>
</cp:coreProperties>
</file>