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auto"/>
        </w:rPr>
        <w:t>Date of Report (Date of earliest event reported):</w:t>
      </w:r>
      <w:r>
        <w:rPr>
          <w:sz w:val="20"/>
          <w:szCs w:val="20"/>
          <w:color w:val="auto"/>
        </w:rPr>
        <w:tab/>
      </w:r>
      <w:r>
        <w:rPr>
          <w:rFonts w:ascii="Arial" w:cs="Arial" w:eastAsia="Arial" w:hAnsi="Arial"/>
          <w:sz w:val="15"/>
          <w:szCs w:val="15"/>
          <w:b w:val="1"/>
          <w:bCs w:val="1"/>
          <w:color w:val="auto"/>
        </w:rPr>
        <w:t>July 27, 2005</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0"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4480" w:type="dxa"/>
            <w:vAlign w:val="bottom"/>
          </w:tcPr>
          <w:p>
            <w:pPr>
              <w:spacing w:after="0"/>
              <w:rPr>
                <w:sz w:val="24"/>
                <w:szCs w:val="24"/>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22"/>
                <w:szCs w:val="22"/>
                <w:b w:val="1"/>
                <w:bCs w:val="1"/>
                <w:color w:val="auto"/>
              </w:rPr>
              <w:t>000-30939</w:t>
            </w:r>
          </w:p>
        </w:tc>
        <w:tc>
          <w:tcPr>
            <w:tcW w:w="5160" w:type="dxa"/>
            <w:vAlign w:val="bottom"/>
          </w:tcPr>
          <w:p>
            <w:pPr>
              <w:spacing w:after="0"/>
              <w:rPr>
                <w:sz w:val="24"/>
                <w:szCs w:val="24"/>
                <w:color w:val="auto"/>
              </w:rPr>
            </w:pPr>
          </w:p>
        </w:tc>
      </w:tr>
      <w:tr>
        <w:trPr>
          <w:trHeight w:val="98"/>
        </w:trPr>
        <w:tc>
          <w:tcPr>
            <w:tcW w:w="44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160" w:type="dxa"/>
            <w:vAlign w:val="bottom"/>
            <w:tcBorders>
              <w:bottom w:val="single" w:sz="8" w:color="auto"/>
            </w:tcBorders>
          </w:tcPr>
          <w:p>
            <w:pPr>
              <w:spacing w:after="0"/>
              <w:rPr>
                <w:sz w:val="8"/>
                <w:szCs w:val="8"/>
                <w:color w:val="auto"/>
              </w:rPr>
            </w:pPr>
          </w:p>
        </w:tc>
      </w:tr>
      <w:tr>
        <w:trPr>
          <w:trHeight w:val="316"/>
        </w:trPr>
        <w:tc>
          <w:tcPr>
            <w:tcW w:w="4480" w:type="dxa"/>
            <w:vAlign w:val="bottom"/>
          </w:tcPr>
          <w:p>
            <w:pPr>
              <w:spacing w:after="0"/>
              <w:rPr>
                <w:sz w:val="24"/>
                <w:szCs w:val="24"/>
                <w:color w:val="auto"/>
              </w:rPr>
            </w:pPr>
          </w:p>
        </w:tc>
        <w:tc>
          <w:tcPr>
            <w:tcW w:w="6960" w:type="dxa"/>
            <w:vAlign w:val="bottom"/>
            <w:gridSpan w:val="3"/>
          </w:tcPr>
          <w:p>
            <w:pPr>
              <w:ind w:left="280"/>
              <w:spacing w:after="0"/>
              <w:rPr>
                <w:sz w:val="20"/>
                <w:szCs w:val="20"/>
                <w:color w:val="auto"/>
              </w:rPr>
            </w:pPr>
            <w:r>
              <w:rPr>
                <w:rFonts w:ascii="Arial" w:cs="Arial" w:eastAsia="Arial" w:hAnsi="Arial"/>
                <w:sz w:val="18"/>
                <w:szCs w:val="18"/>
                <w:i w:val="1"/>
                <w:iCs w:val="1"/>
                <w:color w:val="auto"/>
              </w:rPr>
              <w:t>(Commission File Number)</w:t>
            </w:r>
          </w:p>
        </w:tc>
      </w:tr>
      <w:tr>
        <w:trPr>
          <w:trHeight w:val="608"/>
        </w:trPr>
        <w:tc>
          <w:tcPr>
            <w:tcW w:w="4480" w:type="dxa"/>
            <w:vAlign w:val="bottom"/>
          </w:tcPr>
          <w:p>
            <w:pPr>
              <w:jc w:val="center"/>
              <w:ind w:left="592"/>
              <w:spacing w:after="0"/>
              <w:rPr>
                <w:sz w:val="20"/>
                <w:szCs w:val="20"/>
                <w:color w:val="auto"/>
              </w:rPr>
            </w:pPr>
            <w:r>
              <w:rPr>
                <w:rFonts w:ascii="Arial" w:cs="Arial" w:eastAsia="Arial" w:hAnsi="Arial"/>
                <w:sz w:val="18"/>
                <w:szCs w:val="18"/>
                <w:b w:val="1"/>
                <w:bCs w:val="1"/>
                <w:color w:val="auto"/>
                <w:w w:val="91"/>
              </w:rPr>
              <w:t>Delaware</w:t>
            </w:r>
          </w:p>
        </w:tc>
        <w:tc>
          <w:tcPr>
            <w:tcW w:w="6960" w:type="dxa"/>
            <w:vAlign w:val="bottom"/>
            <w:gridSpan w:val="3"/>
          </w:tcPr>
          <w:p>
            <w:pPr>
              <w:jc w:val="right"/>
              <w:ind w:right="2072"/>
              <w:spacing w:after="0"/>
              <w:rPr>
                <w:sz w:val="20"/>
                <w:szCs w:val="20"/>
                <w:color w:val="auto"/>
              </w:rPr>
            </w:pPr>
            <w:r>
              <w:rPr>
                <w:rFonts w:ascii="Arial" w:cs="Arial" w:eastAsia="Arial" w:hAnsi="Arial"/>
                <w:sz w:val="18"/>
                <w:szCs w:val="18"/>
                <w:b w:val="1"/>
                <w:bCs w:val="1"/>
                <w:color w:val="auto"/>
              </w:rPr>
              <w:t>74-2961657</w:t>
            </w:r>
          </w:p>
        </w:tc>
      </w:tr>
      <w:tr>
        <w:trPr>
          <w:trHeight w:val="110"/>
        </w:trPr>
        <w:tc>
          <w:tcPr>
            <w:tcW w:w="44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5160" w:type="dxa"/>
            <w:vAlign w:val="bottom"/>
            <w:tcBorders>
              <w:bottom w:val="single" w:sz="8" w:color="auto"/>
            </w:tcBorders>
          </w:tcPr>
          <w:p>
            <w:pPr>
              <w:spacing w:after="0"/>
              <w:rPr>
                <w:sz w:val="9"/>
                <w:szCs w:val="9"/>
                <w:color w:val="auto"/>
              </w:rPr>
            </w:pPr>
          </w:p>
        </w:tc>
      </w:tr>
      <w:tr>
        <w:trPr>
          <w:trHeight w:val="316"/>
        </w:trPr>
        <w:tc>
          <w:tcPr>
            <w:tcW w:w="4480" w:type="dxa"/>
            <w:vAlign w:val="bottom"/>
          </w:tcPr>
          <w:p>
            <w:pPr>
              <w:jc w:val="center"/>
              <w:ind w:left="592"/>
              <w:spacing w:after="0"/>
              <w:rPr>
                <w:sz w:val="20"/>
                <w:szCs w:val="20"/>
                <w:color w:val="auto"/>
              </w:rPr>
            </w:pPr>
            <w:r>
              <w:rPr>
                <w:rFonts w:ascii="Arial" w:cs="Arial" w:eastAsia="Arial" w:hAnsi="Arial"/>
                <w:sz w:val="18"/>
                <w:szCs w:val="18"/>
                <w:i w:val="1"/>
                <w:iCs w:val="1"/>
                <w:color w:val="auto"/>
                <w:w w:val="91"/>
              </w:rPr>
              <w:t>(State of Other Jurisdiction of Incorporation)</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365"/>
        </w:trPr>
        <w:tc>
          <w:tcPr>
            <w:tcW w:w="4480" w:type="dxa"/>
            <w:vAlign w:val="bottom"/>
          </w:tcPr>
          <w:p>
            <w:pPr>
              <w:jc w:val="center"/>
              <w:ind w:left="592"/>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6960" w:type="dxa"/>
            <w:vAlign w:val="bottom"/>
            <w:gridSpan w:val="3"/>
          </w:tcPr>
          <w:p>
            <w:pPr>
              <w:jc w:val="right"/>
              <w:ind w:right="2272"/>
              <w:spacing w:after="0"/>
              <w:rPr>
                <w:sz w:val="20"/>
                <w:szCs w:val="20"/>
                <w:color w:val="auto"/>
              </w:rPr>
            </w:pPr>
            <w:r>
              <w:rPr>
                <w:rFonts w:ascii="Arial" w:cs="Arial" w:eastAsia="Arial" w:hAnsi="Arial"/>
                <w:sz w:val="18"/>
                <w:szCs w:val="18"/>
                <w:b w:val="1"/>
                <w:bCs w:val="1"/>
                <w:color w:val="auto"/>
              </w:rPr>
              <w:t>78758</w:t>
            </w:r>
          </w:p>
        </w:tc>
      </w:tr>
      <w:tr>
        <w:trPr>
          <w:trHeight w:val="110"/>
        </w:trPr>
        <w:tc>
          <w:tcPr>
            <w:tcW w:w="44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5160" w:type="dxa"/>
            <w:vAlign w:val="bottom"/>
            <w:tcBorders>
              <w:bottom w:val="single" w:sz="8" w:color="auto"/>
            </w:tcBorders>
          </w:tcPr>
          <w:p>
            <w:pPr>
              <w:spacing w:after="0"/>
              <w:rPr>
                <w:sz w:val="9"/>
                <w:szCs w:val="9"/>
                <w:color w:val="auto"/>
              </w:rPr>
            </w:pPr>
          </w:p>
        </w:tc>
      </w:tr>
      <w:tr>
        <w:trPr>
          <w:trHeight w:val="316"/>
        </w:trPr>
        <w:tc>
          <w:tcPr>
            <w:tcW w:w="4480" w:type="dxa"/>
            <w:vAlign w:val="bottom"/>
          </w:tcPr>
          <w:p>
            <w:pPr>
              <w:jc w:val="center"/>
              <w:ind w:left="592"/>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i w:val="1"/>
                <w:iCs w:val="1"/>
                <w:color w:val="auto"/>
                <w:w w:val="89"/>
              </w:rPr>
              <w:t>(Zip Code)</w:t>
            </w:r>
          </w:p>
        </w:tc>
      </w:tr>
      <w:tr>
        <w:trPr>
          <w:trHeight w:val="459"/>
        </w:trPr>
        <w:tc>
          <w:tcPr>
            <w:tcW w:w="4480" w:type="dxa"/>
            <w:vAlign w:val="bottom"/>
          </w:tcPr>
          <w:p>
            <w:pPr>
              <w:spacing w:after="0"/>
              <w:rPr>
                <w:sz w:val="24"/>
                <w:szCs w:val="24"/>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(512) 836-6464</w:t>
            </w:r>
          </w:p>
        </w:tc>
        <w:tc>
          <w:tcPr>
            <w:tcW w:w="5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25" w:lineRule="exact"/>
        <w:rPr>
          <w:sz w:val="24"/>
          <w:szCs w:val="24"/>
          <w:color w:val="auto"/>
        </w:rPr>
      </w:pPr>
    </w:p>
    <w:p>
      <w:pPr>
        <w:ind w:right="560" w:firstLine="439"/>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8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0"/>
          <w:szCs w:val="20"/>
          <w:color w:val="auto"/>
        </w:rPr>
      </w:pPr>
    </w:p>
    <w:p>
      <w:pPr>
        <w:ind w:right="80" w:firstLine="439"/>
        <w:spacing w:after="0" w:line="268" w:lineRule="auto"/>
        <w:rPr>
          <w:sz w:val="20"/>
          <w:szCs w:val="20"/>
          <w:color w:val="auto"/>
        </w:rPr>
      </w:pPr>
      <w:r>
        <w:rPr>
          <w:rFonts w:ascii="Arial" w:cs="Arial" w:eastAsia="Arial" w:hAnsi="Arial"/>
          <w:sz w:val="18"/>
          <w:szCs w:val="18"/>
          <w:color w:val="auto"/>
        </w:rPr>
        <w:t>On July 27, 2005, Active Power, Inc. issued a press release reporting its results of operations for its fiscal quarter ended June 30, 2005. A copy of the press release is furnished herewith as Exhibit 99.1.</w:t>
      </w:r>
    </w:p>
    <w:p>
      <w:pPr>
        <w:spacing w:after="0" w:line="186" w:lineRule="exact"/>
        <w:rPr>
          <w:sz w:val="20"/>
          <w:szCs w:val="20"/>
          <w:color w:val="auto"/>
        </w:rPr>
      </w:pPr>
    </w:p>
    <w:p>
      <w:pPr>
        <w:jc w:val="both"/>
        <w:ind w:right="160" w:firstLine="439"/>
        <w:spacing w:after="0" w:line="298" w:lineRule="auto"/>
        <w:rPr>
          <w:sz w:val="20"/>
          <w:szCs w:val="20"/>
          <w:color w:val="auto"/>
        </w:rPr>
      </w:pPr>
      <w:r>
        <w:rPr>
          <w:rFonts w:ascii="Arial" w:cs="Arial" w:eastAsia="Arial" w:hAnsi="Arial"/>
          <w:sz w:val="16"/>
          <w:szCs w:val="16"/>
          <w:color w:val="auto"/>
        </w:rPr>
        <w:t>In accordance with General Instruction B.2 of Form 8-K, the information contained in this Current Report, including the exhibit attached hereto,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 w:type="dxa"/>
            <w:vAlign w:val="bottom"/>
          </w:tcPr>
          <w:p>
            <w:pPr>
              <w:spacing w:after="0"/>
              <w:rPr>
                <w:sz w:val="20"/>
                <w:szCs w:val="20"/>
                <w:color w:val="auto"/>
              </w:rPr>
            </w:pPr>
            <w:r>
              <w:rPr>
                <w:rFonts w:ascii="Arial" w:cs="Arial" w:eastAsia="Arial" w:hAnsi="Arial"/>
                <w:sz w:val="18"/>
                <w:szCs w:val="18"/>
                <w:color w:val="auto"/>
              </w:rPr>
              <w:t>(c)</w:t>
            </w:r>
          </w:p>
        </w:tc>
        <w:tc>
          <w:tcPr>
            <w:tcW w:w="11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8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110"/>
        </w:trPr>
        <w:tc>
          <w:tcPr>
            <w:tcW w:w="8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260" w:type="dxa"/>
            <w:vAlign w:val="bottom"/>
            <w:tcBorders>
              <w:bottom w:val="single" w:sz="8" w:color="auto"/>
            </w:tcBorders>
          </w:tcPr>
          <w:p>
            <w:pPr>
              <w:spacing w:after="0"/>
              <w:rPr>
                <w:sz w:val="9"/>
                <w:szCs w:val="9"/>
                <w:color w:val="auto"/>
              </w:rPr>
            </w:pPr>
          </w:p>
        </w:tc>
      </w:tr>
      <w:tr>
        <w:trPr>
          <w:trHeight w:val="316"/>
        </w:trPr>
        <w:tc>
          <w:tcPr>
            <w:tcW w:w="8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Press Release of Active Power, Inc. dated July 27, 2005</w:t>
            </w:r>
          </w:p>
        </w:tc>
      </w:tr>
      <w:tr>
        <w:trPr>
          <w:trHeight w:val="353"/>
        </w:trPr>
        <w:tc>
          <w:tcPr>
            <w:tcW w:w="8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84" w:right="219" w:bottom="1440" w:gutter="0" w:footer="0" w:header="0"/>
        </w:sectPr>
      </w:pPr>
    </w:p>
    <w:bookmarkStart w:id="2" w:name="page3"/>
    <w:bookmarkEnd w:id="2"/>
    <w:p>
      <w:pPr>
        <w:jc w:val="center"/>
        <w:ind w:right="-77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OWER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12" w:lineRule="exact"/>
        <w:rPr>
          <w:sz w:val="20"/>
          <w:szCs w:val="20"/>
          <w:color w:val="auto"/>
        </w:rPr>
      </w:pPr>
    </w:p>
    <w:p>
      <w:pPr>
        <w:spacing w:after="0"/>
        <w:tabs>
          <w:tab w:leader="none" w:pos="7420" w:val="left"/>
          <w:tab w:leader="none" w:pos="7980" w:val="left"/>
        </w:tabs>
        <w:rPr>
          <w:sz w:val="20"/>
          <w:szCs w:val="20"/>
          <w:color w:val="auto"/>
        </w:rPr>
      </w:pPr>
      <w:r>
        <w:rPr>
          <w:rFonts w:ascii="Arial" w:cs="Arial" w:eastAsia="Arial" w:hAnsi="Arial"/>
          <w:sz w:val="18"/>
          <w:szCs w:val="18"/>
          <w:color w:val="auto"/>
        </w:rPr>
        <w:t>Dated: July 27,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w:t>
      </w:r>
      <w:r>
        <w:rPr>
          <w:rFonts w:ascii="Arial" w:cs="Arial" w:eastAsia="Arial" w:hAnsi="Arial"/>
          <w:sz w:val="13"/>
          <w:szCs w:val="13"/>
          <w:color w:val="auto"/>
        </w:rPr>
        <w:t>OSEPH</w:t>
      </w:r>
      <w:r>
        <w:rPr>
          <w:rFonts w:ascii="Arial" w:cs="Arial" w:eastAsia="Arial" w:hAnsi="Arial"/>
          <w:sz w:val="16"/>
          <w:szCs w:val="16"/>
          <w:color w:val="auto"/>
        </w:rPr>
        <w:t xml:space="preserve"> F. P</w:t>
      </w:r>
      <w:r>
        <w:rPr>
          <w:rFonts w:ascii="Arial" w:cs="Arial" w:eastAsia="Arial" w:hAnsi="Arial"/>
          <w:sz w:val="13"/>
          <w:szCs w:val="13"/>
          <w:color w:val="auto"/>
        </w:rPr>
        <w:t>INKERTON</w:t>
      </w:r>
      <w:r>
        <w:rPr>
          <w:rFonts w:ascii="Arial" w:cs="Arial" w:eastAsia="Arial" w:hAnsi="Arial"/>
          <w:sz w:val="16"/>
          <w:szCs w:val="16"/>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80010</wp:posOffset>
            </wp:positionV>
            <wp:extent cx="2186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1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8000"/>
        <w:spacing w:after="0"/>
        <w:rPr>
          <w:sz w:val="20"/>
          <w:szCs w:val="20"/>
          <w:color w:val="auto"/>
        </w:rPr>
      </w:pPr>
      <w:r>
        <w:rPr>
          <w:rFonts w:ascii="Arial" w:cs="Arial" w:eastAsia="Arial" w:hAnsi="Arial"/>
          <w:sz w:val="15"/>
          <w:szCs w:val="15"/>
          <w:color w:val="auto"/>
        </w:rPr>
        <w:t>Chairman of the Board, President and</w:t>
      </w:r>
    </w:p>
    <w:p>
      <w:pPr>
        <w:spacing w:after="0" w:line="44"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660"/>
          </w:cols>
          <w:pgMar w:left="240" w:top="584"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6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r>
      <w:tr>
        <w:trPr>
          <w:trHeight w:val="380"/>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20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60" w:type="dxa"/>
            <w:vAlign w:val="bottom"/>
            <w:tcBorders>
              <w:bottom w:val="single" w:sz="8" w:color="auto"/>
            </w:tcBorders>
          </w:tcPr>
          <w:p>
            <w:pPr>
              <w:spacing w:after="0"/>
              <w:rPr>
                <w:sz w:val="8"/>
                <w:szCs w:val="8"/>
                <w:color w:val="auto"/>
              </w:rPr>
            </w:pPr>
          </w:p>
        </w:tc>
      </w:tr>
      <w:tr>
        <w:trPr>
          <w:trHeight w:val="316"/>
        </w:trPr>
        <w:tc>
          <w:tcPr>
            <w:tcW w:w="1180" w:type="dxa"/>
            <w:vAlign w:val="bottom"/>
          </w:tcPr>
          <w:p>
            <w:pPr>
              <w:jc w:val="right"/>
              <w:ind w:right="362"/>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Press Release of Active Power, Inc. dated July 27, 2005</w:t>
            </w:r>
          </w:p>
        </w:tc>
      </w:tr>
      <w:tr>
        <w:trPr>
          <w:trHeight w:val="353"/>
        </w:trPr>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84"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SECOND QUARTER RESULTS</w:t>
      </w:r>
    </w:p>
    <w:p>
      <w:pPr>
        <w:spacing w:after="0" w:line="23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AUSTIN, Texas (July 27, 2005) -- Active Power, Inc. (NASDAQ: ACPW) today announced results for its second quarter ended June 30, 2005. Revenue for the second quarter of fiscal 2005 was $4.7 million, up 26% from the same period last year and up 36% from the previous quarter.</w:t>
      </w:r>
    </w:p>
    <w:p>
      <w:pPr>
        <w:spacing w:after="0" w:line="13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Net loss for the second quarter of 2005 was $5.6 million, or 12 cents per share, compared to a net loss of $6.1 million, or 14 cents per share, for the same period last year and a net loss of $5.3 million, or 12 cents per share in the first quarter of 2005.</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Cash and investments usage for the quarter was $4.5 million, as compared to $5.5 million for the same period last year. Cash and investments at June 30, 2005 were $55.2 million.</w:t>
      </w:r>
    </w:p>
    <w:p>
      <w:pPr>
        <w:spacing w:after="0" w:line="18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executed well on all major fronts during the second quarter,” said Joe Pinkerton, Chairman and CEO of Active Power. “Sales through our Active Power branded channel grew during the quarter, which helped us increase gross margins by 32 percentage points relative to the same period last year. We saw an increase in orders and shipments of our megawatt-class UPS systems in Q2, and expect this trend to continue over the next several quarters. During the quarter we also shipped our extended runtime product, CoolAir™ DC, to Freescale Semiconductor and expect to ship additional CoolAir™ DC units to other high profile customers in the current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Q2 Business Highlights:</w:t>
      </w:r>
    </w:p>
    <w:p>
      <w:pPr>
        <w:spacing w:after="0" w:line="225" w:lineRule="exact"/>
        <w:rPr>
          <w:sz w:val="20"/>
          <w:szCs w:val="20"/>
          <w:color w:val="auto"/>
        </w:rPr>
      </w:pPr>
    </w:p>
    <w:p>
      <w:pPr>
        <w:ind w:left="1160" w:right="220" w:hanging="571"/>
        <w:spacing w:after="0" w:line="259"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Shipped the third evaluation unit of our battery-free extended runtime product, now being marketed as CoolAir™ DC, to Freescale Semiconductor, the third largest independent semiconductor company in the United States. Freescale is also an end user of our flywheel-based products.</w:t>
      </w:r>
    </w:p>
    <w:p>
      <w:pPr>
        <w:spacing w:after="0" w:line="126" w:lineRule="exact"/>
        <w:rPr>
          <w:rFonts w:ascii="Arial" w:cs="Arial" w:eastAsia="Arial" w:hAnsi="Arial"/>
          <w:sz w:val="18"/>
          <w:szCs w:val="18"/>
          <w:color w:val="auto"/>
        </w:rPr>
      </w:pPr>
    </w:p>
    <w:p>
      <w:pPr>
        <w:ind w:left="1160" w:right="80" w:hanging="571"/>
        <w:spacing w:after="0" w:line="268"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in June the receipt of a 2 MVA megawatt-class UPS order for a food processing facility in Northern Africa, which we believe will be shipped and installed in Q3 and Q4 of this year.</w:t>
      </w:r>
    </w:p>
    <w:p>
      <w:pPr>
        <w:spacing w:after="0" w:line="118" w:lineRule="exact"/>
        <w:rPr>
          <w:rFonts w:ascii="Arial" w:cs="Arial" w:eastAsia="Arial" w:hAnsi="Arial"/>
          <w:sz w:val="18"/>
          <w:szCs w:val="18"/>
          <w:color w:val="auto"/>
        </w:rPr>
      </w:pPr>
    </w:p>
    <w:p>
      <w:pPr>
        <w:ind w:left="1160" w:right="220" w:hanging="571"/>
        <w:spacing w:after="0" w:line="268"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our success in the healthcare industry by shipping systems to eight healthcare or hospital facilities. We also shipped units to several repeat customers for industrial processing applications.</w:t>
      </w:r>
    </w:p>
    <w:p>
      <w:pPr>
        <w:spacing w:after="0" w:line="118" w:lineRule="exact"/>
        <w:rPr>
          <w:rFonts w:ascii="Arial" w:cs="Arial" w:eastAsia="Arial" w:hAnsi="Arial"/>
          <w:sz w:val="18"/>
          <w:szCs w:val="18"/>
          <w:color w:val="auto"/>
        </w:rPr>
      </w:pPr>
    </w:p>
    <w:p>
      <w:pPr>
        <w:ind w:left="1160" w:right="380" w:hanging="571"/>
        <w:spacing w:after="0" w:line="268"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Achieved positive gross margin for the quarter due primarily to an increase of sales through our Active Power branded channel. Direct sales constituted 59% of our revenue in Q2.</w:t>
      </w:r>
    </w:p>
    <w:p>
      <w:pPr>
        <w:spacing w:after="0" w:line="118" w:lineRule="exact"/>
        <w:rPr>
          <w:rFonts w:ascii="Arial" w:cs="Arial" w:eastAsia="Arial" w:hAnsi="Arial"/>
          <w:sz w:val="18"/>
          <w:szCs w:val="18"/>
          <w:color w:val="auto"/>
        </w:rPr>
      </w:pPr>
    </w:p>
    <w:p>
      <w:pPr>
        <w:ind w:left="1160" w:right="520" w:hanging="571"/>
        <w:spacing w:after="0" w:line="268"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Shipped almost 6 MW of CleanSource DC products to customers in Q2. Sales of our DC flywheel solution during 2005 have continued to exceed our expectations.</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Continued our strong international presence with shipments to six countries. International sales constituted 44% of revenue in Q2.</w:t>
      </w:r>
    </w:p>
    <w:p>
      <w:pPr>
        <w:spacing w:after="0" w:line="180" w:lineRule="exact"/>
        <w:rPr>
          <w:rFonts w:ascii="Arial" w:cs="Arial" w:eastAsia="Arial" w:hAnsi="Arial"/>
          <w:sz w:val="16"/>
          <w:szCs w:val="16"/>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Sold our first UPS system sourced through GE Zenith Controls to a customer in the Caribbean.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Outlook:</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Active Power expects Q3 2005 revenue to be approximately $4.5 to $5.5 million, and Q3 earnings per share to be a loss of approximately 10 to 12 cents. We expect cash and investments usage in Q3 to be in the range of $6.0 to $7.0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1" w:lineRule="exact"/>
        <w:rPr>
          <w:sz w:val="20"/>
          <w:szCs w:val="20"/>
          <w:color w:val="auto"/>
        </w:rPr>
      </w:pPr>
    </w:p>
    <w:p>
      <w:pPr>
        <w:ind w:right="100"/>
        <w:spacing w:after="0" w:line="328" w:lineRule="auto"/>
        <w:rPr>
          <w:sz w:val="20"/>
          <w:szCs w:val="20"/>
          <w:color w:val="auto"/>
        </w:rPr>
      </w:pPr>
      <w:r>
        <w:rPr>
          <w:rFonts w:ascii="Arial" w:cs="Arial" w:eastAsia="Arial" w:hAnsi="Arial"/>
          <w:sz w:val="16"/>
          <w:szCs w:val="16"/>
          <w:color w:val="auto"/>
        </w:rPr>
        <w:t>The Company will host a conference call today, Wednesday, July 27, at 11:00 a.m. Eastern Time, to further review the Company’s fiscal Q2 results. A replay of the webcast will be available until August 10</w:t>
      </w:r>
      <w:r>
        <w:rPr>
          <w:rFonts w:ascii="Arial" w:cs="Arial" w:eastAsia="Arial" w:hAnsi="Arial"/>
          <w:sz w:val="26"/>
          <w:szCs w:val="26"/>
          <w:color w:val="auto"/>
          <w:vertAlign w:val="superscript"/>
        </w:rPr>
        <w:t>th</w:t>
      </w:r>
      <w:r>
        <w:rPr>
          <w:rFonts w:ascii="Arial" w:cs="Arial" w:eastAsia="Arial" w:hAnsi="Arial"/>
          <w:sz w:val="16"/>
          <w:szCs w:val="16"/>
          <w:color w:val="auto"/>
        </w:rPr>
        <w:t>. Investors may access the live broadcast and replay through our web site: www.activepower.com.</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2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Active Power, Inc. (www.activepower.com) designs, manufactures and markets battery-free power quality products that provide the consistent, reliable electric power required by today’s digital economy. An ISO 9001-certified company, Active Power is the first to commercialize a flywheel energy storage system,</w:t>
      </w:r>
    </w:p>
    <w:p>
      <w:pPr>
        <w:spacing w:after="0" w:line="1"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CleanSource</w:t>
      </w:r>
      <w:r>
        <w:rPr>
          <w:rFonts w:ascii="Arial" w:cs="Arial" w:eastAsia="Arial" w:hAnsi="Arial"/>
          <w:sz w:val="29"/>
          <w:szCs w:val="29"/>
          <w:color w:val="auto"/>
          <w:vertAlign w:val="superscript"/>
        </w:rPr>
        <w:t>®</w:t>
      </w:r>
      <w:r>
        <w:rPr>
          <w:rFonts w:ascii="Arial" w:cs="Arial" w:eastAsia="Arial" w:hAnsi="Arial"/>
          <w:sz w:val="18"/>
          <w:szCs w:val="18"/>
          <w:color w:val="auto"/>
        </w:rPr>
        <w:t>, that provides a highly reliable, low-cost and non-toxic replacement for lead-acid batteries used in conventional power quality installations. Active Power has also recently developed a new battery-free extended runtime product line (CoolAir™) based on its proprietary thermal and compressed air storage technology.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This release may contain forward-looking statements that involve risks and uncertainties. Among the important factors that could cause actual results to materially differ from those in the forward-looking statements are: the potential for significant losses to continue; inability to accurately predict revenue and budget for expenses for future periods; fluctuations in revenue and operating results; overall market performance; decreases and/or delays in capital spending; limited product offerings; inability to expand and integrate new distribution channels; inability to manage new and existing product distribution relationships; our</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dependence on our relationship with Caterpillar</w:t>
      </w:r>
      <w:r>
        <w:rPr>
          <w:rFonts w:ascii="Arial" w:cs="Arial" w:eastAsia="Arial" w:hAnsi="Arial"/>
          <w:sz w:val="28"/>
          <w:szCs w:val="28"/>
          <w:color w:val="auto"/>
          <w:vertAlign w:val="superscript"/>
        </w:rPr>
        <w:t>®</w:t>
      </w:r>
      <w:r>
        <w:rPr>
          <w:rFonts w:ascii="Arial" w:cs="Arial" w:eastAsia="Arial" w:hAnsi="Arial"/>
          <w:sz w:val="17"/>
          <w:szCs w:val="17"/>
          <w:color w:val="auto"/>
        </w:rPr>
        <w:t>; competition; delays in research and development; dependence on sole or limited source suppliers; inability to increase product sales; inventory risks; dependence upon key personnel; inability to protect our intellectual property rights; potential future acquisitions; potential Sarbanes-Oxley Section 404 compliance issues; the volatility of our stock price regardless of our actual financial performance; and other factors detailed in our filings with the Securities and Exchange Commission. Additional risks and uncertainties that we are unaware of or that we currently deem immaterial also may become important factors that affect us. Active Power expressly disclaims any obligation to release publicly any updates or revisions to the information contained in this press release or to update or revise any forward-looking statements to reflect any changes in expectations, or any change in events or circumstances on which those statements are based, unless otherwise required by law.</w:t>
      </w:r>
    </w:p>
    <w:p>
      <w:pPr>
        <w:spacing w:after="0" w:line="20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i w:val="1"/>
          <w:iCs w:val="1"/>
          <w:color w:val="auto"/>
        </w:rPr>
        <w:t xml:space="preserve">Active Power and our Active Power logo and CleanSource are registered trademarks of Active Power, Inc. </w:t>
      </w:r>
      <w:r>
        <w:rPr>
          <w:rFonts w:ascii="Arial" w:cs="Arial" w:eastAsia="Arial" w:hAnsi="Arial"/>
          <w:sz w:val="18"/>
          <w:szCs w:val="18"/>
          <w:color w:val="auto"/>
        </w:rPr>
        <w:t>All other trademarks are the properties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 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Michael Chibib, Investors, 512.744.9453, mchibib@activepower.com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Derek Jones, Corporate Communications, 512.744.9210, djones@activepower.com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Three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Six</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1"/>
              </w:rPr>
              <w:t>Months Ended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Months Ended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jc w:val="right"/>
              <w:ind w:right="332"/>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jc w:val="right"/>
              <w:ind w:right="352"/>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E6E6E6"/>
          </w:tcPr>
          <w:p>
            <w:pPr>
              <w:spacing w:after="0" w:line="149" w:lineRule="exact"/>
              <w:rPr>
                <w:sz w:val="20"/>
                <w:szCs w:val="20"/>
                <w:color w:val="auto"/>
              </w:rPr>
            </w:pPr>
            <w:r>
              <w:rPr>
                <w:rFonts w:ascii="Arial" w:cs="Arial" w:eastAsia="Arial" w:hAnsi="Arial"/>
                <w:sz w:val="14"/>
                <w:szCs w:val="14"/>
                <w:color w:val="auto"/>
              </w:rPr>
              <w:t>Product revenue</w:t>
            </w:r>
          </w:p>
        </w:tc>
        <w:tc>
          <w:tcPr>
            <w:tcW w:w="660" w:type="dxa"/>
            <w:vAlign w:val="bottom"/>
            <w:shd w:val="clear" w:color="auto" w:fill="E6E6E6"/>
          </w:tcPr>
          <w:p>
            <w:pPr>
              <w:jc w:val="right"/>
              <w:ind w:right="512"/>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4,157</w:t>
            </w:r>
          </w:p>
        </w:tc>
        <w:tc>
          <w:tcPr>
            <w:tcW w:w="180" w:type="dxa"/>
            <w:vAlign w:val="bottom"/>
            <w:shd w:val="clear" w:color="auto" w:fill="E6E6E6"/>
          </w:tcPr>
          <w:p>
            <w:pPr>
              <w:spacing w:after="0"/>
              <w:rPr>
                <w:sz w:val="12"/>
                <w:szCs w:val="12"/>
                <w:color w:val="auto"/>
              </w:rPr>
            </w:pPr>
          </w:p>
        </w:tc>
        <w:tc>
          <w:tcPr>
            <w:tcW w:w="360" w:type="dxa"/>
            <w:vAlign w:val="bottom"/>
            <w:shd w:val="clear" w:color="auto" w:fill="E6E6E6"/>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3,249</w:t>
            </w:r>
          </w:p>
        </w:tc>
        <w:tc>
          <w:tcPr>
            <w:tcW w:w="180" w:type="dxa"/>
            <w:vAlign w:val="bottom"/>
            <w:shd w:val="clear" w:color="auto" w:fill="E6E6E6"/>
          </w:tcPr>
          <w:p>
            <w:pPr>
              <w:spacing w:after="0"/>
              <w:rPr>
                <w:sz w:val="12"/>
                <w:szCs w:val="12"/>
                <w:color w:val="auto"/>
              </w:rPr>
            </w:pPr>
          </w:p>
        </w:tc>
        <w:tc>
          <w:tcPr>
            <w:tcW w:w="1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7,088</w:t>
            </w:r>
          </w:p>
        </w:tc>
        <w:tc>
          <w:tcPr>
            <w:tcW w:w="180" w:type="dxa"/>
            <w:vAlign w:val="bottom"/>
            <w:shd w:val="clear" w:color="auto" w:fill="E6E6E6"/>
          </w:tcPr>
          <w:p>
            <w:pPr>
              <w:spacing w:after="0"/>
              <w:rPr>
                <w:sz w:val="12"/>
                <w:szCs w:val="12"/>
                <w:color w:val="auto"/>
              </w:rPr>
            </w:pPr>
          </w:p>
        </w:tc>
        <w:tc>
          <w:tcPr>
            <w:tcW w:w="360" w:type="dxa"/>
            <w:vAlign w:val="bottom"/>
            <w:shd w:val="clear" w:color="auto" w:fill="E6E6E6"/>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5,998</w:t>
            </w:r>
          </w:p>
        </w:tc>
        <w:tc>
          <w:tcPr>
            <w:tcW w:w="10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Service and spares revenue</w:t>
            </w:r>
          </w:p>
        </w:tc>
        <w:tc>
          <w:tcPr>
            <w:tcW w:w="6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517</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1024</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E6E6E6"/>
          </w:tcPr>
          <w:p>
            <w:pPr>
              <w:ind w:left="860"/>
              <w:spacing w:after="0" w:line="149" w:lineRule="exact"/>
              <w:rPr>
                <w:sz w:val="20"/>
                <w:szCs w:val="20"/>
                <w:color w:val="auto"/>
              </w:rPr>
            </w:pPr>
            <w:r>
              <w:rPr>
                <w:rFonts w:ascii="Arial" w:cs="Arial" w:eastAsia="Arial" w:hAnsi="Arial"/>
                <w:sz w:val="14"/>
                <w:szCs w:val="14"/>
                <w:color w:val="auto"/>
              </w:rPr>
              <w:t>Total revenue</w:t>
            </w:r>
          </w:p>
        </w:tc>
        <w:tc>
          <w:tcPr>
            <w:tcW w:w="660" w:type="dxa"/>
            <w:vAlign w:val="bottom"/>
            <w:shd w:val="clear" w:color="auto" w:fill="E6E6E6"/>
          </w:tcPr>
          <w:p>
            <w:pPr>
              <w:spacing w:after="0"/>
              <w:rPr>
                <w:sz w:val="12"/>
                <w:szCs w:val="12"/>
                <w:color w:val="auto"/>
              </w:rPr>
            </w:pPr>
          </w:p>
        </w:tc>
        <w:tc>
          <w:tcPr>
            <w:tcW w:w="40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4,674</w:t>
            </w:r>
          </w:p>
        </w:tc>
        <w:tc>
          <w:tcPr>
            <w:tcW w:w="180" w:type="dxa"/>
            <w:vAlign w:val="bottom"/>
            <w:shd w:val="clear" w:color="auto" w:fill="E6E6E6"/>
          </w:tcPr>
          <w:p>
            <w:pPr>
              <w:spacing w:after="0"/>
              <w:rPr>
                <w:sz w:val="12"/>
                <w:szCs w:val="12"/>
                <w:color w:val="auto"/>
              </w:rPr>
            </w:pPr>
          </w:p>
        </w:tc>
        <w:tc>
          <w:tcPr>
            <w:tcW w:w="360" w:type="dxa"/>
            <w:vAlign w:val="bottom"/>
            <w:shd w:val="clear" w:color="auto" w:fill="E6E6E6"/>
          </w:tcPr>
          <w:p>
            <w:pPr>
              <w:spacing w:after="0"/>
              <w:rPr>
                <w:sz w:val="12"/>
                <w:szCs w:val="12"/>
                <w:color w:val="auto"/>
              </w:rPr>
            </w:pPr>
          </w:p>
        </w:tc>
        <w:tc>
          <w:tcPr>
            <w:tcW w:w="70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3,715</w:t>
            </w:r>
          </w:p>
        </w:tc>
        <w:tc>
          <w:tcPr>
            <w:tcW w:w="180" w:type="dxa"/>
            <w:vAlign w:val="bottom"/>
            <w:shd w:val="clear" w:color="auto" w:fill="E6E6E6"/>
          </w:tcPr>
          <w:p>
            <w:pPr>
              <w:spacing w:after="0"/>
              <w:rPr>
                <w:sz w:val="12"/>
                <w:szCs w:val="12"/>
                <w:color w:val="auto"/>
              </w:rPr>
            </w:pPr>
          </w:p>
        </w:tc>
        <w:tc>
          <w:tcPr>
            <w:tcW w:w="140" w:type="dxa"/>
            <w:vAlign w:val="bottom"/>
            <w:shd w:val="clear" w:color="auto" w:fill="E6E6E6"/>
          </w:tcPr>
          <w:p>
            <w:pPr>
              <w:spacing w:after="0"/>
              <w:rPr>
                <w:sz w:val="12"/>
                <w:szCs w:val="12"/>
                <w:color w:val="auto"/>
              </w:rPr>
            </w:pPr>
          </w:p>
        </w:tc>
        <w:tc>
          <w:tcPr>
            <w:tcW w:w="9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8,112</w:t>
            </w:r>
          </w:p>
        </w:tc>
        <w:tc>
          <w:tcPr>
            <w:tcW w:w="180" w:type="dxa"/>
            <w:vAlign w:val="bottom"/>
            <w:shd w:val="clear" w:color="auto" w:fill="E6E6E6"/>
          </w:tcPr>
          <w:p>
            <w:pPr>
              <w:spacing w:after="0"/>
              <w:rPr>
                <w:sz w:val="12"/>
                <w:szCs w:val="12"/>
                <w:color w:val="auto"/>
              </w:rPr>
            </w:pPr>
          </w:p>
        </w:tc>
        <w:tc>
          <w:tcPr>
            <w:tcW w:w="360" w:type="dxa"/>
            <w:vAlign w:val="bottom"/>
            <w:shd w:val="clear" w:color="auto" w:fill="E6E6E6"/>
          </w:tcPr>
          <w:p>
            <w:pPr>
              <w:spacing w:after="0"/>
              <w:rPr>
                <w:sz w:val="12"/>
                <w:szCs w:val="12"/>
                <w:color w:val="auto"/>
              </w:rPr>
            </w:pPr>
          </w:p>
        </w:tc>
        <w:tc>
          <w:tcPr>
            <w:tcW w:w="72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6,955</w:t>
            </w:r>
          </w:p>
        </w:tc>
        <w:tc>
          <w:tcPr>
            <w:tcW w:w="10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E6E6E6"/>
          </w:tcPr>
          <w:p>
            <w:pPr>
              <w:ind w:left="420"/>
              <w:spacing w:after="0" w:line="149" w:lineRule="exact"/>
              <w:rPr>
                <w:sz w:val="20"/>
                <w:szCs w:val="20"/>
                <w:color w:val="auto"/>
              </w:rPr>
            </w:pPr>
            <w:r>
              <w:rPr>
                <w:rFonts w:ascii="Arial" w:cs="Arial" w:eastAsia="Arial" w:hAnsi="Arial"/>
                <w:sz w:val="14"/>
                <w:szCs w:val="14"/>
                <w:color w:val="auto"/>
              </w:rPr>
              <w:t>Cost of product revenue</w:t>
            </w:r>
          </w:p>
        </w:tc>
        <w:tc>
          <w:tcPr>
            <w:tcW w:w="660" w:type="dxa"/>
            <w:vAlign w:val="bottom"/>
            <w:shd w:val="clear" w:color="auto" w:fill="E6E6E6"/>
          </w:tcPr>
          <w:p>
            <w:pPr>
              <w:spacing w:after="0"/>
              <w:rPr>
                <w:sz w:val="12"/>
                <w:szCs w:val="12"/>
                <w:color w:val="auto"/>
              </w:rPr>
            </w:pPr>
          </w:p>
        </w:tc>
        <w:tc>
          <w:tcPr>
            <w:tcW w:w="40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4,119</w:t>
            </w:r>
          </w:p>
        </w:tc>
        <w:tc>
          <w:tcPr>
            <w:tcW w:w="180" w:type="dxa"/>
            <w:vAlign w:val="bottom"/>
            <w:shd w:val="clear" w:color="auto" w:fill="E6E6E6"/>
          </w:tcPr>
          <w:p>
            <w:pPr>
              <w:spacing w:after="0"/>
              <w:rPr>
                <w:sz w:val="12"/>
                <w:szCs w:val="12"/>
                <w:color w:val="auto"/>
              </w:rPr>
            </w:pPr>
          </w:p>
        </w:tc>
        <w:tc>
          <w:tcPr>
            <w:tcW w:w="360" w:type="dxa"/>
            <w:vAlign w:val="bottom"/>
            <w:shd w:val="clear" w:color="auto" w:fill="E6E6E6"/>
          </w:tcPr>
          <w:p>
            <w:pPr>
              <w:spacing w:after="0"/>
              <w:rPr>
                <w:sz w:val="12"/>
                <w:szCs w:val="12"/>
                <w:color w:val="auto"/>
              </w:rPr>
            </w:pPr>
          </w:p>
        </w:tc>
        <w:tc>
          <w:tcPr>
            <w:tcW w:w="70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4,422</w:t>
            </w:r>
          </w:p>
        </w:tc>
        <w:tc>
          <w:tcPr>
            <w:tcW w:w="180" w:type="dxa"/>
            <w:vAlign w:val="bottom"/>
            <w:shd w:val="clear" w:color="auto" w:fill="E6E6E6"/>
          </w:tcPr>
          <w:p>
            <w:pPr>
              <w:spacing w:after="0"/>
              <w:rPr>
                <w:sz w:val="12"/>
                <w:szCs w:val="12"/>
                <w:color w:val="auto"/>
              </w:rPr>
            </w:pPr>
          </w:p>
        </w:tc>
        <w:tc>
          <w:tcPr>
            <w:tcW w:w="140" w:type="dxa"/>
            <w:vAlign w:val="bottom"/>
            <w:shd w:val="clear" w:color="auto" w:fill="E6E6E6"/>
          </w:tcPr>
          <w:p>
            <w:pPr>
              <w:spacing w:after="0"/>
              <w:rPr>
                <w:sz w:val="12"/>
                <w:szCs w:val="12"/>
                <w:color w:val="auto"/>
              </w:rPr>
            </w:pPr>
          </w:p>
        </w:tc>
        <w:tc>
          <w:tcPr>
            <w:tcW w:w="9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7,364</w:t>
            </w:r>
          </w:p>
        </w:tc>
        <w:tc>
          <w:tcPr>
            <w:tcW w:w="180" w:type="dxa"/>
            <w:vAlign w:val="bottom"/>
            <w:shd w:val="clear" w:color="auto" w:fill="E6E6E6"/>
          </w:tcPr>
          <w:p>
            <w:pPr>
              <w:spacing w:after="0"/>
              <w:rPr>
                <w:sz w:val="12"/>
                <w:szCs w:val="12"/>
                <w:color w:val="auto"/>
              </w:rPr>
            </w:pPr>
          </w:p>
        </w:tc>
        <w:tc>
          <w:tcPr>
            <w:tcW w:w="360" w:type="dxa"/>
            <w:vAlign w:val="bottom"/>
            <w:shd w:val="clear" w:color="auto" w:fill="E6E6E6"/>
          </w:tcPr>
          <w:p>
            <w:pPr>
              <w:spacing w:after="0"/>
              <w:rPr>
                <w:sz w:val="12"/>
                <w:szCs w:val="12"/>
                <w:color w:val="auto"/>
              </w:rPr>
            </w:pPr>
          </w:p>
        </w:tc>
        <w:tc>
          <w:tcPr>
            <w:tcW w:w="72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7,909</w:t>
            </w:r>
          </w:p>
        </w:tc>
        <w:tc>
          <w:tcPr>
            <w:tcW w:w="10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Cost of service and spares revenue</w:t>
            </w:r>
          </w:p>
        </w:tc>
        <w:tc>
          <w:tcPr>
            <w:tcW w:w="6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497</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456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1,041</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1,020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E6E6E6"/>
          </w:tcPr>
          <w:p>
            <w:pPr>
              <w:ind w:left="420"/>
              <w:spacing w:after="0" w:line="149" w:lineRule="exact"/>
              <w:rPr>
                <w:sz w:val="20"/>
                <w:szCs w:val="20"/>
                <w:color w:val="auto"/>
              </w:rPr>
            </w:pPr>
            <w:r>
              <w:rPr>
                <w:rFonts w:ascii="Arial" w:cs="Arial" w:eastAsia="Arial" w:hAnsi="Arial"/>
                <w:sz w:val="14"/>
                <w:szCs w:val="14"/>
                <w:color w:val="auto"/>
              </w:rPr>
              <w:t>Research and development</w:t>
            </w:r>
          </w:p>
        </w:tc>
        <w:tc>
          <w:tcPr>
            <w:tcW w:w="660" w:type="dxa"/>
            <w:vAlign w:val="bottom"/>
            <w:shd w:val="clear" w:color="auto" w:fill="E6E6E6"/>
          </w:tcPr>
          <w:p>
            <w:pPr>
              <w:spacing w:after="0"/>
              <w:rPr>
                <w:sz w:val="12"/>
                <w:szCs w:val="12"/>
                <w:color w:val="auto"/>
              </w:rPr>
            </w:pPr>
          </w:p>
        </w:tc>
        <w:tc>
          <w:tcPr>
            <w:tcW w:w="40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2,807</w:t>
            </w:r>
          </w:p>
        </w:tc>
        <w:tc>
          <w:tcPr>
            <w:tcW w:w="180" w:type="dxa"/>
            <w:vAlign w:val="bottom"/>
            <w:shd w:val="clear" w:color="auto" w:fill="E6E6E6"/>
          </w:tcPr>
          <w:p>
            <w:pPr>
              <w:spacing w:after="0"/>
              <w:rPr>
                <w:sz w:val="12"/>
                <w:szCs w:val="12"/>
                <w:color w:val="auto"/>
              </w:rPr>
            </w:pPr>
          </w:p>
        </w:tc>
        <w:tc>
          <w:tcPr>
            <w:tcW w:w="360" w:type="dxa"/>
            <w:vAlign w:val="bottom"/>
            <w:shd w:val="clear" w:color="auto" w:fill="E6E6E6"/>
          </w:tcPr>
          <w:p>
            <w:pPr>
              <w:spacing w:after="0"/>
              <w:rPr>
                <w:sz w:val="12"/>
                <w:szCs w:val="12"/>
                <w:color w:val="auto"/>
              </w:rPr>
            </w:pPr>
          </w:p>
        </w:tc>
        <w:tc>
          <w:tcPr>
            <w:tcW w:w="70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2,271</w:t>
            </w:r>
          </w:p>
        </w:tc>
        <w:tc>
          <w:tcPr>
            <w:tcW w:w="180" w:type="dxa"/>
            <w:vAlign w:val="bottom"/>
            <w:shd w:val="clear" w:color="auto" w:fill="E6E6E6"/>
          </w:tcPr>
          <w:p>
            <w:pPr>
              <w:spacing w:after="0"/>
              <w:rPr>
                <w:sz w:val="12"/>
                <w:szCs w:val="12"/>
                <w:color w:val="auto"/>
              </w:rPr>
            </w:pPr>
          </w:p>
        </w:tc>
        <w:tc>
          <w:tcPr>
            <w:tcW w:w="140" w:type="dxa"/>
            <w:vAlign w:val="bottom"/>
            <w:shd w:val="clear" w:color="auto" w:fill="E6E6E6"/>
          </w:tcPr>
          <w:p>
            <w:pPr>
              <w:spacing w:after="0"/>
              <w:rPr>
                <w:sz w:val="12"/>
                <w:szCs w:val="12"/>
                <w:color w:val="auto"/>
              </w:rPr>
            </w:pPr>
          </w:p>
        </w:tc>
        <w:tc>
          <w:tcPr>
            <w:tcW w:w="9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5,038</w:t>
            </w:r>
          </w:p>
        </w:tc>
        <w:tc>
          <w:tcPr>
            <w:tcW w:w="180" w:type="dxa"/>
            <w:vAlign w:val="bottom"/>
            <w:shd w:val="clear" w:color="auto" w:fill="E6E6E6"/>
          </w:tcPr>
          <w:p>
            <w:pPr>
              <w:spacing w:after="0"/>
              <w:rPr>
                <w:sz w:val="12"/>
                <w:szCs w:val="12"/>
                <w:color w:val="auto"/>
              </w:rPr>
            </w:pPr>
          </w:p>
        </w:tc>
        <w:tc>
          <w:tcPr>
            <w:tcW w:w="360" w:type="dxa"/>
            <w:vAlign w:val="bottom"/>
            <w:shd w:val="clear" w:color="auto" w:fill="E6E6E6"/>
          </w:tcPr>
          <w:p>
            <w:pPr>
              <w:spacing w:after="0"/>
              <w:rPr>
                <w:sz w:val="12"/>
                <w:szCs w:val="12"/>
                <w:color w:val="auto"/>
              </w:rPr>
            </w:pPr>
          </w:p>
        </w:tc>
        <w:tc>
          <w:tcPr>
            <w:tcW w:w="72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4,624</w:t>
            </w:r>
          </w:p>
        </w:tc>
        <w:tc>
          <w:tcPr>
            <w:tcW w:w="10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&amp; administrative</w:t>
            </w:r>
          </w:p>
        </w:tc>
        <w:tc>
          <w:tcPr>
            <w:tcW w:w="6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3,575</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2,695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7,149</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5,474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E6E6E6"/>
          </w:tcPr>
          <w:p>
            <w:pPr>
              <w:ind w:left="420"/>
              <w:spacing w:after="0" w:line="149" w:lineRule="exact"/>
              <w:rPr>
                <w:sz w:val="20"/>
                <w:szCs w:val="20"/>
                <w:color w:val="auto"/>
              </w:rPr>
            </w:pPr>
            <w:r>
              <w:rPr>
                <w:rFonts w:ascii="Arial" w:cs="Arial" w:eastAsia="Arial" w:hAnsi="Arial"/>
                <w:sz w:val="14"/>
                <w:szCs w:val="14"/>
                <w:color w:val="auto"/>
              </w:rPr>
              <w:t>Litigation settlement expense</w:t>
            </w:r>
          </w:p>
        </w:tc>
        <w:tc>
          <w:tcPr>
            <w:tcW w:w="660" w:type="dxa"/>
            <w:vAlign w:val="bottom"/>
            <w:shd w:val="clear" w:color="auto" w:fill="E6E6E6"/>
          </w:tcPr>
          <w:p>
            <w:pPr>
              <w:spacing w:after="0"/>
              <w:rPr>
                <w:sz w:val="12"/>
                <w:szCs w:val="12"/>
                <w:color w:val="auto"/>
              </w:rPr>
            </w:pPr>
          </w:p>
        </w:tc>
        <w:tc>
          <w:tcPr>
            <w:tcW w:w="580" w:type="dxa"/>
            <w:vAlign w:val="bottom"/>
            <w:gridSpan w:val="2"/>
            <w:shd w:val="clear" w:color="auto" w:fill="E6E6E6"/>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6E6E6"/>
          </w:tcPr>
          <w:p>
            <w:pPr>
              <w:spacing w:after="0"/>
              <w:rPr>
                <w:sz w:val="12"/>
                <w:szCs w:val="12"/>
                <w:color w:val="auto"/>
              </w:rPr>
            </w:pPr>
          </w:p>
        </w:tc>
        <w:tc>
          <w:tcPr>
            <w:tcW w:w="70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280</w:t>
            </w:r>
          </w:p>
        </w:tc>
        <w:tc>
          <w:tcPr>
            <w:tcW w:w="180" w:type="dxa"/>
            <w:vAlign w:val="bottom"/>
            <w:shd w:val="clear" w:color="auto" w:fill="E6E6E6"/>
          </w:tcPr>
          <w:p>
            <w:pPr>
              <w:spacing w:after="0"/>
              <w:rPr>
                <w:sz w:val="12"/>
                <w:szCs w:val="12"/>
                <w:color w:val="auto"/>
              </w:rPr>
            </w:pPr>
          </w:p>
        </w:tc>
        <w:tc>
          <w:tcPr>
            <w:tcW w:w="140" w:type="dxa"/>
            <w:vAlign w:val="bottom"/>
            <w:shd w:val="clear" w:color="auto" w:fill="E6E6E6"/>
          </w:tcPr>
          <w:p>
            <w:pPr>
              <w:spacing w:after="0"/>
              <w:rPr>
                <w:sz w:val="12"/>
                <w:szCs w:val="12"/>
                <w:color w:val="auto"/>
              </w:rPr>
            </w:pPr>
          </w:p>
        </w:tc>
        <w:tc>
          <w:tcPr>
            <w:tcW w:w="1120" w:type="dxa"/>
            <w:vAlign w:val="bottom"/>
            <w:gridSpan w:val="2"/>
            <w:shd w:val="clear" w:color="auto" w:fill="E6E6E6"/>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6E6E6"/>
          </w:tcPr>
          <w:p>
            <w:pPr>
              <w:spacing w:after="0"/>
              <w:rPr>
                <w:sz w:val="12"/>
                <w:szCs w:val="12"/>
                <w:color w:val="auto"/>
              </w:rPr>
            </w:pPr>
          </w:p>
        </w:tc>
        <w:tc>
          <w:tcPr>
            <w:tcW w:w="72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280</w:t>
            </w:r>
          </w:p>
        </w:tc>
        <w:tc>
          <w:tcPr>
            <w:tcW w:w="10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ind w:left="420"/>
              <w:spacing w:after="0"/>
              <w:rPr>
                <w:sz w:val="20"/>
                <w:szCs w:val="20"/>
                <w:color w:val="auto"/>
              </w:rPr>
            </w:pPr>
            <w:r>
              <w:rPr>
                <w:rFonts w:ascii="Arial" w:cs="Arial" w:eastAsia="Arial" w:hAnsi="Arial"/>
                <w:sz w:val="14"/>
                <w:szCs w:val="14"/>
                <w:color w:val="auto"/>
              </w:rPr>
              <w:t>Amortization of deferred stock compensation</w:t>
            </w:r>
          </w:p>
        </w:tc>
        <w:tc>
          <w:tcPr>
            <w:tcW w:w="660" w:type="dxa"/>
            <w:vAlign w:val="bottom"/>
          </w:tcPr>
          <w:p>
            <w:pPr>
              <w:spacing w:after="0"/>
              <w:rPr>
                <w:sz w:val="14"/>
                <w:szCs w:val="1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E6E6E6"/>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660" w:type="dxa"/>
            <w:vAlign w:val="bottom"/>
            <w:shd w:val="clear" w:color="auto" w:fill="E6E6E6"/>
          </w:tcPr>
          <w:p>
            <w:pPr>
              <w:spacing w:after="0"/>
              <w:rPr>
                <w:sz w:val="12"/>
                <w:szCs w:val="12"/>
                <w:color w:val="auto"/>
              </w:rPr>
            </w:pPr>
          </w:p>
        </w:tc>
        <w:tc>
          <w:tcPr>
            <w:tcW w:w="40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w w:val="83"/>
              </w:rPr>
              <w:t>10,998</w:t>
            </w:r>
          </w:p>
        </w:tc>
        <w:tc>
          <w:tcPr>
            <w:tcW w:w="180" w:type="dxa"/>
            <w:vAlign w:val="bottom"/>
            <w:shd w:val="clear" w:color="auto" w:fill="E6E6E6"/>
          </w:tcPr>
          <w:p>
            <w:pPr>
              <w:spacing w:after="0"/>
              <w:rPr>
                <w:sz w:val="12"/>
                <w:szCs w:val="12"/>
                <w:color w:val="auto"/>
              </w:rPr>
            </w:pPr>
          </w:p>
        </w:tc>
        <w:tc>
          <w:tcPr>
            <w:tcW w:w="360" w:type="dxa"/>
            <w:vAlign w:val="bottom"/>
            <w:shd w:val="clear" w:color="auto" w:fill="E6E6E6"/>
          </w:tcPr>
          <w:p>
            <w:pPr>
              <w:spacing w:after="0"/>
              <w:rPr>
                <w:sz w:val="12"/>
                <w:szCs w:val="12"/>
                <w:color w:val="auto"/>
              </w:rPr>
            </w:pPr>
          </w:p>
        </w:tc>
        <w:tc>
          <w:tcPr>
            <w:tcW w:w="70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10,141</w:t>
            </w:r>
          </w:p>
        </w:tc>
        <w:tc>
          <w:tcPr>
            <w:tcW w:w="180" w:type="dxa"/>
            <w:vAlign w:val="bottom"/>
            <w:shd w:val="clear" w:color="auto" w:fill="E6E6E6"/>
          </w:tcPr>
          <w:p>
            <w:pPr>
              <w:spacing w:after="0"/>
              <w:rPr>
                <w:sz w:val="12"/>
                <w:szCs w:val="12"/>
                <w:color w:val="auto"/>
              </w:rPr>
            </w:pPr>
          </w:p>
        </w:tc>
        <w:tc>
          <w:tcPr>
            <w:tcW w:w="140" w:type="dxa"/>
            <w:vAlign w:val="bottom"/>
            <w:shd w:val="clear" w:color="auto" w:fill="E6E6E6"/>
          </w:tcPr>
          <w:p>
            <w:pPr>
              <w:spacing w:after="0"/>
              <w:rPr>
                <w:sz w:val="12"/>
                <w:szCs w:val="12"/>
                <w:color w:val="auto"/>
              </w:rPr>
            </w:pPr>
          </w:p>
        </w:tc>
        <w:tc>
          <w:tcPr>
            <w:tcW w:w="9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20,592</w:t>
            </w:r>
          </w:p>
        </w:tc>
        <w:tc>
          <w:tcPr>
            <w:tcW w:w="180" w:type="dxa"/>
            <w:vAlign w:val="bottom"/>
            <w:shd w:val="clear" w:color="auto" w:fill="E6E6E6"/>
          </w:tcPr>
          <w:p>
            <w:pPr>
              <w:spacing w:after="0"/>
              <w:rPr>
                <w:sz w:val="12"/>
                <w:szCs w:val="12"/>
                <w:color w:val="auto"/>
              </w:rPr>
            </w:pPr>
          </w:p>
        </w:tc>
        <w:tc>
          <w:tcPr>
            <w:tcW w:w="360" w:type="dxa"/>
            <w:vAlign w:val="bottom"/>
            <w:shd w:val="clear" w:color="auto" w:fill="E6E6E6"/>
          </w:tcPr>
          <w:p>
            <w:pPr>
              <w:spacing w:after="0"/>
              <w:rPr>
                <w:sz w:val="12"/>
                <w:szCs w:val="12"/>
                <w:color w:val="auto"/>
              </w:rPr>
            </w:pPr>
          </w:p>
        </w:tc>
        <w:tc>
          <w:tcPr>
            <w:tcW w:w="72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19,341</w:t>
            </w:r>
          </w:p>
        </w:tc>
        <w:tc>
          <w:tcPr>
            <w:tcW w:w="10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E6E6E6"/>
          </w:tcPr>
          <w:p>
            <w:pPr>
              <w:spacing w:after="0" w:line="149" w:lineRule="exact"/>
              <w:rPr>
                <w:sz w:val="20"/>
                <w:szCs w:val="20"/>
                <w:color w:val="auto"/>
              </w:rPr>
            </w:pPr>
            <w:r>
              <w:rPr>
                <w:rFonts w:ascii="Arial" w:cs="Arial" w:eastAsia="Arial" w:hAnsi="Arial"/>
                <w:sz w:val="14"/>
                <w:szCs w:val="14"/>
                <w:color w:val="auto"/>
              </w:rPr>
              <w:t>Operating loss</w:t>
            </w:r>
          </w:p>
        </w:tc>
        <w:tc>
          <w:tcPr>
            <w:tcW w:w="660" w:type="dxa"/>
            <w:vAlign w:val="bottom"/>
            <w:shd w:val="clear" w:color="auto" w:fill="E6E6E6"/>
          </w:tcPr>
          <w:p>
            <w:pPr>
              <w:spacing w:after="0"/>
              <w:rPr>
                <w:sz w:val="12"/>
                <w:szCs w:val="12"/>
                <w:color w:val="auto"/>
              </w:rPr>
            </w:pPr>
          </w:p>
        </w:tc>
        <w:tc>
          <w:tcPr>
            <w:tcW w:w="580" w:type="dxa"/>
            <w:vAlign w:val="bottom"/>
            <w:gridSpan w:val="2"/>
            <w:shd w:val="clear" w:color="auto" w:fill="E6E6E6"/>
          </w:tcPr>
          <w:p>
            <w:pPr>
              <w:jc w:val="right"/>
              <w:ind w:right="160"/>
              <w:spacing w:after="0" w:line="149" w:lineRule="exact"/>
              <w:rPr>
                <w:sz w:val="20"/>
                <w:szCs w:val="20"/>
                <w:color w:val="auto"/>
              </w:rPr>
            </w:pPr>
            <w:r>
              <w:rPr>
                <w:rFonts w:ascii="Arial" w:cs="Arial" w:eastAsia="Arial" w:hAnsi="Arial"/>
                <w:sz w:val="14"/>
                <w:szCs w:val="14"/>
                <w:color w:val="auto"/>
                <w:w w:val="90"/>
              </w:rPr>
              <w:t>(6,324)</w:t>
            </w:r>
          </w:p>
        </w:tc>
        <w:tc>
          <w:tcPr>
            <w:tcW w:w="360" w:type="dxa"/>
            <w:vAlign w:val="bottom"/>
            <w:shd w:val="clear" w:color="auto" w:fill="E6E6E6"/>
          </w:tcPr>
          <w:p>
            <w:pPr>
              <w:spacing w:after="0"/>
              <w:rPr>
                <w:sz w:val="12"/>
                <w:szCs w:val="12"/>
                <w:color w:val="auto"/>
              </w:rPr>
            </w:pPr>
          </w:p>
        </w:tc>
        <w:tc>
          <w:tcPr>
            <w:tcW w:w="880" w:type="dxa"/>
            <w:vAlign w:val="bottom"/>
            <w:gridSpan w:val="2"/>
            <w:shd w:val="clear" w:color="auto" w:fill="E6E6E6"/>
          </w:tcPr>
          <w:p>
            <w:pPr>
              <w:jc w:val="right"/>
              <w:ind w:right="160"/>
              <w:spacing w:after="0" w:line="149" w:lineRule="exact"/>
              <w:rPr>
                <w:sz w:val="20"/>
                <w:szCs w:val="20"/>
                <w:color w:val="auto"/>
              </w:rPr>
            </w:pPr>
            <w:r>
              <w:rPr>
                <w:rFonts w:ascii="Arial" w:cs="Arial" w:eastAsia="Arial" w:hAnsi="Arial"/>
                <w:sz w:val="14"/>
                <w:szCs w:val="14"/>
                <w:color w:val="auto"/>
              </w:rPr>
              <w:t>(6,426)</w:t>
            </w:r>
          </w:p>
        </w:tc>
        <w:tc>
          <w:tcPr>
            <w:tcW w:w="140" w:type="dxa"/>
            <w:vAlign w:val="bottom"/>
            <w:shd w:val="clear" w:color="auto" w:fill="E6E6E6"/>
          </w:tcPr>
          <w:p>
            <w:pPr>
              <w:spacing w:after="0"/>
              <w:rPr>
                <w:sz w:val="12"/>
                <w:szCs w:val="12"/>
                <w:color w:val="auto"/>
              </w:rPr>
            </w:pPr>
          </w:p>
        </w:tc>
        <w:tc>
          <w:tcPr>
            <w:tcW w:w="1120" w:type="dxa"/>
            <w:vAlign w:val="bottom"/>
            <w:gridSpan w:val="2"/>
            <w:shd w:val="clear" w:color="auto" w:fill="E6E6E6"/>
          </w:tcPr>
          <w:p>
            <w:pPr>
              <w:jc w:val="right"/>
              <w:ind w:right="160"/>
              <w:spacing w:after="0" w:line="149" w:lineRule="exact"/>
              <w:rPr>
                <w:sz w:val="20"/>
                <w:szCs w:val="20"/>
                <w:color w:val="auto"/>
              </w:rPr>
            </w:pPr>
            <w:r>
              <w:rPr>
                <w:rFonts w:ascii="Arial" w:cs="Arial" w:eastAsia="Arial" w:hAnsi="Arial"/>
                <w:sz w:val="14"/>
                <w:szCs w:val="14"/>
                <w:color w:val="auto"/>
              </w:rPr>
              <w:t>(12,480)</w:t>
            </w:r>
          </w:p>
        </w:tc>
        <w:tc>
          <w:tcPr>
            <w:tcW w:w="360" w:type="dxa"/>
            <w:vAlign w:val="bottom"/>
            <w:shd w:val="clear" w:color="auto" w:fill="E6E6E6"/>
          </w:tcPr>
          <w:p>
            <w:pPr>
              <w:spacing w:after="0"/>
              <w:rPr>
                <w:sz w:val="12"/>
                <w:szCs w:val="12"/>
                <w:color w:val="auto"/>
              </w:rPr>
            </w:pPr>
          </w:p>
        </w:tc>
        <w:tc>
          <w:tcPr>
            <w:tcW w:w="820" w:type="dxa"/>
            <w:vAlign w:val="bottom"/>
            <w:gridSpan w:val="2"/>
            <w:shd w:val="clear" w:color="auto" w:fill="E6E6E6"/>
          </w:tcPr>
          <w:p>
            <w:pPr>
              <w:jc w:val="right"/>
              <w:ind w:right="80"/>
              <w:spacing w:after="0" w:line="149" w:lineRule="exact"/>
              <w:rPr>
                <w:sz w:val="20"/>
                <w:szCs w:val="20"/>
                <w:color w:val="auto"/>
              </w:rPr>
            </w:pPr>
            <w:r>
              <w:rPr>
                <w:rFonts w:ascii="Arial" w:cs="Arial" w:eastAsia="Arial" w:hAnsi="Arial"/>
                <w:sz w:val="14"/>
                <w:szCs w:val="14"/>
                <w:color w:val="auto"/>
              </w:rPr>
              <w:t>(12,386)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6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418</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796</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669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E6E6E6"/>
          </w:tcPr>
          <w:p>
            <w:pPr>
              <w:spacing w:after="0" w:line="149" w:lineRule="exact"/>
              <w:rPr>
                <w:sz w:val="20"/>
                <w:szCs w:val="20"/>
                <w:color w:val="auto"/>
              </w:rPr>
            </w:pPr>
            <w:r>
              <w:rPr>
                <w:rFonts w:ascii="Arial" w:cs="Arial" w:eastAsia="Arial" w:hAnsi="Arial"/>
                <w:sz w:val="14"/>
                <w:szCs w:val="14"/>
                <w:color w:val="auto"/>
              </w:rPr>
              <w:t>Other income (expense)</w:t>
            </w:r>
          </w:p>
        </w:tc>
        <w:tc>
          <w:tcPr>
            <w:tcW w:w="660" w:type="dxa"/>
            <w:vAlign w:val="bottom"/>
            <w:shd w:val="clear" w:color="auto" w:fill="E6E6E6"/>
          </w:tcPr>
          <w:p>
            <w:pPr>
              <w:spacing w:after="0"/>
              <w:rPr>
                <w:sz w:val="12"/>
                <w:szCs w:val="12"/>
                <w:color w:val="auto"/>
              </w:rPr>
            </w:pPr>
          </w:p>
        </w:tc>
        <w:tc>
          <w:tcPr>
            <w:tcW w:w="580" w:type="dxa"/>
            <w:vAlign w:val="bottom"/>
            <w:gridSpan w:val="2"/>
            <w:shd w:val="clear" w:color="auto" w:fill="E6E6E6"/>
          </w:tcPr>
          <w:p>
            <w:pPr>
              <w:jc w:val="right"/>
              <w:ind w:right="160"/>
              <w:spacing w:after="0" w:line="149" w:lineRule="exact"/>
              <w:rPr>
                <w:sz w:val="20"/>
                <w:szCs w:val="20"/>
                <w:color w:val="auto"/>
              </w:rPr>
            </w:pPr>
            <w:r>
              <w:rPr>
                <w:rFonts w:ascii="Arial" w:cs="Arial" w:eastAsia="Arial" w:hAnsi="Arial"/>
                <w:sz w:val="14"/>
                <w:szCs w:val="14"/>
                <w:color w:val="auto"/>
              </w:rPr>
              <w:t>(19)</w:t>
            </w:r>
          </w:p>
        </w:tc>
        <w:tc>
          <w:tcPr>
            <w:tcW w:w="360" w:type="dxa"/>
            <w:vAlign w:val="bottom"/>
            <w:shd w:val="clear" w:color="auto" w:fill="E6E6E6"/>
          </w:tcPr>
          <w:p>
            <w:pPr>
              <w:spacing w:after="0"/>
              <w:rPr>
                <w:sz w:val="12"/>
                <w:szCs w:val="12"/>
                <w:color w:val="auto"/>
              </w:rPr>
            </w:pPr>
          </w:p>
        </w:tc>
        <w:tc>
          <w:tcPr>
            <w:tcW w:w="70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61</w:t>
            </w:r>
          </w:p>
        </w:tc>
        <w:tc>
          <w:tcPr>
            <w:tcW w:w="180" w:type="dxa"/>
            <w:vAlign w:val="bottom"/>
            <w:shd w:val="clear" w:color="auto" w:fill="E6E6E6"/>
          </w:tcPr>
          <w:p>
            <w:pPr>
              <w:spacing w:after="0"/>
              <w:rPr>
                <w:sz w:val="12"/>
                <w:szCs w:val="12"/>
                <w:color w:val="auto"/>
              </w:rPr>
            </w:pPr>
          </w:p>
        </w:tc>
        <w:tc>
          <w:tcPr>
            <w:tcW w:w="140" w:type="dxa"/>
            <w:vAlign w:val="bottom"/>
            <w:shd w:val="clear" w:color="auto" w:fill="E6E6E6"/>
          </w:tcPr>
          <w:p>
            <w:pPr>
              <w:spacing w:after="0"/>
              <w:rPr>
                <w:sz w:val="12"/>
                <w:szCs w:val="12"/>
                <w:color w:val="auto"/>
              </w:rPr>
            </w:pPr>
          </w:p>
        </w:tc>
        <w:tc>
          <w:tcPr>
            <w:tcW w:w="1120" w:type="dxa"/>
            <w:vAlign w:val="bottom"/>
            <w:gridSpan w:val="2"/>
            <w:shd w:val="clear" w:color="auto" w:fill="E6E6E6"/>
          </w:tcPr>
          <w:p>
            <w:pPr>
              <w:jc w:val="right"/>
              <w:ind w:right="160"/>
              <w:spacing w:after="0" w:line="149" w:lineRule="exact"/>
              <w:rPr>
                <w:sz w:val="20"/>
                <w:szCs w:val="20"/>
                <w:color w:val="auto"/>
              </w:rPr>
            </w:pPr>
            <w:r>
              <w:rPr>
                <w:rFonts w:ascii="Arial" w:cs="Arial" w:eastAsia="Arial" w:hAnsi="Arial"/>
                <w:sz w:val="14"/>
                <w:szCs w:val="14"/>
                <w:color w:val="auto"/>
              </w:rPr>
              <w:t>(61)</w:t>
            </w:r>
          </w:p>
        </w:tc>
        <w:tc>
          <w:tcPr>
            <w:tcW w:w="360" w:type="dxa"/>
            <w:vAlign w:val="bottom"/>
            <w:shd w:val="clear" w:color="auto" w:fill="E6E6E6"/>
          </w:tcPr>
          <w:p>
            <w:pPr>
              <w:spacing w:after="0"/>
              <w:rPr>
                <w:sz w:val="12"/>
                <w:szCs w:val="12"/>
                <w:color w:val="auto"/>
              </w:rPr>
            </w:pPr>
          </w:p>
        </w:tc>
        <w:tc>
          <w:tcPr>
            <w:tcW w:w="820" w:type="dxa"/>
            <w:vAlign w:val="bottom"/>
            <w:gridSpan w:val="2"/>
            <w:shd w:val="clear" w:color="auto" w:fill="E6E6E6"/>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Gain due to change in market value of investment rights</w:t>
            </w:r>
          </w:p>
        </w:tc>
        <w:tc>
          <w:tcPr>
            <w:tcW w:w="6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321</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814</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E6E6E6"/>
          </w:tcPr>
          <w:p>
            <w:pPr>
              <w:spacing w:after="0" w:line="149" w:lineRule="exact"/>
              <w:rPr>
                <w:sz w:val="20"/>
                <w:szCs w:val="20"/>
                <w:color w:val="auto"/>
              </w:rPr>
            </w:pPr>
            <w:r>
              <w:rPr>
                <w:rFonts w:ascii="Arial" w:cs="Arial" w:eastAsia="Arial" w:hAnsi="Arial"/>
                <w:sz w:val="14"/>
                <w:szCs w:val="14"/>
                <w:color w:val="auto"/>
              </w:rPr>
              <w:t>Net loss</w:t>
            </w:r>
          </w:p>
        </w:tc>
        <w:tc>
          <w:tcPr>
            <w:tcW w:w="660" w:type="dxa"/>
            <w:vAlign w:val="bottom"/>
            <w:shd w:val="clear" w:color="auto" w:fill="E6E6E6"/>
          </w:tcPr>
          <w:p>
            <w:pPr>
              <w:jc w:val="right"/>
              <w:ind w:right="5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E6E6E6"/>
          </w:tcPr>
          <w:p>
            <w:pPr>
              <w:jc w:val="right"/>
              <w:ind w:right="160"/>
              <w:spacing w:after="0" w:line="149" w:lineRule="exact"/>
              <w:rPr>
                <w:sz w:val="20"/>
                <w:szCs w:val="20"/>
                <w:color w:val="auto"/>
              </w:rPr>
            </w:pPr>
            <w:r>
              <w:rPr>
                <w:rFonts w:ascii="Arial" w:cs="Arial" w:eastAsia="Arial" w:hAnsi="Arial"/>
                <w:sz w:val="14"/>
                <w:szCs w:val="14"/>
                <w:color w:val="auto"/>
                <w:w w:val="90"/>
              </w:rPr>
              <w:t>(5,604)</w:t>
            </w:r>
          </w:p>
        </w:tc>
        <w:tc>
          <w:tcPr>
            <w:tcW w:w="360" w:type="dxa"/>
            <w:vAlign w:val="bottom"/>
            <w:shd w:val="clear" w:color="auto" w:fill="E6E6E6"/>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E6E6E6"/>
          </w:tcPr>
          <w:p>
            <w:pPr>
              <w:jc w:val="right"/>
              <w:ind w:right="160"/>
              <w:spacing w:after="0" w:line="149" w:lineRule="exact"/>
              <w:rPr>
                <w:sz w:val="20"/>
                <w:szCs w:val="20"/>
                <w:color w:val="auto"/>
              </w:rPr>
            </w:pPr>
            <w:r>
              <w:rPr>
                <w:rFonts w:ascii="Arial" w:cs="Arial" w:eastAsia="Arial" w:hAnsi="Arial"/>
                <w:sz w:val="14"/>
                <w:szCs w:val="14"/>
                <w:color w:val="auto"/>
              </w:rPr>
              <w:t>(6,093)</w:t>
            </w:r>
          </w:p>
        </w:tc>
        <w:tc>
          <w:tcPr>
            <w:tcW w:w="1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6E6E6"/>
          </w:tcPr>
          <w:p>
            <w:pPr>
              <w:jc w:val="right"/>
              <w:ind w:right="160"/>
              <w:spacing w:after="0" w:line="149" w:lineRule="exact"/>
              <w:rPr>
                <w:sz w:val="20"/>
                <w:szCs w:val="20"/>
                <w:color w:val="auto"/>
              </w:rPr>
            </w:pPr>
            <w:r>
              <w:rPr>
                <w:rFonts w:ascii="Arial" w:cs="Arial" w:eastAsia="Arial" w:hAnsi="Arial"/>
                <w:sz w:val="14"/>
                <w:szCs w:val="14"/>
                <w:color w:val="auto"/>
              </w:rPr>
              <w:t>(10,931)</w:t>
            </w:r>
          </w:p>
        </w:tc>
        <w:tc>
          <w:tcPr>
            <w:tcW w:w="360" w:type="dxa"/>
            <w:vAlign w:val="bottom"/>
            <w:shd w:val="clear" w:color="auto" w:fill="E6E6E6"/>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E6E6E6"/>
          </w:tcPr>
          <w:p>
            <w:pPr>
              <w:jc w:val="right"/>
              <w:ind w:right="80"/>
              <w:spacing w:after="0" w:line="149" w:lineRule="exact"/>
              <w:rPr>
                <w:sz w:val="20"/>
                <w:szCs w:val="20"/>
                <w:color w:val="auto"/>
              </w:rPr>
            </w:pPr>
            <w:r>
              <w:rPr>
                <w:rFonts w:ascii="Arial" w:cs="Arial" w:eastAsia="Arial" w:hAnsi="Arial"/>
                <w:sz w:val="14"/>
                <w:szCs w:val="14"/>
                <w:color w:val="auto"/>
              </w:rPr>
              <w:t>(11,717)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E6E6E6"/>
          </w:tcPr>
          <w:p>
            <w:pPr>
              <w:spacing w:after="0" w:line="149" w:lineRule="exact"/>
              <w:rPr>
                <w:sz w:val="20"/>
                <w:szCs w:val="20"/>
                <w:color w:val="auto"/>
              </w:rPr>
            </w:pPr>
            <w:r>
              <w:rPr>
                <w:rFonts w:ascii="Arial" w:cs="Arial" w:eastAsia="Arial" w:hAnsi="Arial"/>
                <w:sz w:val="14"/>
                <w:szCs w:val="14"/>
                <w:color w:val="auto"/>
              </w:rPr>
              <w:t>Net loss per share, basic &amp; diluted</w:t>
            </w:r>
          </w:p>
        </w:tc>
        <w:tc>
          <w:tcPr>
            <w:tcW w:w="660" w:type="dxa"/>
            <w:vAlign w:val="bottom"/>
            <w:shd w:val="clear" w:color="auto" w:fill="E6E6E6"/>
          </w:tcPr>
          <w:p>
            <w:pPr>
              <w:jc w:val="right"/>
              <w:ind w:right="5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E6E6E6"/>
          </w:tcPr>
          <w:p>
            <w:pPr>
              <w:jc w:val="right"/>
              <w:ind w:right="160"/>
              <w:spacing w:after="0" w:line="149" w:lineRule="exact"/>
              <w:rPr>
                <w:sz w:val="20"/>
                <w:szCs w:val="20"/>
                <w:color w:val="auto"/>
              </w:rPr>
            </w:pPr>
            <w:r>
              <w:rPr>
                <w:rFonts w:ascii="Arial" w:cs="Arial" w:eastAsia="Arial" w:hAnsi="Arial"/>
                <w:sz w:val="14"/>
                <w:szCs w:val="14"/>
                <w:color w:val="auto"/>
              </w:rPr>
              <w:t>(0.12)</w:t>
            </w:r>
          </w:p>
        </w:tc>
        <w:tc>
          <w:tcPr>
            <w:tcW w:w="360" w:type="dxa"/>
            <w:vAlign w:val="bottom"/>
            <w:shd w:val="clear" w:color="auto" w:fill="E6E6E6"/>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E6E6E6"/>
          </w:tcPr>
          <w:p>
            <w:pPr>
              <w:jc w:val="right"/>
              <w:ind w:right="160"/>
              <w:spacing w:after="0" w:line="149" w:lineRule="exact"/>
              <w:rPr>
                <w:sz w:val="20"/>
                <w:szCs w:val="20"/>
                <w:color w:val="auto"/>
              </w:rPr>
            </w:pPr>
            <w:r>
              <w:rPr>
                <w:rFonts w:ascii="Arial" w:cs="Arial" w:eastAsia="Arial" w:hAnsi="Arial"/>
                <w:sz w:val="14"/>
                <w:szCs w:val="14"/>
                <w:color w:val="auto"/>
              </w:rPr>
              <w:t>(0.14)</w:t>
            </w:r>
          </w:p>
        </w:tc>
        <w:tc>
          <w:tcPr>
            <w:tcW w:w="1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6E6E6"/>
          </w:tcPr>
          <w:p>
            <w:pPr>
              <w:jc w:val="right"/>
              <w:ind w:right="160"/>
              <w:spacing w:after="0" w:line="149" w:lineRule="exact"/>
              <w:rPr>
                <w:sz w:val="20"/>
                <w:szCs w:val="20"/>
                <w:color w:val="auto"/>
              </w:rPr>
            </w:pPr>
            <w:r>
              <w:rPr>
                <w:rFonts w:ascii="Arial" w:cs="Arial" w:eastAsia="Arial" w:hAnsi="Arial"/>
                <w:sz w:val="14"/>
                <w:szCs w:val="14"/>
                <w:color w:val="auto"/>
              </w:rPr>
              <w:t>(0.23)</w:t>
            </w:r>
          </w:p>
        </w:tc>
        <w:tc>
          <w:tcPr>
            <w:tcW w:w="360" w:type="dxa"/>
            <w:vAlign w:val="bottom"/>
            <w:shd w:val="clear" w:color="auto" w:fill="E6E6E6"/>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E6E6E6"/>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Shares used in computing net loss per share, basic &amp; diluted</w:t>
            </w:r>
          </w:p>
        </w:tc>
        <w:tc>
          <w:tcPr>
            <w:tcW w:w="6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3"/>
              </w:rPr>
              <w:t>48,586</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42,375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47,361</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42,304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E6E6E6"/>
          </w:tcPr>
          <w:p>
            <w:pPr>
              <w:spacing w:after="0" w:line="149" w:lineRule="exact"/>
              <w:rPr>
                <w:sz w:val="20"/>
                <w:szCs w:val="20"/>
                <w:color w:val="auto"/>
              </w:rPr>
            </w:pPr>
            <w:r>
              <w:rPr>
                <w:rFonts w:ascii="Arial" w:cs="Arial" w:eastAsia="Arial" w:hAnsi="Arial"/>
                <w:sz w:val="14"/>
                <w:szCs w:val="14"/>
                <w:color w:val="auto"/>
              </w:rPr>
              <w:t>Comprehensive loss:</w:t>
            </w:r>
          </w:p>
        </w:tc>
        <w:tc>
          <w:tcPr>
            <w:tcW w:w="660" w:type="dxa"/>
            <w:vAlign w:val="bottom"/>
            <w:shd w:val="clear" w:color="auto" w:fill="E6E6E6"/>
          </w:tcPr>
          <w:p>
            <w:pPr>
              <w:spacing w:after="0"/>
              <w:rPr>
                <w:sz w:val="12"/>
                <w:szCs w:val="12"/>
                <w:color w:val="auto"/>
              </w:rPr>
            </w:pPr>
          </w:p>
        </w:tc>
        <w:tc>
          <w:tcPr>
            <w:tcW w:w="40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360" w:type="dxa"/>
            <w:vAlign w:val="bottom"/>
            <w:shd w:val="clear" w:color="auto" w:fill="E6E6E6"/>
          </w:tcPr>
          <w:p>
            <w:pPr>
              <w:spacing w:after="0"/>
              <w:rPr>
                <w:sz w:val="12"/>
                <w:szCs w:val="12"/>
                <w:color w:val="auto"/>
              </w:rPr>
            </w:pPr>
          </w:p>
        </w:tc>
        <w:tc>
          <w:tcPr>
            <w:tcW w:w="70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40" w:type="dxa"/>
            <w:vAlign w:val="bottom"/>
            <w:shd w:val="clear" w:color="auto" w:fill="E6E6E6"/>
          </w:tcPr>
          <w:p>
            <w:pPr>
              <w:spacing w:after="0"/>
              <w:rPr>
                <w:sz w:val="12"/>
                <w:szCs w:val="12"/>
                <w:color w:val="auto"/>
              </w:rPr>
            </w:pPr>
          </w:p>
        </w:tc>
        <w:tc>
          <w:tcPr>
            <w:tcW w:w="94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360" w:type="dxa"/>
            <w:vAlign w:val="bottom"/>
            <w:shd w:val="clear" w:color="auto" w:fill="E6E6E6"/>
          </w:tcPr>
          <w:p>
            <w:pPr>
              <w:spacing w:after="0"/>
              <w:rPr>
                <w:sz w:val="12"/>
                <w:szCs w:val="12"/>
                <w:color w:val="auto"/>
              </w:rPr>
            </w:pPr>
          </w:p>
        </w:tc>
        <w:tc>
          <w:tcPr>
            <w:tcW w:w="72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660" w:type="dxa"/>
            <w:vAlign w:val="bottom"/>
          </w:tcPr>
          <w:p>
            <w:pPr>
              <w:jc w:val="right"/>
              <w:ind w:right="5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(5,604)</w:t>
            </w:r>
          </w:p>
        </w:tc>
        <w:tc>
          <w:tcPr>
            <w:tcW w:w="3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(6,093)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(10,931)</w:t>
            </w:r>
          </w:p>
        </w:tc>
        <w:tc>
          <w:tcPr>
            <w:tcW w:w="3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E6E6E6"/>
          </w:tcPr>
          <w:p>
            <w:pPr>
              <w:ind w:left="420"/>
              <w:spacing w:after="0" w:line="149" w:lineRule="exact"/>
              <w:rPr>
                <w:sz w:val="20"/>
                <w:szCs w:val="20"/>
                <w:color w:val="auto"/>
              </w:rPr>
            </w:pPr>
            <w:r>
              <w:rPr>
                <w:rFonts w:ascii="Arial" w:cs="Arial" w:eastAsia="Arial" w:hAnsi="Arial"/>
                <w:sz w:val="14"/>
                <w:szCs w:val="14"/>
                <w:color w:val="auto"/>
              </w:rPr>
              <w:t>Unrealized gain (loss) on investments in marketable securities</w:t>
            </w:r>
          </w:p>
        </w:tc>
        <w:tc>
          <w:tcPr>
            <w:tcW w:w="660" w:type="dxa"/>
            <w:vAlign w:val="bottom"/>
            <w:shd w:val="clear" w:color="auto" w:fill="E6E6E6"/>
          </w:tcPr>
          <w:p>
            <w:pPr>
              <w:spacing w:after="0"/>
              <w:rPr>
                <w:sz w:val="12"/>
                <w:szCs w:val="12"/>
                <w:color w:val="auto"/>
              </w:rPr>
            </w:pPr>
          </w:p>
        </w:tc>
        <w:tc>
          <w:tcPr>
            <w:tcW w:w="40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58</w:t>
            </w:r>
          </w:p>
        </w:tc>
        <w:tc>
          <w:tcPr>
            <w:tcW w:w="180" w:type="dxa"/>
            <w:vAlign w:val="bottom"/>
            <w:shd w:val="clear" w:color="auto" w:fill="E6E6E6"/>
          </w:tcPr>
          <w:p>
            <w:pPr>
              <w:spacing w:after="0"/>
              <w:rPr>
                <w:sz w:val="12"/>
                <w:szCs w:val="12"/>
                <w:color w:val="auto"/>
              </w:rPr>
            </w:pPr>
          </w:p>
        </w:tc>
        <w:tc>
          <w:tcPr>
            <w:tcW w:w="360" w:type="dxa"/>
            <w:vAlign w:val="bottom"/>
            <w:shd w:val="clear" w:color="auto" w:fill="E6E6E6"/>
          </w:tcPr>
          <w:p>
            <w:pPr>
              <w:spacing w:after="0"/>
              <w:rPr>
                <w:sz w:val="12"/>
                <w:szCs w:val="12"/>
                <w:color w:val="auto"/>
              </w:rPr>
            </w:pPr>
          </w:p>
        </w:tc>
        <w:tc>
          <w:tcPr>
            <w:tcW w:w="880" w:type="dxa"/>
            <w:vAlign w:val="bottom"/>
            <w:gridSpan w:val="2"/>
            <w:shd w:val="clear" w:color="auto" w:fill="E6E6E6"/>
          </w:tcPr>
          <w:p>
            <w:pPr>
              <w:jc w:val="right"/>
              <w:ind w:right="160"/>
              <w:spacing w:after="0" w:line="149" w:lineRule="exact"/>
              <w:rPr>
                <w:sz w:val="20"/>
                <w:szCs w:val="20"/>
                <w:color w:val="auto"/>
              </w:rPr>
            </w:pPr>
            <w:r>
              <w:rPr>
                <w:rFonts w:ascii="Arial" w:cs="Arial" w:eastAsia="Arial" w:hAnsi="Arial"/>
                <w:sz w:val="14"/>
                <w:szCs w:val="14"/>
                <w:color w:val="auto"/>
              </w:rPr>
              <w:t>(431)</w:t>
            </w:r>
          </w:p>
        </w:tc>
        <w:tc>
          <w:tcPr>
            <w:tcW w:w="140" w:type="dxa"/>
            <w:vAlign w:val="bottom"/>
            <w:shd w:val="clear" w:color="auto" w:fill="E6E6E6"/>
          </w:tcPr>
          <w:p>
            <w:pPr>
              <w:spacing w:after="0"/>
              <w:rPr>
                <w:sz w:val="12"/>
                <w:szCs w:val="12"/>
                <w:color w:val="auto"/>
              </w:rPr>
            </w:pPr>
          </w:p>
        </w:tc>
        <w:tc>
          <w:tcPr>
            <w:tcW w:w="1120" w:type="dxa"/>
            <w:vAlign w:val="bottom"/>
            <w:gridSpan w:val="2"/>
            <w:shd w:val="clear" w:color="auto" w:fill="E6E6E6"/>
          </w:tcPr>
          <w:p>
            <w:pPr>
              <w:jc w:val="right"/>
              <w:ind w:right="160"/>
              <w:spacing w:after="0" w:line="149" w:lineRule="exact"/>
              <w:rPr>
                <w:sz w:val="20"/>
                <w:szCs w:val="20"/>
                <w:color w:val="auto"/>
              </w:rPr>
            </w:pPr>
            <w:r>
              <w:rPr>
                <w:rFonts w:ascii="Arial" w:cs="Arial" w:eastAsia="Arial" w:hAnsi="Arial"/>
                <w:sz w:val="14"/>
                <w:szCs w:val="14"/>
                <w:color w:val="auto"/>
              </w:rPr>
              <w:t>(43)</w:t>
            </w:r>
          </w:p>
        </w:tc>
        <w:tc>
          <w:tcPr>
            <w:tcW w:w="360" w:type="dxa"/>
            <w:vAlign w:val="bottom"/>
            <w:shd w:val="clear" w:color="auto" w:fill="E6E6E6"/>
          </w:tcPr>
          <w:p>
            <w:pPr>
              <w:spacing w:after="0"/>
              <w:rPr>
                <w:sz w:val="12"/>
                <w:szCs w:val="12"/>
                <w:color w:val="auto"/>
              </w:rPr>
            </w:pPr>
          </w:p>
        </w:tc>
        <w:tc>
          <w:tcPr>
            <w:tcW w:w="820" w:type="dxa"/>
            <w:vAlign w:val="bottom"/>
            <w:gridSpan w:val="2"/>
            <w:shd w:val="clear" w:color="auto" w:fill="E6E6E6"/>
          </w:tcPr>
          <w:p>
            <w:pPr>
              <w:jc w:val="right"/>
              <w:ind w:right="80"/>
              <w:spacing w:after="0" w:line="149" w:lineRule="exact"/>
              <w:rPr>
                <w:sz w:val="20"/>
                <w:szCs w:val="20"/>
                <w:color w:val="auto"/>
              </w:rPr>
            </w:pPr>
            <w:r>
              <w:rPr>
                <w:rFonts w:ascii="Arial" w:cs="Arial" w:eastAsia="Arial" w:hAnsi="Arial"/>
                <w:sz w:val="14"/>
                <w:szCs w:val="14"/>
                <w:color w:val="auto"/>
              </w:rPr>
              <w:t>(403)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ind w:left="420"/>
              <w:spacing w:after="0"/>
              <w:rPr>
                <w:sz w:val="20"/>
                <w:szCs w:val="20"/>
                <w:color w:val="auto"/>
              </w:rPr>
            </w:pPr>
            <w:r>
              <w:rPr>
                <w:rFonts w:ascii="Arial" w:cs="Arial" w:eastAsia="Arial" w:hAnsi="Arial"/>
                <w:sz w:val="14"/>
                <w:szCs w:val="14"/>
                <w:color w:val="auto"/>
              </w:rPr>
              <w:t>Realized loss on marketable securities</w:t>
            </w:r>
          </w:p>
        </w:tc>
        <w:tc>
          <w:tcPr>
            <w:tcW w:w="6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E6E6E6"/>
          </w:tcPr>
          <w:p>
            <w:pPr>
              <w:ind w:left="420"/>
              <w:spacing w:after="0" w:line="149" w:lineRule="exact"/>
              <w:rPr>
                <w:sz w:val="20"/>
                <w:szCs w:val="20"/>
                <w:color w:val="auto"/>
              </w:rPr>
            </w:pPr>
            <w:r>
              <w:rPr>
                <w:rFonts w:ascii="Arial" w:cs="Arial" w:eastAsia="Arial" w:hAnsi="Arial"/>
                <w:sz w:val="14"/>
                <w:szCs w:val="14"/>
                <w:color w:val="auto"/>
              </w:rPr>
              <w:t>Comprehensive loss</w:t>
            </w:r>
          </w:p>
        </w:tc>
        <w:tc>
          <w:tcPr>
            <w:tcW w:w="660" w:type="dxa"/>
            <w:vAlign w:val="bottom"/>
            <w:shd w:val="clear" w:color="auto" w:fill="E6E6E6"/>
          </w:tcPr>
          <w:p>
            <w:pPr>
              <w:jc w:val="right"/>
              <w:ind w:right="5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E6E6E6"/>
          </w:tcPr>
          <w:p>
            <w:pPr>
              <w:jc w:val="right"/>
              <w:ind w:right="160"/>
              <w:spacing w:after="0" w:line="149" w:lineRule="exact"/>
              <w:rPr>
                <w:sz w:val="20"/>
                <w:szCs w:val="20"/>
                <w:color w:val="auto"/>
              </w:rPr>
            </w:pPr>
            <w:r>
              <w:rPr>
                <w:rFonts w:ascii="Arial" w:cs="Arial" w:eastAsia="Arial" w:hAnsi="Arial"/>
                <w:sz w:val="14"/>
                <w:szCs w:val="14"/>
                <w:color w:val="auto"/>
                <w:w w:val="90"/>
              </w:rPr>
              <w:t>(5,539)</w:t>
            </w:r>
          </w:p>
        </w:tc>
        <w:tc>
          <w:tcPr>
            <w:tcW w:w="360" w:type="dxa"/>
            <w:vAlign w:val="bottom"/>
            <w:shd w:val="clear" w:color="auto" w:fill="E6E6E6"/>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E6E6E6"/>
          </w:tcPr>
          <w:p>
            <w:pPr>
              <w:jc w:val="right"/>
              <w:ind w:right="160"/>
              <w:spacing w:after="0" w:line="149" w:lineRule="exact"/>
              <w:rPr>
                <w:sz w:val="20"/>
                <w:szCs w:val="20"/>
                <w:color w:val="auto"/>
              </w:rPr>
            </w:pPr>
            <w:r>
              <w:rPr>
                <w:rFonts w:ascii="Arial" w:cs="Arial" w:eastAsia="Arial" w:hAnsi="Arial"/>
                <w:sz w:val="14"/>
                <w:szCs w:val="14"/>
                <w:color w:val="auto"/>
              </w:rPr>
              <w:t>(6,524)</w:t>
            </w:r>
          </w:p>
        </w:tc>
        <w:tc>
          <w:tcPr>
            <w:tcW w:w="1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6E6E6"/>
          </w:tcPr>
          <w:p>
            <w:pPr>
              <w:jc w:val="right"/>
              <w:ind w:right="160"/>
              <w:spacing w:after="0" w:line="149" w:lineRule="exact"/>
              <w:rPr>
                <w:sz w:val="20"/>
                <w:szCs w:val="20"/>
                <w:color w:val="auto"/>
              </w:rPr>
            </w:pPr>
            <w:r>
              <w:rPr>
                <w:rFonts w:ascii="Arial" w:cs="Arial" w:eastAsia="Arial" w:hAnsi="Arial"/>
                <w:sz w:val="14"/>
                <w:szCs w:val="14"/>
                <w:color w:val="auto"/>
              </w:rPr>
              <w:t>(10,967)</w:t>
            </w:r>
          </w:p>
        </w:tc>
        <w:tc>
          <w:tcPr>
            <w:tcW w:w="360" w:type="dxa"/>
            <w:vAlign w:val="bottom"/>
            <w:shd w:val="clear" w:color="auto" w:fill="E6E6E6"/>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E6E6E6"/>
          </w:tcPr>
          <w:p>
            <w:pPr>
              <w:jc w:val="right"/>
              <w:ind w:right="80"/>
              <w:spacing w:after="0" w:line="149" w:lineRule="exact"/>
              <w:rPr>
                <w:sz w:val="20"/>
                <w:szCs w:val="20"/>
                <w:color w:val="auto"/>
              </w:rPr>
            </w:pPr>
            <w:r>
              <w:rPr>
                <w:rFonts w:ascii="Arial" w:cs="Arial" w:eastAsia="Arial" w:hAnsi="Arial"/>
                <w:sz w:val="14"/>
                <w:szCs w:val="14"/>
                <w:color w:val="auto"/>
              </w:rPr>
              <w:t>(12,120)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-1296670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-1296670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-1296670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-1296670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-1296670</wp:posOffset>
            </wp:positionV>
            <wp:extent cx="220789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0789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-327025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-327025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-327025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-327025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-327025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-327025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-327025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-327025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-327025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-327025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-327025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-327025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1115" w:type="dxa"/>
            <w:vAlign w:val="bottom"/>
            <w:gridSpan w:val="3"/>
          </w:tcPr>
          <w:p>
            <w:pPr>
              <w:jc w:val="center"/>
              <w:ind w:right="365"/>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915" w:type="dxa"/>
            <w:vAlign w:val="bottom"/>
          </w:tcPr>
          <w:p>
            <w:pPr>
              <w:jc w:val="center"/>
              <w:ind w:right="77"/>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1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1115" w:type="dxa"/>
            <w:vAlign w:val="bottom"/>
            <w:gridSpan w:val="3"/>
          </w:tcPr>
          <w:p>
            <w:pPr>
              <w:jc w:val="center"/>
              <w:ind w:right="345"/>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E6E6E6"/>
          </w:tcPr>
          <w:p>
            <w:pPr>
              <w:spacing w:after="0" w:line="149" w:lineRule="exact"/>
              <w:rPr>
                <w:sz w:val="20"/>
                <w:szCs w:val="20"/>
                <w:color w:val="auto"/>
              </w:rPr>
            </w:pPr>
            <w:r>
              <w:rPr>
                <w:rFonts w:ascii="Arial" w:cs="Arial" w:eastAsia="Arial" w:hAnsi="Arial"/>
                <w:sz w:val="14"/>
                <w:szCs w:val="14"/>
                <w:b w:val="1"/>
                <w:bCs w:val="1"/>
                <w:color w:val="auto"/>
              </w:rPr>
              <w:t>Assets</w:t>
            </w:r>
          </w:p>
        </w:tc>
        <w:tc>
          <w:tcPr>
            <w:tcW w:w="125" w:type="dxa"/>
            <w:vAlign w:val="bottom"/>
            <w:shd w:val="clear" w:color="auto" w:fill="E6E6E6"/>
          </w:tcPr>
          <w:p>
            <w:pPr>
              <w:spacing w:after="0"/>
              <w:rPr>
                <w:sz w:val="12"/>
                <w:szCs w:val="12"/>
                <w:color w:val="auto"/>
              </w:rPr>
            </w:pPr>
          </w:p>
        </w:tc>
        <w:tc>
          <w:tcPr>
            <w:tcW w:w="915" w:type="dxa"/>
            <w:vAlign w:val="bottom"/>
            <w:shd w:val="clear" w:color="auto" w:fill="E6E6E6"/>
          </w:tcPr>
          <w:p>
            <w:pPr>
              <w:spacing w:after="0"/>
              <w:rPr>
                <w:sz w:val="12"/>
                <w:szCs w:val="12"/>
                <w:color w:val="auto"/>
              </w:rPr>
            </w:pPr>
          </w:p>
        </w:tc>
        <w:tc>
          <w:tcPr>
            <w:tcW w:w="2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96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25" w:type="dxa"/>
            <w:vAlign w:val="bottom"/>
          </w:tcPr>
          <w:p>
            <w:pPr>
              <w:spacing w:after="0"/>
              <w:rPr>
                <w:sz w:val="12"/>
                <w:szCs w:val="12"/>
                <w:color w:val="auto"/>
              </w:rPr>
            </w:pPr>
          </w:p>
        </w:tc>
        <w:tc>
          <w:tcPr>
            <w:tcW w:w="915"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E6E6E6"/>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125" w:type="dxa"/>
            <w:vAlign w:val="bottom"/>
            <w:shd w:val="clear" w:color="auto" w:fill="E6E6E6"/>
          </w:tcPr>
          <w:p>
            <w:pPr>
              <w:jc w:val="right"/>
              <w:ind w:right="14"/>
              <w:spacing w:after="0"/>
              <w:rPr>
                <w:sz w:val="20"/>
                <w:szCs w:val="20"/>
                <w:color w:val="auto"/>
              </w:rPr>
            </w:pPr>
            <w:r>
              <w:rPr>
                <w:rFonts w:ascii="Arial" w:cs="Arial" w:eastAsia="Arial" w:hAnsi="Arial"/>
                <w:sz w:val="10"/>
                <w:szCs w:val="10"/>
                <w:color w:val="auto"/>
                <w:w w:val="71"/>
              </w:rPr>
              <w:t>$</w:t>
            </w:r>
          </w:p>
        </w:tc>
        <w:tc>
          <w:tcPr>
            <w:tcW w:w="915"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20,291</w:t>
            </w:r>
          </w:p>
        </w:tc>
        <w:tc>
          <w:tcPr>
            <w:tcW w:w="2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0" w:type="dxa"/>
            <w:vAlign w:val="bottom"/>
            <w:shd w:val="clear" w:color="auto" w:fill="E6E6E6"/>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17,625</w:t>
            </w:r>
          </w:p>
        </w:tc>
        <w:tc>
          <w:tcPr>
            <w:tcW w:w="10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125" w:type="dxa"/>
            <w:vAlign w:val="bottom"/>
          </w:tcPr>
          <w:p>
            <w:pPr>
              <w:spacing w:after="0"/>
              <w:rPr>
                <w:sz w:val="12"/>
                <w:szCs w:val="12"/>
                <w:color w:val="auto"/>
              </w:rPr>
            </w:pPr>
          </w:p>
        </w:tc>
        <w:tc>
          <w:tcPr>
            <w:tcW w:w="915"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E6E6E6"/>
          </w:tcPr>
          <w:p>
            <w:pPr>
              <w:ind w:left="420"/>
              <w:spacing w:after="0" w:line="149" w:lineRule="exact"/>
              <w:rPr>
                <w:sz w:val="20"/>
                <w:szCs w:val="20"/>
                <w:color w:val="auto"/>
              </w:rPr>
            </w:pPr>
            <w:r>
              <w:rPr>
                <w:rFonts w:ascii="Arial" w:cs="Arial" w:eastAsia="Arial" w:hAnsi="Arial"/>
                <w:sz w:val="14"/>
                <w:szCs w:val="14"/>
                <w:color w:val="auto"/>
              </w:rPr>
              <w:t>Short-term investments in marketable securities</w:t>
            </w:r>
          </w:p>
        </w:tc>
        <w:tc>
          <w:tcPr>
            <w:tcW w:w="125" w:type="dxa"/>
            <w:vAlign w:val="bottom"/>
            <w:shd w:val="clear" w:color="auto" w:fill="E6E6E6"/>
          </w:tcPr>
          <w:p>
            <w:pPr>
              <w:spacing w:after="0"/>
              <w:rPr>
                <w:sz w:val="12"/>
                <w:szCs w:val="12"/>
                <w:color w:val="auto"/>
              </w:rPr>
            </w:pPr>
          </w:p>
        </w:tc>
        <w:tc>
          <w:tcPr>
            <w:tcW w:w="915"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30,682</w:t>
            </w:r>
          </w:p>
        </w:tc>
        <w:tc>
          <w:tcPr>
            <w:tcW w:w="2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96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21,308</w:t>
            </w:r>
          </w:p>
        </w:tc>
        <w:tc>
          <w:tcPr>
            <w:tcW w:w="10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125" w:type="dxa"/>
            <w:vAlign w:val="bottom"/>
          </w:tcPr>
          <w:p>
            <w:pPr>
              <w:spacing w:after="0"/>
              <w:rPr>
                <w:sz w:val="12"/>
                <w:szCs w:val="12"/>
                <w:color w:val="auto"/>
              </w:rPr>
            </w:pPr>
          </w:p>
        </w:tc>
        <w:tc>
          <w:tcPr>
            <w:tcW w:w="915" w:type="dxa"/>
            <w:vAlign w:val="bottom"/>
          </w:tcPr>
          <w:p>
            <w:pPr>
              <w:jc w:val="right"/>
              <w:spacing w:after="0" w:line="149" w:lineRule="exact"/>
              <w:rPr>
                <w:sz w:val="20"/>
                <w:szCs w:val="20"/>
                <w:color w:val="auto"/>
              </w:rPr>
            </w:pPr>
            <w:r>
              <w:rPr>
                <w:rFonts w:ascii="Arial" w:cs="Arial" w:eastAsia="Arial" w:hAnsi="Arial"/>
                <w:sz w:val="14"/>
                <w:szCs w:val="14"/>
                <w:color w:val="auto"/>
              </w:rPr>
              <w:t>3,187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4,143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E6E6E6"/>
          </w:tcPr>
          <w:p>
            <w:pPr>
              <w:ind w:left="420"/>
              <w:spacing w:after="0" w:line="149" w:lineRule="exact"/>
              <w:rPr>
                <w:sz w:val="20"/>
                <w:szCs w:val="20"/>
                <w:color w:val="auto"/>
              </w:rPr>
            </w:pPr>
            <w:r>
              <w:rPr>
                <w:rFonts w:ascii="Arial" w:cs="Arial" w:eastAsia="Arial" w:hAnsi="Arial"/>
                <w:sz w:val="14"/>
                <w:szCs w:val="14"/>
                <w:color w:val="auto"/>
              </w:rPr>
              <w:t>Inventories</w:t>
            </w:r>
          </w:p>
        </w:tc>
        <w:tc>
          <w:tcPr>
            <w:tcW w:w="125" w:type="dxa"/>
            <w:vAlign w:val="bottom"/>
            <w:shd w:val="clear" w:color="auto" w:fill="E6E6E6"/>
          </w:tcPr>
          <w:p>
            <w:pPr>
              <w:spacing w:after="0"/>
              <w:rPr>
                <w:sz w:val="12"/>
                <w:szCs w:val="12"/>
                <w:color w:val="auto"/>
              </w:rPr>
            </w:pPr>
          </w:p>
        </w:tc>
        <w:tc>
          <w:tcPr>
            <w:tcW w:w="915"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5,427</w:t>
            </w:r>
          </w:p>
        </w:tc>
        <w:tc>
          <w:tcPr>
            <w:tcW w:w="2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96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3,966</w:t>
            </w:r>
          </w:p>
        </w:tc>
        <w:tc>
          <w:tcPr>
            <w:tcW w:w="10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0" w:type="dxa"/>
            <w:vAlign w:val="bottom"/>
          </w:tcPr>
          <w:p>
            <w:pPr>
              <w:ind w:left="420"/>
              <w:spacing w:after="0"/>
              <w:rPr>
                <w:sz w:val="20"/>
                <w:szCs w:val="20"/>
                <w:color w:val="auto"/>
              </w:rPr>
            </w:pPr>
            <w:r>
              <w:rPr>
                <w:rFonts w:ascii="Arial" w:cs="Arial" w:eastAsia="Arial" w:hAnsi="Arial"/>
                <w:sz w:val="14"/>
                <w:szCs w:val="14"/>
                <w:color w:val="auto"/>
              </w:rPr>
              <w:t>Prepaid expenses and other</w:t>
            </w:r>
          </w:p>
        </w:tc>
        <w:tc>
          <w:tcPr>
            <w:tcW w:w="125" w:type="dxa"/>
            <w:vAlign w:val="bottom"/>
          </w:tcPr>
          <w:p>
            <w:pPr>
              <w:spacing w:after="0"/>
              <w:rPr>
                <w:sz w:val="14"/>
                <w:szCs w:val="14"/>
                <w:color w:val="auto"/>
              </w:rPr>
            </w:pPr>
          </w:p>
        </w:tc>
        <w:tc>
          <w:tcPr>
            <w:tcW w:w="915" w:type="dxa"/>
            <w:vAlign w:val="bottom"/>
          </w:tcPr>
          <w:p>
            <w:pPr>
              <w:jc w:val="right"/>
              <w:spacing w:after="0"/>
              <w:rPr>
                <w:sz w:val="20"/>
                <w:szCs w:val="20"/>
                <w:color w:val="auto"/>
              </w:rPr>
            </w:pPr>
            <w:r>
              <w:rPr>
                <w:rFonts w:ascii="Arial" w:cs="Arial" w:eastAsia="Arial" w:hAnsi="Arial"/>
                <w:sz w:val="14"/>
                <w:szCs w:val="14"/>
                <w:color w:val="auto"/>
              </w:rPr>
              <w:t>520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000" w:type="dxa"/>
            <w:vAlign w:val="bottom"/>
          </w:tcPr>
          <w:p>
            <w:pPr>
              <w:spacing w:after="0"/>
              <w:rPr>
                <w:sz w:val="7"/>
                <w:szCs w:val="7"/>
                <w:color w:val="auto"/>
              </w:rPr>
            </w:pPr>
          </w:p>
        </w:tc>
        <w:tc>
          <w:tcPr>
            <w:tcW w:w="125" w:type="dxa"/>
            <w:vAlign w:val="bottom"/>
            <w:tcBorders>
              <w:bottom w:val="single" w:sz="8" w:color="auto"/>
            </w:tcBorders>
          </w:tcPr>
          <w:p>
            <w:pPr>
              <w:spacing w:after="0"/>
              <w:rPr>
                <w:sz w:val="7"/>
                <w:szCs w:val="7"/>
                <w:color w:val="auto"/>
              </w:rPr>
            </w:pPr>
          </w:p>
        </w:tc>
        <w:tc>
          <w:tcPr>
            <w:tcW w:w="915"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1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E6E6E6"/>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125" w:type="dxa"/>
            <w:vAlign w:val="bottom"/>
            <w:shd w:val="clear" w:color="auto" w:fill="E6E6E6"/>
          </w:tcPr>
          <w:p>
            <w:pPr>
              <w:spacing w:after="0"/>
              <w:rPr>
                <w:sz w:val="12"/>
                <w:szCs w:val="12"/>
                <w:color w:val="auto"/>
              </w:rPr>
            </w:pPr>
          </w:p>
        </w:tc>
        <w:tc>
          <w:tcPr>
            <w:tcW w:w="915"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60,358</w:t>
            </w:r>
          </w:p>
        </w:tc>
        <w:tc>
          <w:tcPr>
            <w:tcW w:w="2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96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48,811</w:t>
            </w:r>
          </w:p>
        </w:tc>
        <w:tc>
          <w:tcPr>
            <w:tcW w:w="10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25" w:type="dxa"/>
            <w:vAlign w:val="bottom"/>
          </w:tcPr>
          <w:p>
            <w:pPr>
              <w:spacing w:after="0"/>
              <w:rPr>
                <w:sz w:val="12"/>
                <w:szCs w:val="12"/>
                <w:color w:val="auto"/>
              </w:rPr>
            </w:pPr>
          </w:p>
        </w:tc>
        <w:tc>
          <w:tcPr>
            <w:tcW w:w="915" w:type="dxa"/>
            <w:vAlign w:val="bottom"/>
          </w:tcPr>
          <w:p>
            <w:pPr>
              <w:jc w:val="right"/>
              <w:spacing w:after="0" w:line="149" w:lineRule="exact"/>
              <w:rPr>
                <w:sz w:val="20"/>
                <w:szCs w:val="20"/>
                <w:color w:val="auto"/>
              </w:rPr>
            </w:pPr>
            <w:r>
              <w:rPr>
                <w:rFonts w:ascii="Arial" w:cs="Arial" w:eastAsia="Arial" w:hAnsi="Arial"/>
                <w:sz w:val="14"/>
                <w:szCs w:val="14"/>
                <w:color w:val="auto"/>
              </w:rPr>
              <w:t>7,301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7,829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E6E6E6"/>
          </w:tcPr>
          <w:p>
            <w:pPr>
              <w:spacing w:after="0" w:line="149" w:lineRule="exact"/>
              <w:rPr>
                <w:sz w:val="20"/>
                <w:szCs w:val="20"/>
                <w:color w:val="auto"/>
              </w:rPr>
            </w:pPr>
            <w:r>
              <w:rPr>
                <w:rFonts w:ascii="Arial" w:cs="Arial" w:eastAsia="Arial" w:hAnsi="Arial"/>
                <w:sz w:val="14"/>
                <w:szCs w:val="14"/>
                <w:color w:val="auto"/>
              </w:rPr>
              <w:t>Intangible assets, net</w:t>
            </w:r>
          </w:p>
        </w:tc>
        <w:tc>
          <w:tcPr>
            <w:tcW w:w="125" w:type="dxa"/>
            <w:vAlign w:val="bottom"/>
            <w:shd w:val="clear" w:color="auto" w:fill="E6E6E6"/>
          </w:tcPr>
          <w:p>
            <w:pPr>
              <w:spacing w:after="0"/>
              <w:rPr>
                <w:sz w:val="12"/>
                <w:szCs w:val="12"/>
                <w:color w:val="auto"/>
              </w:rPr>
            </w:pPr>
          </w:p>
        </w:tc>
        <w:tc>
          <w:tcPr>
            <w:tcW w:w="915"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669</w:t>
            </w:r>
          </w:p>
        </w:tc>
        <w:tc>
          <w:tcPr>
            <w:tcW w:w="2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96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725</w:t>
            </w:r>
          </w:p>
        </w:tc>
        <w:tc>
          <w:tcPr>
            <w:tcW w:w="10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color w:val="auto"/>
              </w:rPr>
              <w:t>Long-term investments in marketable securities</w:t>
            </w:r>
          </w:p>
        </w:tc>
        <w:tc>
          <w:tcPr>
            <w:tcW w:w="125" w:type="dxa"/>
            <w:vAlign w:val="bottom"/>
          </w:tcPr>
          <w:p>
            <w:pPr>
              <w:spacing w:after="0"/>
              <w:rPr>
                <w:sz w:val="12"/>
                <w:szCs w:val="12"/>
                <w:color w:val="auto"/>
              </w:rPr>
            </w:pPr>
          </w:p>
        </w:tc>
        <w:tc>
          <w:tcPr>
            <w:tcW w:w="915" w:type="dxa"/>
            <w:vAlign w:val="bottom"/>
          </w:tcPr>
          <w:p>
            <w:pPr>
              <w:jc w:val="right"/>
              <w:spacing w:after="0" w:line="149" w:lineRule="exact"/>
              <w:rPr>
                <w:sz w:val="20"/>
                <w:szCs w:val="20"/>
                <w:color w:val="auto"/>
              </w:rPr>
            </w:pPr>
            <w:r>
              <w:rPr>
                <w:rFonts w:ascii="Arial" w:cs="Arial" w:eastAsia="Arial" w:hAnsi="Arial"/>
                <w:sz w:val="14"/>
                <w:szCs w:val="14"/>
                <w:color w:val="auto"/>
              </w:rPr>
              <w:t>4,007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6,001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E6E6E6"/>
          </w:tcPr>
          <w:p>
            <w:pPr>
              <w:spacing w:after="0" w:line="149" w:lineRule="exact"/>
              <w:rPr>
                <w:sz w:val="20"/>
                <w:szCs w:val="20"/>
                <w:color w:val="auto"/>
              </w:rPr>
            </w:pPr>
            <w:r>
              <w:rPr>
                <w:rFonts w:ascii="Arial" w:cs="Arial" w:eastAsia="Arial" w:hAnsi="Arial"/>
                <w:sz w:val="14"/>
                <w:szCs w:val="14"/>
                <w:color w:val="auto"/>
              </w:rPr>
              <w:t>Deposits and other</w:t>
            </w:r>
          </w:p>
        </w:tc>
        <w:tc>
          <w:tcPr>
            <w:tcW w:w="125" w:type="dxa"/>
            <w:vAlign w:val="bottom"/>
            <w:shd w:val="clear" w:color="auto" w:fill="E6E6E6"/>
          </w:tcPr>
          <w:p>
            <w:pPr>
              <w:spacing w:after="0"/>
              <w:rPr>
                <w:sz w:val="12"/>
                <w:szCs w:val="12"/>
                <w:color w:val="auto"/>
              </w:rPr>
            </w:pPr>
          </w:p>
        </w:tc>
        <w:tc>
          <w:tcPr>
            <w:tcW w:w="915"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188</w:t>
            </w:r>
          </w:p>
        </w:tc>
        <w:tc>
          <w:tcPr>
            <w:tcW w:w="2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1060" w:type="dxa"/>
            <w:vAlign w:val="bottom"/>
            <w:gridSpan w:val="2"/>
            <w:shd w:val="clear" w:color="auto" w:fill="E6E6E6"/>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1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1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E6E6E6"/>
          </w:tcPr>
          <w:p>
            <w:pPr>
              <w:ind w:left="860"/>
              <w:spacing w:after="0" w:line="149" w:lineRule="exact"/>
              <w:rPr>
                <w:sz w:val="20"/>
                <w:szCs w:val="20"/>
                <w:color w:val="auto"/>
              </w:rPr>
            </w:pPr>
            <w:r>
              <w:rPr>
                <w:rFonts w:ascii="Arial" w:cs="Arial" w:eastAsia="Arial" w:hAnsi="Arial"/>
                <w:sz w:val="14"/>
                <w:szCs w:val="14"/>
                <w:color w:val="auto"/>
              </w:rPr>
              <w:t>Total assets</w:t>
            </w:r>
          </w:p>
        </w:tc>
        <w:tc>
          <w:tcPr>
            <w:tcW w:w="125" w:type="dxa"/>
            <w:vAlign w:val="bottom"/>
            <w:shd w:val="clear" w:color="auto" w:fill="E6E6E6"/>
          </w:tcPr>
          <w:p>
            <w:pPr>
              <w:jc w:val="right"/>
              <w:ind w:right="14"/>
              <w:spacing w:after="0"/>
              <w:rPr>
                <w:sz w:val="20"/>
                <w:szCs w:val="20"/>
                <w:color w:val="auto"/>
              </w:rPr>
            </w:pPr>
            <w:r>
              <w:rPr>
                <w:rFonts w:ascii="Arial" w:cs="Arial" w:eastAsia="Arial" w:hAnsi="Arial"/>
                <w:sz w:val="10"/>
                <w:szCs w:val="10"/>
                <w:color w:val="auto"/>
                <w:w w:val="71"/>
              </w:rPr>
              <w:t>$</w:t>
            </w:r>
          </w:p>
        </w:tc>
        <w:tc>
          <w:tcPr>
            <w:tcW w:w="915"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72,523</w:t>
            </w:r>
          </w:p>
        </w:tc>
        <w:tc>
          <w:tcPr>
            <w:tcW w:w="2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0" w:type="dxa"/>
            <w:vAlign w:val="bottom"/>
            <w:shd w:val="clear" w:color="auto" w:fill="E6E6E6"/>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63,366</w:t>
            </w:r>
          </w:p>
        </w:tc>
        <w:tc>
          <w:tcPr>
            <w:tcW w:w="10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1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25" w:type="dxa"/>
            <w:vAlign w:val="bottom"/>
          </w:tcPr>
          <w:p>
            <w:pPr>
              <w:spacing w:after="0"/>
              <w:rPr>
                <w:sz w:val="9"/>
                <w:szCs w:val="9"/>
                <w:color w:val="auto"/>
              </w:rPr>
            </w:pPr>
          </w:p>
        </w:tc>
        <w:tc>
          <w:tcPr>
            <w:tcW w:w="915"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00" w:type="dxa"/>
            <w:vAlign w:val="bottom"/>
            <w:shd w:val="clear" w:color="auto" w:fill="E6E6E6"/>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25" w:type="dxa"/>
            <w:vAlign w:val="bottom"/>
            <w:shd w:val="clear" w:color="auto" w:fill="E6E6E6"/>
          </w:tcPr>
          <w:p>
            <w:pPr>
              <w:spacing w:after="0"/>
              <w:rPr>
                <w:sz w:val="12"/>
                <w:szCs w:val="12"/>
                <w:color w:val="auto"/>
              </w:rPr>
            </w:pPr>
          </w:p>
        </w:tc>
        <w:tc>
          <w:tcPr>
            <w:tcW w:w="915" w:type="dxa"/>
            <w:vAlign w:val="bottom"/>
            <w:shd w:val="clear" w:color="auto" w:fill="E6E6E6"/>
          </w:tcPr>
          <w:p>
            <w:pPr>
              <w:spacing w:after="0"/>
              <w:rPr>
                <w:sz w:val="12"/>
                <w:szCs w:val="12"/>
                <w:color w:val="auto"/>
              </w:rPr>
            </w:pPr>
          </w:p>
        </w:tc>
        <w:tc>
          <w:tcPr>
            <w:tcW w:w="2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96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25" w:type="dxa"/>
            <w:vAlign w:val="bottom"/>
          </w:tcPr>
          <w:p>
            <w:pPr>
              <w:spacing w:after="0"/>
              <w:rPr>
                <w:sz w:val="12"/>
                <w:szCs w:val="12"/>
                <w:color w:val="auto"/>
              </w:rPr>
            </w:pPr>
          </w:p>
        </w:tc>
        <w:tc>
          <w:tcPr>
            <w:tcW w:w="915"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E6E6E6"/>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25" w:type="dxa"/>
            <w:vAlign w:val="bottom"/>
            <w:shd w:val="clear" w:color="auto" w:fill="E6E6E6"/>
          </w:tcPr>
          <w:p>
            <w:pPr>
              <w:jc w:val="right"/>
              <w:ind w:right="14"/>
              <w:spacing w:after="0"/>
              <w:rPr>
                <w:sz w:val="20"/>
                <w:szCs w:val="20"/>
                <w:color w:val="auto"/>
              </w:rPr>
            </w:pPr>
            <w:r>
              <w:rPr>
                <w:rFonts w:ascii="Arial" w:cs="Arial" w:eastAsia="Arial" w:hAnsi="Arial"/>
                <w:sz w:val="10"/>
                <w:szCs w:val="10"/>
                <w:color w:val="auto"/>
                <w:w w:val="71"/>
              </w:rPr>
              <w:t>$</w:t>
            </w:r>
          </w:p>
        </w:tc>
        <w:tc>
          <w:tcPr>
            <w:tcW w:w="915"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1,610</w:t>
            </w:r>
          </w:p>
        </w:tc>
        <w:tc>
          <w:tcPr>
            <w:tcW w:w="2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0" w:type="dxa"/>
            <w:vAlign w:val="bottom"/>
            <w:shd w:val="clear" w:color="auto" w:fill="E6E6E6"/>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1,649</w:t>
            </w:r>
          </w:p>
        </w:tc>
        <w:tc>
          <w:tcPr>
            <w:tcW w:w="10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125" w:type="dxa"/>
            <w:vAlign w:val="bottom"/>
          </w:tcPr>
          <w:p>
            <w:pPr>
              <w:spacing w:after="0"/>
              <w:rPr>
                <w:sz w:val="12"/>
                <w:szCs w:val="12"/>
                <w:color w:val="auto"/>
              </w:rPr>
            </w:pPr>
          </w:p>
        </w:tc>
        <w:tc>
          <w:tcPr>
            <w:tcW w:w="915" w:type="dxa"/>
            <w:vAlign w:val="bottom"/>
          </w:tcPr>
          <w:p>
            <w:pPr>
              <w:jc w:val="right"/>
              <w:spacing w:after="0" w:line="149" w:lineRule="exact"/>
              <w:rPr>
                <w:sz w:val="20"/>
                <w:szCs w:val="20"/>
                <w:color w:val="auto"/>
              </w:rPr>
            </w:pPr>
            <w:r>
              <w:rPr>
                <w:rFonts w:ascii="Arial" w:cs="Arial" w:eastAsia="Arial" w:hAnsi="Arial"/>
                <w:sz w:val="14"/>
                <w:szCs w:val="14"/>
                <w:color w:val="auto"/>
              </w:rPr>
              <w:t>4,971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3,410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E6E6E6"/>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25" w:type="dxa"/>
            <w:vAlign w:val="bottom"/>
            <w:shd w:val="clear" w:color="auto" w:fill="E6E6E6"/>
          </w:tcPr>
          <w:p>
            <w:pPr>
              <w:spacing w:after="0"/>
              <w:rPr>
                <w:sz w:val="12"/>
                <w:szCs w:val="12"/>
                <w:color w:val="auto"/>
              </w:rPr>
            </w:pPr>
          </w:p>
        </w:tc>
        <w:tc>
          <w:tcPr>
            <w:tcW w:w="915"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326</w:t>
            </w:r>
          </w:p>
        </w:tc>
        <w:tc>
          <w:tcPr>
            <w:tcW w:w="2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96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214</w:t>
            </w:r>
          </w:p>
        </w:tc>
        <w:tc>
          <w:tcPr>
            <w:tcW w:w="10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1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1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E6E6E6"/>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125" w:type="dxa"/>
            <w:vAlign w:val="bottom"/>
            <w:shd w:val="clear" w:color="auto" w:fill="E6E6E6"/>
          </w:tcPr>
          <w:p>
            <w:pPr>
              <w:spacing w:after="0"/>
              <w:rPr>
                <w:sz w:val="12"/>
                <w:szCs w:val="12"/>
                <w:color w:val="auto"/>
              </w:rPr>
            </w:pPr>
          </w:p>
        </w:tc>
        <w:tc>
          <w:tcPr>
            <w:tcW w:w="915"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6,907</w:t>
            </w:r>
          </w:p>
        </w:tc>
        <w:tc>
          <w:tcPr>
            <w:tcW w:w="2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96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5,273</w:t>
            </w:r>
          </w:p>
        </w:tc>
        <w:tc>
          <w:tcPr>
            <w:tcW w:w="10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125" w:type="dxa"/>
            <w:vAlign w:val="bottom"/>
          </w:tcPr>
          <w:p>
            <w:pPr>
              <w:spacing w:after="0"/>
              <w:rPr>
                <w:sz w:val="12"/>
                <w:szCs w:val="12"/>
                <w:color w:val="auto"/>
              </w:rPr>
            </w:pPr>
          </w:p>
        </w:tc>
        <w:tc>
          <w:tcPr>
            <w:tcW w:w="915"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E6E6E6"/>
          </w:tcPr>
          <w:p>
            <w:pPr>
              <w:ind w:left="420"/>
              <w:spacing w:after="0" w:line="149" w:lineRule="exact"/>
              <w:rPr>
                <w:sz w:val="20"/>
                <w:szCs w:val="20"/>
                <w:color w:val="auto"/>
              </w:rPr>
            </w:pPr>
            <w:r>
              <w:rPr>
                <w:rFonts w:ascii="Arial" w:cs="Arial" w:eastAsia="Arial" w:hAnsi="Arial"/>
                <w:sz w:val="14"/>
                <w:szCs w:val="14"/>
                <w:color w:val="auto"/>
              </w:rPr>
              <w:t>Common stock</w:t>
            </w:r>
          </w:p>
        </w:tc>
        <w:tc>
          <w:tcPr>
            <w:tcW w:w="125" w:type="dxa"/>
            <w:vAlign w:val="bottom"/>
            <w:shd w:val="clear" w:color="auto" w:fill="E6E6E6"/>
          </w:tcPr>
          <w:p>
            <w:pPr>
              <w:spacing w:after="0"/>
              <w:rPr>
                <w:sz w:val="12"/>
                <w:szCs w:val="12"/>
                <w:color w:val="auto"/>
              </w:rPr>
            </w:pPr>
          </w:p>
        </w:tc>
        <w:tc>
          <w:tcPr>
            <w:tcW w:w="915"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49</w:t>
            </w:r>
          </w:p>
        </w:tc>
        <w:tc>
          <w:tcPr>
            <w:tcW w:w="2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96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43</w:t>
            </w:r>
          </w:p>
        </w:tc>
        <w:tc>
          <w:tcPr>
            <w:tcW w:w="10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420"/>
              <w:spacing w:after="0" w:line="149" w:lineRule="exact"/>
              <w:rPr>
                <w:sz w:val="20"/>
                <w:szCs w:val="20"/>
                <w:color w:val="auto"/>
              </w:rPr>
            </w:pPr>
            <w:r>
              <w:rPr>
                <w:rFonts w:ascii="Arial" w:cs="Arial" w:eastAsia="Arial" w:hAnsi="Arial"/>
                <w:sz w:val="14"/>
                <w:szCs w:val="14"/>
                <w:color w:val="auto"/>
              </w:rPr>
              <w:t>Treasury stock</w:t>
            </w:r>
          </w:p>
        </w:tc>
        <w:tc>
          <w:tcPr>
            <w:tcW w:w="125" w:type="dxa"/>
            <w:vAlign w:val="bottom"/>
          </w:tcPr>
          <w:p>
            <w:pPr>
              <w:spacing w:after="0"/>
              <w:rPr>
                <w:sz w:val="12"/>
                <w:szCs w:val="12"/>
                <w:color w:val="auto"/>
              </w:rPr>
            </w:pPr>
          </w:p>
        </w:tc>
        <w:tc>
          <w:tcPr>
            <w:tcW w:w="1115"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E6E6E6"/>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125" w:type="dxa"/>
            <w:vAlign w:val="bottom"/>
            <w:shd w:val="clear" w:color="auto" w:fill="E6E6E6"/>
          </w:tcPr>
          <w:p>
            <w:pPr>
              <w:spacing w:after="0"/>
              <w:rPr>
                <w:sz w:val="12"/>
                <w:szCs w:val="12"/>
                <w:color w:val="auto"/>
              </w:rPr>
            </w:pPr>
          </w:p>
        </w:tc>
        <w:tc>
          <w:tcPr>
            <w:tcW w:w="915"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234,421</w:t>
            </w:r>
          </w:p>
        </w:tc>
        <w:tc>
          <w:tcPr>
            <w:tcW w:w="2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96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215,937</w:t>
            </w:r>
          </w:p>
        </w:tc>
        <w:tc>
          <w:tcPr>
            <w:tcW w:w="10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420"/>
              <w:spacing w:after="0" w:line="149" w:lineRule="exact"/>
              <w:rPr>
                <w:sz w:val="20"/>
                <w:szCs w:val="20"/>
                <w:color w:val="auto"/>
              </w:rPr>
            </w:pPr>
            <w:r>
              <w:rPr>
                <w:rFonts w:ascii="Arial" w:cs="Arial" w:eastAsia="Arial" w:hAnsi="Arial"/>
                <w:sz w:val="14"/>
                <w:szCs w:val="14"/>
                <w:color w:val="auto"/>
              </w:rPr>
              <w:t>Accumulated deficit</w:t>
            </w:r>
          </w:p>
        </w:tc>
        <w:tc>
          <w:tcPr>
            <w:tcW w:w="125" w:type="dxa"/>
            <w:vAlign w:val="bottom"/>
          </w:tcPr>
          <w:p>
            <w:pPr>
              <w:spacing w:after="0"/>
              <w:rPr>
                <w:sz w:val="12"/>
                <w:szCs w:val="12"/>
                <w:color w:val="auto"/>
              </w:rPr>
            </w:pPr>
          </w:p>
        </w:tc>
        <w:tc>
          <w:tcPr>
            <w:tcW w:w="1115"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(168,729)</w:t>
            </w:r>
          </w:p>
        </w:tc>
        <w:tc>
          <w:tcPr>
            <w:tcW w:w="10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(157,798)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E6E6E6"/>
          </w:tcPr>
          <w:p>
            <w:pPr>
              <w:ind w:left="420"/>
              <w:spacing w:after="0" w:line="149" w:lineRule="exact"/>
              <w:rPr>
                <w:sz w:val="20"/>
                <w:szCs w:val="20"/>
                <w:color w:val="auto"/>
              </w:rPr>
            </w:pPr>
            <w:r>
              <w:rPr>
                <w:rFonts w:ascii="Arial" w:cs="Arial" w:eastAsia="Arial" w:hAnsi="Arial"/>
                <w:sz w:val="14"/>
                <w:szCs w:val="14"/>
                <w:color w:val="auto"/>
              </w:rPr>
              <w:t>Other accumulated comprehensive income</w:t>
            </w:r>
          </w:p>
        </w:tc>
        <w:tc>
          <w:tcPr>
            <w:tcW w:w="125" w:type="dxa"/>
            <w:vAlign w:val="bottom"/>
            <w:shd w:val="clear" w:color="auto" w:fill="E6E6E6"/>
          </w:tcPr>
          <w:p>
            <w:pPr>
              <w:spacing w:after="0"/>
              <w:rPr>
                <w:sz w:val="12"/>
                <w:szCs w:val="12"/>
                <w:color w:val="auto"/>
              </w:rPr>
            </w:pPr>
          </w:p>
        </w:tc>
        <w:tc>
          <w:tcPr>
            <w:tcW w:w="1115" w:type="dxa"/>
            <w:vAlign w:val="bottom"/>
            <w:gridSpan w:val="3"/>
            <w:shd w:val="clear" w:color="auto" w:fill="E6E6E6"/>
          </w:tcPr>
          <w:p>
            <w:pPr>
              <w:jc w:val="right"/>
              <w:ind w:right="180"/>
              <w:spacing w:after="0" w:line="149" w:lineRule="exact"/>
              <w:rPr>
                <w:sz w:val="20"/>
                <w:szCs w:val="20"/>
                <w:color w:val="auto"/>
              </w:rPr>
            </w:pPr>
            <w:r>
              <w:rPr>
                <w:rFonts w:ascii="Arial" w:cs="Arial" w:eastAsia="Arial" w:hAnsi="Arial"/>
                <w:sz w:val="14"/>
                <w:szCs w:val="14"/>
                <w:color w:val="auto"/>
              </w:rPr>
              <w:t>(123)</w:t>
            </w:r>
          </w:p>
        </w:tc>
        <w:tc>
          <w:tcPr>
            <w:tcW w:w="100" w:type="dxa"/>
            <w:vAlign w:val="bottom"/>
            <w:shd w:val="clear" w:color="auto" w:fill="E6E6E6"/>
          </w:tcPr>
          <w:p>
            <w:pPr>
              <w:spacing w:after="0"/>
              <w:rPr>
                <w:sz w:val="12"/>
                <w:szCs w:val="12"/>
                <w:color w:val="auto"/>
              </w:rPr>
            </w:pPr>
          </w:p>
        </w:tc>
        <w:tc>
          <w:tcPr>
            <w:tcW w:w="1060" w:type="dxa"/>
            <w:vAlign w:val="bottom"/>
            <w:gridSpan w:val="2"/>
            <w:shd w:val="clear" w:color="auto" w:fill="E6E6E6"/>
          </w:tcPr>
          <w:p>
            <w:pPr>
              <w:jc w:val="right"/>
              <w:ind w:right="8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1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1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E6E6E6"/>
          </w:tcPr>
          <w:p>
            <w:pPr>
              <w:ind w:left="860"/>
              <w:spacing w:after="0" w:line="149" w:lineRule="exact"/>
              <w:rPr>
                <w:sz w:val="20"/>
                <w:szCs w:val="20"/>
                <w:color w:val="auto"/>
              </w:rPr>
            </w:pPr>
            <w:r>
              <w:rPr>
                <w:rFonts w:ascii="Arial" w:cs="Arial" w:eastAsia="Arial" w:hAnsi="Arial"/>
                <w:sz w:val="14"/>
                <w:szCs w:val="14"/>
                <w:color w:val="auto"/>
              </w:rPr>
              <w:t>Total stockholders’ equity</w:t>
            </w:r>
          </w:p>
        </w:tc>
        <w:tc>
          <w:tcPr>
            <w:tcW w:w="125" w:type="dxa"/>
            <w:vAlign w:val="bottom"/>
            <w:shd w:val="clear" w:color="auto" w:fill="E6E6E6"/>
          </w:tcPr>
          <w:p>
            <w:pPr>
              <w:spacing w:after="0"/>
              <w:rPr>
                <w:sz w:val="12"/>
                <w:szCs w:val="12"/>
                <w:color w:val="auto"/>
              </w:rPr>
            </w:pPr>
          </w:p>
        </w:tc>
        <w:tc>
          <w:tcPr>
            <w:tcW w:w="915"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65,616</w:t>
            </w:r>
          </w:p>
        </w:tc>
        <w:tc>
          <w:tcPr>
            <w:tcW w:w="2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96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58,093</w:t>
            </w:r>
          </w:p>
        </w:tc>
        <w:tc>
          <w:tcPr>
            <w:tcW w:w="10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1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1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E6E6E6"/>
          </w:tcPr>
          <w:p>
            <w:pPr>
              <w:ind w:left="8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25" w:type="dxa"/>
            <w:vAlign w:val="bottom"/>
            <w:shd w:val="clear" w:color="auto" w:fill="E6E6E6"/>
          </w:tcPr>
          <w:p>
            <w:pPr>
              <w:jc w:val="right"/>
              <w:ind w:right="14"/>
              <w:spacing w:after="0"/>
              <w:rPr>
                <w:sz w:val="20"/>
                <w:szCs w:val="20"/>
                <w:color w:val="auto"/>
              </w:rPr>
            </w:pPr>
            <w:r>
              <w:rPr>
                <w:rFonts w:ascii="Arial" w:cs="Arial" w:eastAsia="Arial" w:hAnsi="Arial"/>
                <w:sz w:val="10"/>
                <w:szCs w:val="10"/>
                <w:color w:val="auto"/>
                <w:w w:val="71"/>
              </w:rPr>
              <w:t>$</w:t>
            </w:r>
          </w:p>
        </w:tc>
        <w:tc>
          <w:tcPr>
            <w:tcW w:w="915"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72,523</w:t>
            </w:r>
          </w:p>
        </w:tc>
        <w:tc>
          <w:tcPr>
            <w:tcW w:w="2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0" w:type="dxa"/>
            <w:vAlign w:val="bottom"/>
            <w:shd w:val="clear" w:color="auto" w:fill="E6E6E6"/>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63,366</w:t>
            </w:r>
          </w:p>
        </w:tc>
        <w:tc>
          <w:tcPr>
            <w:tcW w:w="10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1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-1950085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-1950085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-1950085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-1950085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-1950085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-1950085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2019-12-12T01:51:33Z</dcterms:created>
  <dcterms:modified xsi:type="dcterms:W3CDTF">2019-12-12T01:51:33Z</dcterms:modified>
</cp:coreProperties>
</file>