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P10,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001-40937</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87-2908160</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9"/>
              </w:rPr>
              <w:t>4514 Cole Avenue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1600</w:t>
            </w: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9"/>
              </w:rPr>
              <w:t>Dallas, Texas</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75205</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214 865-7998</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PX</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New York Stock Exchange</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On February 12, 2025, P10, Inc. (the “Company”) issued a press release and presentation announcing its financial results for the fourth quarter and year ended December 31, 2024. A copy of the press release and presentation are furnished as Exhibits 99.1 and 99.2 to this Current Report on Form 8-K and are incorporated herein by reference.</w:t>
      </w:r>
    </w:p>
    <w:p>
      <w:pPr>
        <w:spacing w:after="0" w:line="157" w:lineRule="exact"/>
        <w:rPr>
          <w:sz w:val="20"/>
          <w:szCs w:val="20"/>
          <w:color w:val="auto"/>
        </w:rPr>
      </w:pPr>
    </w:p>
    <w:p>
      <w:pPr>
        <w:jc w:val="both"/>
        <w:ind w:right="20" w:firstLine="751"/>
        <w:spacing w:after="0" w:line="261" w:lineRule="auto"/>
        <w:rPr>
          <w:sz w:val="20"/>
          <w:szCs w:val="20"/>
          <w:color w:val="auto"/>
        </w:rPr>
      </w:pPr>
      <w:r>
        <w:rPr>
          <w:rFonts w:ascii="Times New Roman" w:cs="Times New Roman" w:eastAsia="Times New Roman" w:hAnsi="Times New Roman"/>
          <w:sz w:val="16"/>
          <w:szCs w:val="16"/>
          <w:color w:val="auto"/>
        </w:rPr>
        <w:t>The information furnished by the Company pursuant to this Item 2.02, including Exhibits 99.1 and 99.2, shall not be deemed “filed” for purposes of Section 18 of the Securities Exchange Act of 1934, as amended (the “Exchange Act”) or otherwise subject to the liability of that section, and shall not be deemed to be incorporated by reference into any Company filing under the Securities Act of 1933, as amended, or the Exchange Act, regardless of any general incorporation language in such filing.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tc>
        <w:tc>
          <w:tcPr>
            <w:tcW w:w="7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473"/>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 Exhibits</w:t>
            </w: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8"/>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w:t>
            </w:r>
          </w:p>
        </w:tc>
        <w:tc>
          <w:tcPr>
            <w:tcW w:w="5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74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69"/>
        </w:trPr>
        <w:tc>
          <w:tcPr>
            <w:tcW w:w="7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99.1</w:t>
            </w:r>
          </w:p>
        </w:tc>
        <w:tc>
          <w:tcPr>
            <w:tcW w:w="4920" w:type="dxa"/>
            <w:vAlign w:val="bottom"/>
          </w:tcPr>
          <w:p>
            <w:pPr>
              <w:spacing w:after="0"/>
              <w:rPr>
                <w:sz w:val="14"/>
                <w:szCs w:val="14"/>
                <w:color w:val="auto"/>
              </w:rPr>
            </w:pPr>
          </w:p>
        </w:tc>
        <w:tc>
          <w:tcPr>
            <w:tcW w:w="560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Press Release of P10, Inc. dated February 12, 2025</w:t>
            </w:r>
          </w:p>
        </w:tc>
      </w:tr>
      <w:tr>
        <w:trPr>
          <w:trHeight w:val="20"/>
        </w:trPr>
        <w:tc>
          <w:tcPr>
            <w:tcW w:w="740" w:type="dxa"/>
            <w:vAlign w:val="bottom"/>
          </w:tcPr>
          <w:p>
            <w:pPr>
              <w:spacing w:after="0" w:line="20" w:lineRule="exact"/>
              <w:rPr>
                <w:sz w:val="1"/>
                <w:szCs w:val="1"/>
                <w:color w:val="auto"/>
              </w:rPr>
            </w:pPr>
          </w:p>
        </w:tc>
        <w:tc>
          <w:tcPr>
            <w:tcW w:w="492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EE"/>
            </w:tcBorders>
            <w:gridSpan w:val="2"/>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69"/>
        </w:trPr>
        <w:tc>
          <w:tcPr>
            <w:tcW w:w="7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4920" w:type="dxa"/>
            <w:vAlign w:val="bottom"/>
          </w:tcPr>
          <w:p>
            <w:pPr>
              <w:spacing w:after="0"/>
              <w:rPr>
                <w:sz w:val="14"/>
                <w:szCs w:val="14"/>
                <w:color w:val="auto"/>
              </w:rPr>
            </w:pPr>
          </w:p>
        </w:tc>
        <w:tc>
          <w:tcPr>
            <w:tcW w:w="560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Fourth Quarter and Full Year 2024 Earnings Presentation, dated February 12, 2025</w:t>
            </w:r>
          </w:p>
        </w:tc>
      </w:tr>
      <w:tr>
        <w:trPr>
          <w:trHeight w:val="20"/>
        </w:trPr>
        <w:tc>
          <w:tcPr>
            <w:tcW w:w="740" w:type="dxa"/>
            <w:vAlign w:val="bottom"/>
          </w:tcPr>
          <w:p>
            <w:pPr>
              <w:spacing w:after="0" w:line="20" w:lineRule="exact"/>
              <w:rPr>
                <w:sz w:val="1"/>
                <w:szCs w:val="1"/>
                <w:color w:val="auto"/>
              </w:rPr>
            </w:pPr>
          </w:p>
        </w:tc>
        <w:tc>
          <w:tcPr>
            <w:tcW w:w="4920" w:type="dxa"/>
            <w:vAlign w:val="bottom"/>
            <w:tcBorders>
              <w:right w:val="single" w:sz="8" w:color="0000EE"/>
            </w:tcBorders>
          </w:tcPr>
          <w:p>
            <w:pPr>
              <w:spacing w:after="0" w:line="20" w:lineRule="exact"/>
              <w:rPr>
                <w:sz w:val="1"/>
                <w:szCs w:val="1"/>
                <w:color w:val="auto"/>
              </w:rPr>
            </w:pPr>
          </w:p>
        </w:tc>
        <w:tc>
          <w:tcPr>
            <w:tcW w:w="522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5"/>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920" w:type="dxa"/>
            <w:vAlign w:val="bottom"/>
          </w:tcPr>
          <w:p>
            <w:pPr>
              <w:spacing w:after="0"/>
              <w:rPr>
                <w:sz w:val="17"/>
                <w:szCs w:val="17"/>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854"/>
        </w:trPr>
        <w:tc>
          <w:tcPr>
            <w:tcW w:w="7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P10, INC.</w:t>
      </w:r>
    </w:p>
    <w:p>
      <w:pPr>
        <w:spacing w:after="0" w:line="325"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February 12,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Amanda Coussens</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1438910</wp:posOffset>
            </wp:positionH>
            <wp:positionV relativeFrom="page">
              <wp:posOffset>479425</wp:posOffset>
            </wp:positionV>
            <wp:extent cx="1006475" cy="473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drawing>
          <wp:anchor simplePos="0" relativeHeight="251657728" behindDoc="1" locked="0" layoutInCell="0" allowOverlap="1">
            <wp:simplePos x="0" y="0"/>
            <wp:positionH relativeFrom="page">
              <wp:posOffset>5171440</wp:posOffset>
            </wp:positionH>
            <wp:positionV relativeFrom="page">
              <wp:posOffset>479425</wp:posOffset>
            </wp:positionV>
            <wp:extent cx="1201420" cy="278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01420" cy="278130"/>
                    </a:xfrm>
                    <a:prstGeom prst="rect">
                      <a:avLst/>
                    </a:prstGeom>
                    <a:noFill/>
                  </pic:spPr>
                </pic:pic>
              </a:graphicData>
            </a:graphic>
          </wp:anchor>
        </w:drawing>
      </w:r>
    </w:p>
    <w:p>
      <w:pPr>
        <w:ind w:left="2220"/>
        <w:spacing w:after="0"/>
        <w:rPr>
          <w:sz w:val="20"/>
          <w:szCs w:val="20"/>
          <w:color w:val="auto"/>
        </w:rPr>
      </w:pPr>
      <w:r>
        <w:rPr>
          <w:rFonts w:ascii="Calibri" w:cs="Calibri" w:eastAsia="Calibri" w:hAnsi="Calibri"/>
          <w:sz w:val="19"/>
          <w:szCs w:val="19"/>
          <w:b w:val="1"/>
          <w:bCs w:val="1"/>
          <w:color w:val="2F2F45"/>
        </w:rPr>
        <w:t>P10 Reports Fourth Quarter and Full Year 2024 Earnings Results</w:t>
      </w:r>
    </w:p>
    <w:p>
      <w:pPr>
        <w:spacing w:after="0" w:line="336" w:lineRule="exact"/>
        <w:rPr>
          <w:sz w:val="20"/>
          <w:szCs w:val="20"/>
          <w:color w:val="auto"/>
        </w:rPr>
      </w:pPr>
    </w:p>
    <w:p>
      <w:pPr>
        <w:ind w:left="1820"/>
        <w:spacing w:after="0"/>
        <w:rPr>
          <w:sz w:val="20"/>
          <w:szCs w:val="20"/>
          <w:color w:val="auto"/>
        </w:rPr>
      </w:pPr>
      <w:r>
        <w:rPr>
          <w:rFonts w:ascii="Calibri" w:cs="Calibri" w:eastAsia="Calibri" w:hAnsi="Calibri"/>
          <w:sz w:val="19"/>
          <w:szCs w:val="19"/>
          <w:i w:val="1"/>
          <w:iCs w:val="1"/>
          <w:color w:val="2F2F45"/>
        </w:rPr>
        <w:t>Generated Record Quarterly Revenue of $85 Million, a 35% Annual Increase</w:t>
      </w:r>
    </w:p>
    <w:p>
      <w:pPr>
        <w:spacing w:after="0" w:line="247" w:lineRule="exact"/>
        <w:rPr>
          <w:sz w:val="20"/>
          <w:szCs w:val="20"/>
          <w:color w:val="auto"/>
        </w:rPr>
      </w:pPr>
    </w:p>
    <w:p>
      <w:pPr>
        <w:ind w:left="820" w:right="639"/>
        <w:spacing w:after="0" w:line="241" w:lineRule="auto"/>
        <w:rPr>
          <w:sz w:val="20"/>
          <w:szCs w:val="20"/>
          <w:color w:val="auto"/>
        </w:rPr>
      </w:pPr>
      <w:r>
        <w:rPr>
          <w:rFonts w:ascii="Calibri" w:cs="Calibri" w:eastAsia="Calibri" w:hAnsi="Calibri"/>
          <w:sz w:val="19"/>
          <w:szCs w:val="19"/>
          <w:color w:val="2F2F45"/>
        </w:rPr>
        <w:t xml:space="preserve">DALLAS, February 12, 2025 (GLOBE NEWSWIRE) - </w:t>
      </w:r>
      <w:r>
        <w:rPr>
          <w:rFonts w:ascii="Calibri" w:cs="Calibri" w:eastAsia="Calibri" w:hAnsi="Calibri"/>
          <w:sz w:val="19"/>
          <w:szCs w:val="19"/>
          <w:color w:val="000000"/>
        </w:rPr>
        <w:t>P10, Inc.</w:t>
      </w:r>
      <w:r>
        <w:rPr>
          <w:rFonts w:ascii="Calibri" w:cs="Calibri" w:eastAsia="Calibri" w:hAnsi="Calibri"/>
          <w:sz w:val="19"/>
          <w:szCs w:val="19"/>
          <w:color w:val="2F2F45"/>
        </w:rPr>
        <w:t xml:space="preserve"> (NYSE: PX) (the “Company”), a leading private markets solutons provider, today reported fnancial results for the fourth quarter and year ended December 31, 2024.</w:t>
      </w:r>
    </w:p>
    <w:p>
      <w:pPr>
        <w:spacing w:after="0" w:line="241" w:lineRule="exact"/>
        <w:rPr>
          <w:sz w:val="20"/>
          <w:szCs w:val="20"/>
          <w:color w:val="auto"/>
        </w:rPr>
      </w:pPr>
    </w:p>
    <w:p>
      <w:pPr>
        <w:ind w:left="820"/>
        <w:spacing w:after="0"/>
        <w:rPr>
          <w:sz w:val="20"/>
          <w:szCs w:val="20"/>
          <w:color w:val="auto"/>
        </w:rPr>
      </w:pPr>
      <w:r>
        <w:rPr>
          <w:rFonts w:ascii="Calibri" w:cs="Calibri" w:eastAsia="Calibri" w:hAnsi="Calibri"/>
          <w:sz w:val="19"/>
          <w:szCs w:val="19"/>
          <w:b w:val="1"/>
          <w:bCs w:val="1"/>
          <w:color w:val="2F2F45"/>
        </w:rPr>
        <w:t>Fourth Quarter 2024 Financial Highlights</w:t>
      </w:r>
    </w:p>
    <w:p>
      <w:pPr>
        <w:spacing w:after="0" w:line="5" w:lineRule="exact"/>
        <w:rPr>
          <w:sz w:val="20"/>
          <w:szCs w:val="20"/>
          <w:color w:val="auto"/>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Revenue: $85 million, a 35% increase year over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Fee-Related Revenue: $85 million, a 37% increase year over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Fee-Paying Assets Under Management: $25.7 billion, a 10% increase year over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GAAP Net Income (Loss): $5.7 million compared to $(1.9) million in the prior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Adjusted EBITDA: $42.9 million, a 40% increase year over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Fee-Related Earnings: $42.7 million, a 39% increase year over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Adjusted Net Income: $35.3 million, a 39% increase year over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Fully Diluted GAAP EPS: $0.05 compared to $(0.01) in the prior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Fully Diluted ANI per share: $0.30, a 44% increase year over year.</w:t>
      </w:r>
    </w:p>
    <w:p>
      <w:pPr>
        <w:spacing w:after="0" w:line="241" w:lineRule="exact"/>
        <w:rPr>
          <w:sz w:val="20"/>
          <w:szCs w:val="20"/>
          <w:color w:val="auto"/>
        </w:rPr>
      </w:pPr>
    </w:p>
    <w:p>
      <w:pPr>
        <w:ind w:left="820"/>
        <w:spacing w:after="0"/>
        <w:rPr>
          <w:sz w:val="20"/>
          <w:szCs w:val="20"/>
          <w:color w:val="auto"/>
        </w:rPr>
      </w:pPr>
      <w:r>
        <w:rPr>
          <w:rFonts w:ascii="Calibri" w:cs="Calibri" w:eastAsia="Calibri" w:hAnsi="Calibri"/>
          <w:sz w:val="19"/>
          <w:szCs w:val="19"/>
          <w:b w:val="1"/>
          <w:bCs w:val="1"/>
          <w:color w:val="2F2F45"/>
        </w:rPr>
        <w:t>Fiscal Year End 2024 Financial Highlights</w:t>
      </w:r>
    </w:p>
    <w:p>
      <w:pPr>
        <w:spacing w:after="0" w:line="5" w:lineRule="exact"/>
        <w:rPr>
          <w:sz w:val="20"/>
          <w:szCs w:val="20"/>
          <w:color w:val="auto"/>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Revenue: $296.4 million, a 23% increase year over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Fee-Related Revenue: $291.3 million, a 23% increase year over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GAAP Net Income (Loss): $19.7 million, compared to $(7.8) million in the prior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Adjusted EBITDA: $144.5 million, a 17% increase year over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Fee-Related Earnings: $142.1 million, a 15% increase year over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Adjusted Net Income: $120.2 million, an 18% increase year over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Fully Diluted GAAP EPS: $0.16, compared to $(0.06) in the prior year.</w:t>
      </w:r>
    </w:p>
    <w:p>
      <w:pPr>
        <w:spacing w:after="0" w:line="4"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Fully Diluted ANI per share: $1.00, a 22% increase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-509270</wp:posOffset>
            </wp:positionV>
            <wp:extent cx="2620645" cy="2425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20645" cy="2425700"/>
                    </a:xfrm>
                    <a:prstGeom prst="rect">
                      <a:avLst/>
                    </a:prstGeom>
                    <a:noFill/>
                  </pic:spPr>
                </pic:pic>
              </a:graphicData>
            </a:graphic>
          </wp:anchor>
        </w:drawing>
      </w:r>
    </w:p>
    <w:p>
      <w:pPr>
        <w:spacing w:after="0" w:line="227" w:lineRule="exact"/>
        <w:rPr>
          <w:sz w:val="20"/>
          <w:szCs w:val="20"/>
          <w:color w:val="auto"/>
        </w:rPr>
      </w:pPr>
    </w:p>
    <w:p>
      <w:pPr>
        <w:ind w:left="820" w:right="679"/>
        <w:spacing w:after="0" w:line="239" w:lineRule="auto"/>
        <w:rPr>
          <w:sz w:val="20"/>
          <w:szCs w:val="20"/>
          <w:color w:val="auto"/>
        </w:rPr>
      </w:pPr>
      <w:r>
        <w:rPr>
          <w:rFonts w:ascii="Calibri" w:cs="Calibri" w:eastAsia="Calibri" w:hAnsi="Calibri"/>
          <w:sz w:val="19"/>
          <w:szCs w:val="19"/>
          <w:color w:val="2F2F45"/>
        </w:rPr>
        <w:t xml:space="preserve">A presentaton of the quarterly fnancials may be accessed </w:t>
      </w:r>
      <w:r>
        <w:rPr>
          <w:rFonts w:ascii="Calibri" w:cs="Calibri" w:eastAsia="Calibri" w:hAnsi="Calibri"/>
          <w:sz w:val="19"/>
          <w:szCs w:val="19"/>
          <w:color w:val="000000"/>
        </w:rPr>
        <w:t>here</w:t>
      </w:r>
      <w:r>
        <w:rPr>
          <w:rFonts w:ascii="Calibri" w:cs="Calibri" w:eastAsia="Calibri" w:hAnsi="Calibri"/>
          <w:sz w:val="19"/>
          <w:szCs w:val="19"/>
          <w:color w:val="2F2F45"/>
        </w:rPr>
        <w:t xml:space="preserve"> and is available on the Company’s website.</w:t>
      </w:r>
    </w:p>
    <w:p>
      <w:pPr>
        <w:spacing w:after="0" w:line="248" w:lineRule="exact"/>
        <w:rPr>
          <w:sz w:val="20"/>
          <w:szCs w:val="20"/>
          <w:color w:val="auto"/>
        </w:rPr>
      </w:pPr>
    </w:p>
    <w:p>
      <w:pPr>
        <w:ind w:left="820" w:right="479"/>
        <w:spacing w:after="0" w:line="243" w:lineRule="auto"/>
        <w:rPr>
          <w:sz w:val="20"/>
          <w:szCs w:val="20"/>
          <w:color w:val="auto"/>
        </w:rPr>
      </w:pPr>
      <w:r>
        <w:rPr>
          <w:rFonts w:ascii="Calibri" w:cs="Calibri" w:eastAsia="Calibri" w:hAnsi="Calibri"/>
          <w:sz w:val="19"/>
          <w:szCs w:val="19"/>
          <w:color w:val="2F2F45"/>
        </w:rPr>
        <w:t>“P10 delivered record fnancial performance in the fourth quarter, capping of a remarkable year. Our investment strategies carried momentum in the fourth quarter, achieving $905 million in gross new fee-paying AUM. We also exceeded our 2024 fundraising guidance by over a billion dollars and delivered strong growth across our platorm,” said Luke Sarsfeld, P10 Chairman and Chief Executve Ofcer. “Over the course of 2024, we executed on all strategic priorites outlined at the start of the year, which included optmizing our leadership team, driving increased organic growth, reacceleratng our M&amp;A engine, generatng operatonal efciencies and enhancing our transparency. The Company is well positoned for an excitng 2025 and to meet or exceed the long-term fnancial guidance we provided at our inaugural Investor Day in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786765</wp:posOffset>
            </wp:positionV>
            <wp:extent cx="616839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1438910</wp:posOffset>
            </wp:positionH>
            <wp:positionV relativeFrom="page">
              <wp:posOffset>276860</wp:posOffset>
            </wp:positionV>
            <wp:extent cx="1006475" cy="473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20"/>
        <w:spacing w:after="0"/>
        <w:rPr>
          <w:sz w:val="20"/>
          <w:szCs w:val="20"/>
          <w:color w:val="auto"/>
        </w:rPr>
      </w:pPr>
      <w:r>
        <w:rPr>
          <w:rFonts w:ascii="Calibri" w:cs="Calibri" w:eastAsia="Calibri" w:hAnsi="Calibri"/>
          <w:sz w:val="19"/>
          <w:szCs w:val="19"/>
          <w:b w:val="1"/>
          <w:bCs w:val="1"/>
          <w:color w:val="2F2F45"/>
        </w:rPr>
        <w:t>Stock Repurchase Program</w:t>
      </w:r>
    </w:p>
    <w:p>
      <w:pPr>
        <w:spacing w:after="0" w:line="11" w:lineRule="exact"/>
        <w:rPr>
          <w:sz w:val="20"/>
          <w:szCs w:val="20"/>
          <w:color w:val="auto"/>
        </w:rPr>
      </w:pPr>
    </w:p>
    <w:p>
      <w:pPr>
        <w:jc w:val="both"/>
        <w:ind w:left="820" w:right="399"/>
        <w:spacing w:after="0" w:line="243" w:lineRule="auto"/>
        <w:rPr>
          <w:sz w:val="20"/>
          <w:szCs w:val="20"/>
          <w:color w:val="auto"/>
        </w:rPr>
      </w:pPr>
      <w:r>
        <w:rPr>
          <w:rFonts w:ascii="Calibri" w:cs="Calibri" w:eastAsia="Calibri" w:hAnsi="Calibri"/>
          <w:sz w:val="19"/>
          <w:szCs w:val="19"/>
          <w:color w:val="2F2F45"/>
        </w:rPr>
        <w:t>In the fourth quarter, the Company repurchased approximately 815,327 shares at an average price of $12.72 per share. In 2024, the Company repurchased approximately 6,641,827 shares at an average price of $8.88 per share, for a total of $59.1 million in the year. The repurchase actvity lef approximately $3.5 million available under the repurchase authorizaton at the end of the fourth quarter. This week, the Board of Directors authorized an additonal $40 million under the share repurchase program which brings the total available under the plan to approximately $43.5 million.</w:t>
      </w:r>
    </w:p>
    <w:p>
      <w:pPr>
        <w:spacing w:after="0" w:line="241" w:lineRule="exact"/>
        <w:rPr>
          <w:sz w:val="20"/>
          <w:szCs w:val="20"/>
          <w:color w:val="auto"/>
        </w:rPr>
      </w:pPr>
    </w:p>
    <w:p>
      <w:pPr>
        <w:ind w:left="820"/>
        <w:spacing w:after="0"/>
        <w:rPr>
          <w:sz w:val="20"/>
          <w:szCs w:val="20"/>
          <w:color w:val="auto"/>
        </w:rPr>
      </w:pPr>
      <w:r>
        <w:rPr>
          <w:rFonts w:ascii="Calibri" w:cs="Calibri" w:eastAsia="Calibri" w:hAnsi="Calibri"/>
          <w:sz w:val="19"/>
          <w:szCs w:val="19"/>
          <w:b w:val="1"/>
          <w:bCs w:val="1"/>
          <w:color w:val="2F2F45"/>
        </w:rPr>
        <w:t>Declaraton of Dividend</w:t>
      </w:r>
    </w:p>
    <w:p>
      <w:pPr>
        <w:spacing w:after="0" w:line="11" w:lineRule="exact"/>
        <w:rPr>
          <w:sz w:val="20"/>
          <w:szCs w:val="20"/>
          <w:color w:val="auto"/>
        </w:rPr>
      </w:pPr>
    </w:p>
    <w:p>
      <w:pPr>
        <w:ind w:left="820" w:right="419"/>
        <w:spacing w:after="0" w:line="218" w:lineRule="auto"/>
        <w:rPr>
          <w:sz w:val="20"/>
          <w:szCs w:val="20"/>
          <w:color w:val="auto"/>
        </w:rPr>
      </w:pPr>
      <w:r>
        <w:rPr>
          <w:rFonts w:ascii="Calibri" w:cs="Calibri" w:eastAsia="Calibri" w:hAnsi="Calibri"/>
          <w:sz w:val="19"/>
          <w:szCs w:val="19"/>
          <w:color w:val="2F2F45"/>
        </w:rPr>
        <w:t>The Board of Directors of the Company has declared a quarterly cash dividend of $0.035 per share on Class A and Class B common stock, payable on March 20</w:t>
      </w:r>
      <w:r>
        <w:rPr>
          <w:rFonts w:ascii="Calibri" w:cs="Calibri" w:eastAsia="Calibri" w:hAnsi="Calibri"/>
          <w:sz w:val="25"/>
          <w:szCs w:val="25"/>
          <w:color w:val="2F2F45"/>
          <w:vertAlign w:val="superscript"/>
        </w:rPr>
        <w:t>th</w:t>
      </w:r>
      <w:r>
        <w:rPr>
          <w:rFonts w:ascii="Calibri" w:cs="Calibri" w:eastAsia="Calibri" w:hAnsi="Calibri"/>
          <w:sz w:val="19"/>
          <w:szCs w:val="19"/>
          <w:color w:val="2F2F45"/>
        </w:rPr>
        <w:t>, 2025, to the holders of record as of the close of business on February 28</w:t>
      </w:r>
      <w:r>
        <w:rPr>
          <w:rFonts w:ascii="Calibri" w:cs="Calibri" w:eastAsia="Calibri" w:hAnsi="Calibri"/>
          <w:sz w:val="25"/>
          <w:szCs w:val="25"/>
          <w:color w:val="2F2F45"/>
          <w:vertAlign w:val="superscript"/>
        </w:rPr>
        <w:t>th</w:t>
      </w:r>
      <w:r>
        <w:rPr>
          <w:rFonts w:ascii="Calibri" w:cs="Calibri" w:eastAsia="Calibri" w:hAnsi="Calibri"/>
          <w:sz w:val="19"/>
          <w:szCs w:val="19"/>
          <w:color w:val="2F2F45"/>
        </w:rPr>
        <w:t>, 2025.</w:t>
      </w:r>
    </w:p>
    <w:p>
      <w:pPr>
        <w:spacing w:after="0" w:line="175" w:lineRule="exact"/>
        <w:rPr>
          <w:sz w:val="20"/>
          <w:szCs w:val="20"/>
          <w:color w:val="auto"/>
        </w:rPr>
      </w:pPr>
    </w:p>
    <w:p>
      <w:pPr>
        <w:ind w:left="820"/>
        <w:spacing w:after="0"/>
        <w:rPr>
          <w:sz w:val="20"/>
          <w:szCs w:val="20"/>
          <w:color w:val="auto"/>
        </w:rPr>
      </w:pPr>
      <w:r>
        <w:rPr>
          <w:rFonts w:ascii="Calibri" w:cs="Calibri" w:eastAsia="Calibri" w:hAnsi="Calibri"/>
          <w:sz w:val="19"/>
          <w:szCs w:val="19"/>
          <w:b w:val="1"/>
          <w:bCs w:val="1"/>
          <w:color w:val="2F2F45"/>
        </w:rPr>
        <w:t>Conference Call Details</w:t>
      </w:r>
    </w:p>
    <w:p>
      <w:pPr>
        <w:spacing w:after="0" w:line="11" w:lineRule="exact"/>
        <w:rPr>
          <w:sz w:val="20"/>
          <w:szCs w:val="20"/>
          <w:color w:val="auto"/>
        </w:rPr>
      </w:pPr>
    </w:p>
    <w:p>
      <w:pPr>
        <w:ind w:left="820" w:right="859"/>
        <w:spacing w:after="0" w:line="239" w:lineRule="auto"/>
        <w:rPr>
          <w:sz w:val="20"/>
          <w:szCs w:val="20"/>
          <w:color w:val="auto"/>
        </w:rPr>
      </w:pPr>
      <w:r>
        <w:rPr>
          <w:rFonts w:ascii="Calibri" w:cs="Calibri" w:eastAsia="Calibri" w:hAnsi="Calibri"/>
          <w:sz w:val="19"/>
          <w:szCs w:val="19"/>
          <w:color w:val="2F2F45"/>
        </w:rPr>
        <w:t>The Company will host a conference call at 8:30 a.m. Eastern Time on Wednesday, February 12, 2025. All partcipants must register prior to joining the event.</w:t>
      </w:r>
    </w:p>
    <w:p>
      <w:pPr>
        <w:spacing w:after="0" w:line="5" w:lineRule="exact"/>
        <w:rPr>
          <w:sz w:val="20"/>
          <w:szCs w:val="20"/>
          <w:color w:val="auto"/>
        </w:rPr>
      </w:pPr>
    </w:p>
    <w:p>
      <w:pPr>
        <w:ind w:left="1380" w:hanging="282"/>
        <w:spacing w:after="0"/>
        <w:tabs>
          <w:tab w:leader="none" w:pos="1380" w:val="left"/>
        </w:tabs>
        <w:numPr>
          <w:ilvl w:val="0"/>
          <w:numId w:val="4"/>
        </w:numPr>
        <w:rPr>
          <w:rFonts w:ascii="Times New Roman" w:cs="Times New Roman" w:eastAsia="Times New Roman" w:hAnsi="Times New Roman"/>
          <w:sz w:val="19"/>
          <w:szCs w:val="19"/>
          <w:color w:val="2F2F45"/>
        </w:rPr>
      </w:pPr>
      <w:r>
        <w:rPr>
          <w:rFonts w:ascii="Calibri" w:cs="Calibri" w:eastAsia="Calibri" w:hAnsi="Calibri"/>
          <w:sz w:val="19"/>
          <w:szCs w:val="19"/>
          <w:color w:val="2F2F45"/>
        </w:rPr>
        <w:t xml:space="preserve">To join and view the live webcast, please register </w:t>
      </w:r>
      <w:r>
        <w:rPr>
          <w:rFonts w:ascii="Calibri" w:cs="Calibri" w:eastAsia="Calibri" w:hAnsi="Calibri"/>
          <w:sz w:val="19"/>
          <w:szCs w:val="19"/>
          <w:color w:val="000000"/>
        </w:rPr>
        <w:t>here</w:t>
      </w:r>
      <w:r>
        <w:rPr>
          <w:rFonts w:ascii="Calibri" w:cs="Calibri" w:eastAsia="Calibri" w:hAnsi="Calibri"/>
          <w:sz w:val="19"/>
          <w:szCs w:val="19"/>
          <w:color w:val="2F2F45"/>
        </w:rPr>
        <w:t>.</w:t>
      </w:r>
    </w:p>
    <w:p>
      <w:pPr>
        <w:spacing w:after="0" w:line="10" w:lineRule="exact"/>
        <w:rPr>
          <w:rFonts w:ascii="Times New Roman" w:cs="Times New Roman" w:eastAsia="Times New Roman" w:hAnsi="Times New Roman"/>
          <w:sz w:val="19"/>
          <w:szCs w:val="19"/>
          <w:color w:val="2F2F45"/>
        </w:rPr>
      </w:pPr>
    </w:p>
    <w:p>
      <w:pPr>
        <w:ind w:left="1380" w:hanging="282"/>
        <w:spacing w:after="0" w:line="234" w:lineRule="auto"/>
        <w:tabs>
          <w:tab w:leader="none" w:pos="1380" w:val="left"/>
        </w:tabs>
        <w:numPr>
          <w:ilvl w:val="0"/>
          <w:numId w:val="4"/>
        </w:numPr>
        <w:rPr>
          <w:rFonts w:ascii="Times New Roman" w:cs="Times New Roman" w:eastAsia="Times New Roman" w:hAnsi="Times New Roman"/>
          <w:sz w:val="19"/>
          <w:szCs w:val="19"/>
          <w:color w:val="2F2F45"/>
        </w:rPr>
      </w:pPr>
      <w:r>
        <w:rPr>
          <w:rFonts w:ascii="Calibri" w:cs="Calibri" w:eastAsia="Calibri" w:hAnsi="Calibri"/>
          <w:sz w:val="19"/>
          <w:szCs w:val="19"/>
          <w:color w:val="2F2F45"/>
        </w:rPr>
        <w:t xml:space="preserve">To join by telephone, please register </w:t>
      </w:r>
      <w:r>
        <w:rPr>
          <w:rFonts w:ascii="Calibri" w:cs="Calibri" w:eastAsia="Calibri" w:hAnsi="Calibri"/>
          <w:sz w:val="19"/>
          <w:szCs w:val="19"/>
          <w:color w:val="000000"/>
        </w:rPr>
        <w:t>here</w:t>
      </w:r>
      <w:r>
        <w:rPr>
          <w:rFonts w:ascii="Calibri" w:cs="Calibri" w:eastAsia="Calibri" w:hAnsi="Calibri"/>
          <w:sz w:val="19"/>
          <w:szCs w:val="19"/>
          <w:color w:val="2F2F45"/>
        </w:rPr>
        <w:t>.</w:t>
      </w:r>
    </w:p>
    <w:p>
      <w:pPr>
        <w:spacing w:after="0" w:line="11" w:lineRule="exact"/>
        <w:rPr>
          <w:sz w:val="20"/>
          <w:szCs w:val="20"/>
          <w:color w:val="auto"/>
        </w:rPr>
      </w:pPr>
    </w:p>
    <w:p>
      <w:pPr>
        <w:ind w:left="820" w:right="739"/>
        <w:spacing w:after="0" w:line="239" w:lineRule="auto"/>
        <w:rPr>
          <w:sz w:val="20"/>
          <w:szCs w:val="20"/>
          <w:color w:val="auto"/>
        </w:rPr>
      </w:pPr>
      <w:r>
        <w:rPr>
          <w:rFonts w:ascii="Calibri" w:cs="Calibri" w:eastAsia="Calibri" w:hAnsi="Calibri"/>
          <w:sz w:val="19"/>
          <w:szCs w:val="19"/>
          <w:color w:val="2F2F45"/>
        </w:rPr>
        <w:t xml:space="preserve">For those unable to partcipate in the live event, a replay will be made available on P10’s investor relatons page at </w:t>
      </w:r>
      <w:r>
        <w:rPr>
          <w:rFonts w:ascii="Calibri" w:cs="Calibri" w:eastAsia="Calibri" w:hAnsi="Calibri"/>
          <w:sz w:val="19"/>
          <w:szCs w:val="19"/>
          <w:color w:val="000000"/>
        </w:rPr>
        <w:t>www.p10alts.com</w:t>
      </w:r>
      <w:r>
        <w:rPr>
          <w:rFonts w:ascii="Calibri" w:cs="Calibri" w:eastAsia="Calibri" w:hAnsi="Calibri"/>
          <w:sz w:val="19"/>
          <w:szCs w:val="19"/>
          <w:color w:val="2F2F45"/>
        </w:rPr>
        <w:t>.</w:t>
      </w:r>
    </w:p>
    <w:p>
      <w:pPr>
        <w:spacing w:after="0" w:line="242" w:lineRule="exact"/>
        <w:rPr>
          <w:sz w:val="20"/>
          <w:szCs w:val="20"/>
          <w:color w:val="auto"/>
        </w:rPr>
      </w:pPr>
    </w:p>
    <w:p>
      <w:pPr>
        <w:ind w:left="820"/>
        <w:spacing w:after="0"/>
        <w:rPr>
          <w:sz w:val="20"/>
          <w:szCs w:val="20"/>
          <w:color w:val="auto"/>
        </w:rPr>
      </w:pPr>
      <w:r>
        <w:rPr>
          <w:rFonts w:ascii="Calibri" w:cs="Calibri" w:eastAsia="Calibri" w:hAnsi="Calibri"/>
          <w:sz w:val="19"/>
          <w:szCs w:val="19"/>
          <w:b w:val="1"/>
          <w:bCs w:val="1"/>
          <w:color w:val="2F2F45"/>
        </w:rPr>
        <w:t>About P10</w:t>
      </w:r>
    </w:p>
    <w:p>
      <w:pPr>
        <w:spacing w:after="0" w:line="11" w:lineRule="exact"/>
        <w:rPr>
          <w:sz w:val="20"/>
          <w:szCs w:val="20"/>
          <w:color w:val="auto"/>
        </w:rPr>
      </w:pPr>
    </w:p>
    <w:p>
      <w:pPr>
        <w:ind w:left="820" w:right="459"/>
        <w:spacing w:after="0" w:line="243" w:lineRule="auto"/>
        <w:rPr>
          <w:sz w:val="20"/>
          <w:szCs w:val="20"/>
          <w:color w:val="auto"/>
        </w:rPr>
      </w:pPr>
      <w:r>
        <w:rPr>
          <w:rFonts w:ascii="Calibri" w:cs="Calibri" w:eastAsia="Calibri" w:hAnsi="Calibri"/>
          <w:sz w:val="19"/>
          <w:szCs w:val="19"/>
          <w:color w:val="302C45"/>
        </w:rPr>
        <w:t xml:space="preserve">P10 is a leading mult-asset class private markets solutons provider in the alternatve asset management industry. P10’s mission is to provide its investors diferentated access to a broad set of investment solutons that address their diverse investment needs within private markets. As of December 31, 2024, P10’s products have a global investor base of more than 3,800 investors across 50 states, 60 countries, and six contnents, which includes some of the world’s largest pension funds, endowments, foundatons, corporate pensions, and fnancial insttutons. Visit </w:t>
      </w:r>
      <w:r>
        <w:rPr>
          <w:rFonts w:ascii="Verdana" w:cs="Verdana" w:eastAsia="Verdana" w:hAnsi="Verdana"/>
          <w:sz w:val="15"/>
          <w:szCs w:val="15"/>
          <w:color w:val="000000"/>
        </w:rPr>
        <w:t>www.p10alts.com</w:t>
      </w:r>
      <w:r>
        <w:rPr>
          <w:rFonts w:ascii="Calibri" w:cs="Calibri" w:eastAsia="Calibri" w:hAnsi="Calibri"/>
          <w:sz w:val="19"/>
          <w:szCs w:val="19"/>
          <w:color w:val="302C45"/>
        </w:rPr>
        <w:t>.</w:t>
      </w:r>
    </w:p>
    <w:p>
      <w:pPr>
        <w:spacing w:after="0" w:line="288" w:lineRule="exact"/>
        <w:rPr>
          <w:sz w:val="20"/>
          <w:szCs w:val="20"/>
          <w:color w:val="auto"/>
        </w:rPr>
      </w:pPr>
    </w:p>
    <w:p>
      <w:pPr>
        <w:ind w:left="820"/>
        <w:spacing w:after="0"/>
        <w:rPr>
          <w:sz w:val="20"/>
          <w:szCs w:val="20"/>
          <w:color w:val="auto"/>
        </w:rPr>
      </w:pPr>
      <w:r>
        <w:rPr>
          <w:rFonts w:ascii="Calibri" w:cs="Calibri" w:eastAsia="Calibri" w:hAnsi="Calibri"/>
          <w:sz w:val="19"/>
          <w:szCs w:val="19"/>
          <w:b w:val="1"/>
          <w:bCs w:val="1"/>
          <w:color w:val="2F2F45"/>
        </w:rPr>
        <w:t>Forward-Looking Statements</w:t>
      </w:r>
    </w:p>
    <w:p>
      <w:pPr>
        <w:spacing w:after="0" w:line="105" w:lineRule="exact"/>
        <w:rPr>
          <w:sz w:val="20"/>
          <w:szCs w:val="20"/>
          <w:color w:val="auto"/>
        </w:rPr>
      </w:pPr>
    </w:p>
    <w:p>
      <w:pPr>
        <w:ind w:left="820" w:right="439"/>
        <w:spacing w:after="0" w:line="243" w:lineRule="auto"/>
        <w:rPr>
          <w:sz w:val="20"/>
          <w:szCs w:val="20"/>
          <w:color w:val="auto"/>
        </w:rPr>
      </w:pPr>
      <w:r>
        <w:rPr>
          <w:rFonts w:ascii="Calibri" w:cs="Calibri" w:eastAsia="Calibri" w:hAnsi="Calibri"/>
          <w:sz w:val="19"/>
          <w:szCs w:val="19"/>
          <w:color w:val="302C45"/>
        </w:rPr>
        <w:t>Some of the statements in this release may consttute “forward-looking statements” within the meaning of Secton 27A of the Securites Act of 1933, Secton 21E of the Securites Exchange Act of 1934 and the Private Securites Litgaton Reform Act of 1995. Words such as “will,” “expect,” “believe,” “estmate,” “contnue,” “antcipate,” “intend,” “plan” and similar expressions are intended to identfy these forward-looking statements. Forward-looking statements discuss management’s current expectatons and projectons relatng to our fnancial positon, results of operatons, plans, objectves, future performance, and business. The inclusion of any forward-looking informaton in this release should not be regarded as a representaton that the future plans, estmates, or expectatons contemplated will be achieved. Forward-looking statements refect management’s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786765</wp:posOffset>
            </wp:positionV>
            <wp:extent cx="616839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1438910</wp:posOffset>
            </wp:positionH>
            <wp:positionV relativeFrom="page">
              <wp:posOffset>276860</wp:posOffset>
            </wp:positionV>
            <wp:extent cx="1006475" cy="473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24" w:lineRule="exact"/>
        <w:rPr>
          <w:sz w:val="20"/>
          <w:szCs w:val="20"/>
          <w:color w:val="auto"/>
        </w:rPr>
      </w:pPr>
    </w:p>
    <w:p>
      <w:pPr>
        <w:ind w:left="820" w:right="419"/>
        <w:spacing w:after="0" w:line="244" w:lineRule="auto"/>
        <w:rPr>
          <w:sz w:val="20"/>
          <w:szCs w:val="20"/>
          <w:color w:val="auto"/>
        </w:rPr>
      </w:pPr>
      <w:r>
        <w:rPr>
          <w:rFonts w:ascii="Calibri" w:cs="Calibri" w:eastAsia="Calibri" w:hAnsi="Calibri"/>
          <w:sz w:val="19"/>
          <w:szCs w:val="19"/>
          <w:color w:val="302C45"/>
        </w:rPr>
        <w:t>current plans, estmates, and expectatons, and are inherently uncertain. All forward-looking statements are subject to known and unknown risks, uncertaintes, assumptons and other important factors that may cause actual results to be materially diferent, including risks relatng to: global and domestc market and business conditons; successful executon of business and growth strategies and regulatory factors relevant to our business; changes in our tax status; our ability to maintain our fee structure; our ability to atract and retain key employees; our ability to manage our obligatons under our debt agreements; our ability to make acquisitons and successfully integrate the businesses we acquire, including our pending acquisiton of Qualitas Funds SGEIC, S.A.; assumptons relatng to our operatons, fnancial results, fnancial conditon, business prospects and growth strategy; the impacts of emerging technologies, such as artfcial intelligence and machine learning; and our ability to manage the efects of events outside of our control. The foregoing list of factors is not exhaustve. For more informaton regarding these risks and uncertaintes as well as additonal risks that we face, you should refer to the “Risk Factors” included in our annual report on Form 10-K for the year ended December 31, 2023, fled with the U.S. Securites and Exchange Commission (“SEC”) on March 13, 2024, and in our subsequent reports fled from tme to tme with the SEC. The forward-looking statements included in this release are made only as of the date hereof. We undertake no obligaton to update or revise any forward-looking statement as a result of new informaton or future events, except as otherwise required by law.</w:t>
      </w:r>
    </w:p>
    <w:p>
      <w:pPr>
        <w:spacing w:after="0" w:line="291" w:lineRule="exact"/>
        <w:rPr>
          <w:sz w:val="20"/>
          <w:szCs w:val="20"/>
          <w:color w:val="auto"/>
        </w:rPr>
      </w:pPr>
    </w:p>
    <w:p>
      <w:pPr>
        <w:ind w:left="820"/>
        <w:spacing w:after="0"/>
        <w:rPr>
          <w:sz w:val="20"/>
          <w:szCs w:val="20"/>
          <w:color w:val="auto"/>
        </w:rPr>
      </w:pPr>
      <w:r>
        <w:rPr>
          <w:rFonts w:ascii="Calibri" w:cs="Calibri" w:eastAsia="Calibri" w:hAnsi="Calibri"/>
          <w:sz w:val="19"/>
          <w:szCs w:val="19"/>
          <w:b w:val="1"/>
          <w:bCs w:val="1"/>
          <w:color w:val="2F2F45"/>
        </w:rPr>
        <w:t>Use of Non-GAAP Financial Measures by P10</w:t>
      </w:r>
    </w:p>
    <w:p>
      <w:pPr>
        <w:spacing w:after="0" w:line="105" w:lineRule="exact"/>
        <w:rPr>
          <w:sz w:val="20"/>
          <w:szCs w:val="20"/>
          <w:color w:val="auto"/>
        </w:rPr>
      </w:pPr>
    </w:p>
    <w:p>
      <w:pPr>
        <w:ind w:left="820" w:right="439"/>
        <w:spacing w:after="0" w:line="244" w:lineRule="auto"/>
        <w:rPr>
          <w:sz w:val="20"/>
          <w:szCs w:val="20"/>
          <w:color w:val="auto"/>
        </w:rPr>
      </w:pPr>
      <w:r>
        <w:rPr>
          <w:rFonts w:ascii="Calibri" w:cs="Calibri" w:eastAsia="Calibri" w:hAnsi="Calibri"/>
          <w:sz w:val="19"/>
          <w:szCs w:val="19"/>
          <w:color w:val="302C45"/>
        </w:rPr>
        <w:t>The non-GAAP fnancial measures contained in this press release (including, without limitaton, Adjusted EBITDA, Adjusted EBITDA Margin, Fee-Related Revenue (“FRR”), Fee-Related Earnings (“FRE”), Fee-Related Earnings Margin, Adjusted Net Income (“ANI”) and, Fully Diluted ANI per share are not GAAP measures of the Company’s fnancial performance or liquidity and should not be considered as alternatves to net income (loss) as a measure of fnancial performance or cash fows from operatons as measures of liquidity, or any other performance measure derived in accordance with GAAP. A reconciliaton of such non-GAAP measures to their most directly comparable GAAP measure is included later in this press release. The Company believes the presentaton of these non-GAAP measures provide useful additonal informaton to investors because it provides beter comparability of ongoing operatng performance to prior periods. It is reasonable to expect that one or more excluded items will occur in future periods, but the amounts recognized can vary signifcantly from period to period. These non-GAAP measures should not be considered substtutes for net income or cash fows from operatng, investng, or fnancing actvites. You are encouraged to evaluate each adjustment to non-GAAP fnancial measures and the reasons management considers it appropriate for supplemental analysis. Our presentaton of these measures should not be construed as an inference that our future results will be unafected by unusual or non-recurring items.</w:t>
      </w:r>
    </w:p>
    <w:p>
      <w:pPr>
        <w:spacing w:after="0" w:line="289" w:lineRule="exact"/>
        <w:rPr>
          <w:sz w:val="20"/>
          <w:szCs w:val="20"/>
          <w:color w:val="auto"/>
        </w:rPr>
      </w:pPr>
    </w:p>
    <w:p>
      <w:pPr>
        <w:ind w:left="820"/>
        <w:spacing w:after="0"/>
        <w:rPr>
          <w:sz w:val="20"/>
          <w:szCs w:val="20"/>
          <w:color w:val="auto"/>
        </w:rPr>
      </w:pPr>
      <w:r>
        <w:rPr>
          <w:rFonts w:ascii="Calibri" w:cs="Calibri" w:eastAsia="Calibri" w:hAnsi="Calibri"/>
          <w:sz w:val="19"/>
          <w:szCs w:val="19"/>
          <w:b w:val="1"/>
          <w:bCs w:val="1"/>
          <w:color w:val="2F2F45"/>
        </w:rPr>
        <w:t>Key Financial &amp; Operatng Metrics</w:t>
      </w:r>
    </w:p>
    <w:p>
      <w:pPr>
        <w:spacing w:after="0" w:line="105" w:lineRule="exact"/>
        <w:rPr>
          <w:sz w:val="20"/>
          <w:szCs w:val="20"/>
          <w:color w:val="auto"/>
        </w:rPr>
      </w:pPr>
    </w:p>
    <w:p>
      <w:pPr>
        <w:ind w:left="820" w:right="419"/>
        <w:spacing w:after="0" w:line="239" w:lineRule="auto"/>
        <w:rPr>
          <w:sz w:val="20"/>
          <w:szCs w:val="20"/>
          <w:color w:val="auto"/>
        </w:rPr>
      </w:pPr>
      <w:r>
        <w:rPr>
          <w:rFonts w:ascii="Calibri" w:cs="Calibri" w:eastAsia="Calibri" w:hAnsi="Calibri"/>
          <w:sz w:val="19"/>
          <w:szCs w:val="19"/>
          <w:color w:val="302C45"/>
        </w:rPr>
        <w:t>Fee-paying assets under management refects the assets from which we earn management and advisory fees. Our vehicles typically earn management and advisory fees based on commited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784225</wp:posOffset>
            </wp:positionV>
            <wp:extent cx="616839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1438910</wp:posOffset>
            </wp:positionH>
            <wp:positionV relativeFrom="page">
              <wp:posOffset>276860</wp:posOffset>
            </wp:positionV>
            <wp:extent cx="1006475" cy="473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24" w:lineRule="exact"/>
        <w:rPr>
          <w:sz w:val="20"/>
          <w:szCs w:val="20"/>
          <w:color w:val="auto"/>
        </w:rPr>
      </w:pPr>
    </w:p>
    <w:p>
      <w:pPr>
        <w:ind w:left="820" w:right="719"/>
        <w:spacing w:after="0" w:line="239" w:lineRule="auto"/>
        <w:rPr>
          <w:sz w:val="20"/>
          <w:szCs w:val="20"/>
          <w:color w:val="auto"/>
        </w:rPr>
      </w:pPr>
      <w:r>
        <w:rPr>
          <w:rFonts w:ascii="Calibri" w:cs="Calibri" w:eastAsia="Calibri" w:hAnsi="Calibri"/>
          <w:sz w:val="19"/>
          <w:szCs w:val="19"/>
          <w:color w:val="302C45"/>
        </w:rPr>
        <w:t>and in certain cases, net invested capital, depending on the fee terms. Management and advisory fees based on commited capital are not afected by market appreciaton or depreciaton.</w:t>
      </w:r>
    </w:p>
    <w:p>
      <w:pPr>
        <w:spacing w:after="0" w:line="242" w:lineRule="exact"/>
        <w:rPr>
          <w:sz w:val="20"/>
          <w:szCs w:val="20"/>
          <w:color w:val="auto"/>
        </w:rPr>
      </w:pPr>
    </w:p>
    <w:p>
      <w:pPr>
        <w:ind w:left="820"/>
        <w:spacing w:after="0"/>
        <w:rPr>
          <w:sz w:val="20"/>
          <w:szCs w:val="20"/>
          <w:color w:val="auto"/>
        </w:rPr>
      </w:pPr>
      <w:r>
        <w:rPr>
          <w:rFonts w:ascii="Calibri" w:cs="Calibri" w:eastAsia="Calibri" w:hAnsi="Calibri"/>
          <w:sz w:val="19"/>
          <w:szCs w:val="19"/>
          <w:b w:val="1"/>
          <w:bCs w:val="1"/>
          <w:color w:val="2F2F45"/>
        </w:rPr>
        <w:t>P10 Investor Contact:</w:t>
      </w:r>
    </w:p>
    <w:p>
      <w:pPr>
        <w:spacing w:after="0" w:line="5" w:lineRule="exact"/>
        <w:rPr>
          <w:sz w:val="20"/>
          <w:szCs w:val="20"/>
          <w:color w:val="auto"/>
        </w:rPr>
      </w:pPr>
    </w:p>
    <w:p>
      <w:pPr>
        <w:ind w:left="820"/>
        <w:spacing w:after="0"/>
        <w:rPr>
          <w:sz w:val="20"/>
          <w:szCs w:val="20"/>
          <w:color w:val="auto"/>
        </w:rPr>
      </w:pPr>
      <w:r>
        <w:rPr>
          <w:rFonts w:ascii="Calibri" w:cs="Calibri" w:eastAsia="Calibri" w:hAnsi="Calibri"/>
          <w:sz w:val="19"/>
          <w:szCs w:val="19"/>
          <w:color w:val="0563C1"/>
        </w:rPr>
        <w:t>info@p10alts.com</w:t>
      </w:r>
    </w:p>
    <w:p>
      <w:pPr>
        <w:spacing w:after="0" w:line="5" w:lineRule="exact"/>
        <w:rPr>
          <w:sz w:val="20"/>
          <w:szCs w:val="20"/>
          <w:color w:val="auto"/>
        </w:rPr>
      </w:pPr>
    </w:p>
    <w:p>
      <w:pPr>
        <w:ind w:left="820"/>
        <w:spacing w:after="0"/>
        <w:rPr>
          <w:sz w:val="20"/>
          <w:szCs w:val="20"/>
          <w:color w:val="auto"/>
        </w:rPr>
      </w:pPr>
      <w:r>
        <w:rPr>
          <w:rFonts w:ascii="Calibri" w:cs="Calibri" w:eastAsia="Calibri" w:hAnsi="Calibri"/>
          <w:sz w:val="19"/>
          <w:szCs w:val="19"/>
          <w:b w:val="1"/>
          <w:bCs w:val="1"/>
          <w:color w:val="2F2F45"/>
        </w:rPr>
        <w:t>P10 Media Contact:</w:t>
      </w:r>
    </w:p>
    <w:p>
      <w:pPr>
        <w:spacing w:after="0" w:line="5" w:lineRule="exact"/>
        <w:rPr>
          <w:sz w:val="20"/>
          <w:szCs w:val="20"/>
          <w:color w:val="auto"/>
        </w:rPr>
      </w:pPr>
    </w:p>
    <w:p>
      <w:pPr>
        <w:ind w:left="820"/>
        <w:spacing w:after="0"/>
        <w:rPr>
          <w:sz w:val="20"/>
          <w:szCs w:val="20"/>
          <w:color w:val="auto"/>
        </w:rPr>
      </w:pPr>
      <w:r>
        <w:rPr>
          <w:rFonts w:ascii="Calibri" w:cs="Calibri" w:eastAsia="Calibri" w:hAnsi="Calibri"/>
          <w:sz w:val="19"/>
          <w:szCs w:val="19"/>
          <w:color w:val="2F2F45"/>
        </w:rPr>
        <w:t>Josh Clarkson</w:t>
      </w:r>
    </w:p>
    <w:p>
      <w:pPr>
        <w:spacing w:after="0" w:line="5" w:lineRule="exact"/>
        <w:rPr>
          <w:sz w:val="20"/>
          <w:szCs w:val="20"/>
          <w:color w:val="auto"/>
        </w:rPr>
      </w:pPr>
    </w:p>
    <w:p>
      <w:pPr>
        <w:ind w:left="820"/>
        <w:spacing w:after="0"/>
        <w:rPr>
          <w:sz w:val="20"/>
          <w:szCs w:val="20"/>
          <w:color w:val="auto"/>
        </w:rPr>
      </w:pPr>
      <w:r>
        <w:rPr>
          <w:rFonts w:ascii="Calibri" w:cs="Calibri" w:eastAsia="Calibri" w:hAnsi="Calibri"/>
          <w:sz w:val="19"/>
          <w:szCs w:val="19"/>
          <w:color w:val="2F2F45"/>
        </w:rPr>
        <w:t>Taylor Donahue</w:t>
      </w:r>
    </w:p>
    <w:p>
      <w:pPr>
        <w:spacing w:after="0" w:line="5" w:lineRule="exact"/>
        <w:rPr>
          <w:sz w:val="20"/>
          <w:szCs w:val="20"/>
          <w:color w:val="auto"/>
        </w:rPr>
      </w:pPr>
    </w:p>
    <w:p>
      <w:pPr>
        <w:ind w:left="820"/>
        <w:spacing w:after="0"/>
        <w:rPr>
          <w:sz w:val="20"/>
          <w:szCs w:val="20"/>
          <w:color w:val="auto"/>
        </w:rPr>
      </w:pPr>
      <w:r>
        <w:rPr>
          <w:rFonts w:ascii="Calibri" w:cs="Calibri" w:eastAsia="Calibri" w:hAnsi="Calibri"/>
          <w:sz w:val="19"/>
          <w:szCs w:val="19"/>
          <w:color w:val="auto"/>
        </w:rPr>
        <w:t>jclarkson@prosek.com</w:t>
      </w:r>
    </w:p>
    <w:p>
      <w:pPr>
        <w:spacing w:after="0" w:line="241" w:lineRule="exact"/>
        <w:rPr>
          <w:sz w:val="20"/>
          <w:szCs w:val="20"/>
          <w:color w:val="auto"/>
        </w:rPr>
      </w:pPr>
    </w:p>
    <w:p>
      <w:pPr>
        <w:ind w:left="2820"/>
        <w:spacing w:after="0"/>
        <w:rPr>
          <w:sz w:val="20"/>
          <w:szCs w:val="20"/>
          <w:color w:val="auto"/>
        </w:rPr>
      </w:pPr>
      <w:r>
        <w:rPr>
          <w:rFonts w:ascii="Calibri" w:cs="Calibri" w:eastAsia="Calibri" w:hAnsi="Calibri"/>
          <w:sz w:val="19"/>
          <w:szCs w:val="19"/>
          <w:b w:val="1"/>
          <w:bCs w:val="1"/>
          <w:color w:val="2F2F45"/>
        </w:rPr>
        <w:t>Reconciliaton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wp:posOffset>
            </wp:positionV>
            <wp:extent cx="4949190" cy="2861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49190" cy="286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20" w:right="599" w:hanging="6"/>
        <w:spacing w:after="0" w:line="255" w:lineRule="auto"/>
        <w:tabs>
          <w:tab w:leader="none" w:pos="989" w:val="left"/>
        </w:tabs>
        <w:numPr>
          <w:ilvl w:val="0"/>
          <w:numId w:val="5"/>
        </w:numPr>
        <w:rPr>
          <w:rFonts w:ascii="Calibri" w:cs="Calibri" w:eastAsia="Calibri" w:hAnsi="Calibri"/>
          <w:sz w:val="12"/>
          <w:szCs w:val="12"/>
          <w:color w:val="302C45"/>
        </w:rPr>
      </w:pPr>
      <w:r>
        <w:rPr>
          <w:rFonts w:ascii="Calibri" w:cs="Calibri" w:eastAsia="Calibri" w:hAnsi="Calibri"/>
          <w:sz w:val="12"/>
          <w:szCs w:val="12"/>
          <w:color w:val="302C45"/>
        </w:rPr>
        <w:t>Fully Diluted ANI per share calculatons include the total of all shares of common stock, stock optons under the treasury stock method, restricted stock awards, and the redeemable non-controlling interests of P10 Intermediate converted to Class A stock as of each period presented.</w:t>
      </w:r>
    </w:p>
    <w:p>
      <w:pPr>
        <w:spacing w:after="0" w:line="142" w:lineRule="exact"/>
        <w:rPr>
          <w:sz w:val="20"/>
          <w:szCs w:val="20"/>
          <w:color w:val="auto"/>
        </w:rPr>
      </w:pPr>
    </w:p>
    <w:p>
      <w:pPr>
        <w:ind w:left="2480"/>
        <w:spacing w:after="0"/>
        <w:rPr>
          <w:sz w:val="20"/>
          <w:szCs w:val="20"/>
          <w:color w:val="auto"/>
        </w:rPr>
      </w:pPr>
      <w:r>
        <w:rPr>
          <w:rFonts w:ascii="Calibri" w:cs="Calibri" w:eastAsia="Calibri" w:hAnsi="Calibri"/>
          <w:sz w:val="19"/>
          <w:szCs w:val="19"/>
          <w:b w:val="1"/>
          <w:bCs w:val="1"/>
          <w:color w:val="2F2F45"/>
        </w:rPr>
        <w:t>Notes to Reconciliaton of Non-GAAP Financial Measures</w:t>
      </w:r>
    </w:p>
    <w:p>
      <w:pPr>
        <w:spacing w:after="0" w:line="11" w:lineRule="exact"/>
        <w:rPr>
          <w:sz w:val="20"/>
          <w:szCs w:val="20"/>
          <w:color w:val="auto"/>
        </w:rPr>
      </w:pPr>
    </w:p>
    <w:p>
      <w:pPr>
        <w:ind w:left="820" w:right="479"/>
        <w:spacing w:after="0" w:line="243" w:lineRule="auto"/>
        <w:rPr>
          <w:sz w:val="20"/>
          <w:szCs w:val="20"/>
          <w:color w:val="auto"/>
        </w:rPr>
      </w:pPr>
      <w:r>
        <w:rPr>
          <w:rFonts w:ascii="Calibri" w:cs="Calibri" w:eastAsia="Calibri" w:hAnsi="Calibri"/>
          <w:sz w:val="19"/>
          <w:szCs w:val="19"/>
          <w:color w:val="auto"/>
        </w:rPr>
        <w:t>Above is a calculaton of our unaudited non-GAAP fnancial measures. These are not measures of fnancial performance under GAAP and should not be construed as a substtute for the most directly comparable GAAP measures, which are reconciled in the table above. These measures have limitatons as analytcal tools, and when assessing our operatng performance, you should not consider these measures in isolaton or as a substtute for GAAP measures. Other companies may calculate these measures diferently than we do, limitng their usefulness as a comparatve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904240</wp:posOffset>
            </wp:positionV>
            <wp:extent cx="616839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1438910</wp:posOffset>
            </wp:positionH>
            <wp:positionV relativeFrom="page">
              <wp:posOffset>276860</wp:posOffset>
            </wp:positionV>
            <wp:extent cx="1006475" cy="473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ind w:left="820" w:right="419"/>
        <w:spacing w:after="0" w:line="243" w:lineRule="auto"/>
        <w:rPr>
          <w:sz w:val="20"/>
          <w:szCs w:val="20"/>
          <w:color w:val="auto"/>
        </w:rPr>
      </w:pPr>
      <w:r>
        <w:rPr>
          <w:rFonts w:ascii="Calibri" w:cs="Calibri" w:eastAsia="Calibri" w:hAnsi="Calibri"/>
          <w:sz w:val="19"/>
          <w:szCs w:val="19"/>
          <w:color w:val="auto"/>
        </w:rPr>
        <w:t>We use Adjusted Net Income, or ANI, as well as Adjusted EBITDA (Earnings Before Interest, Taxes, Depreciaton and Amortzaton), Adjusted EBITDA Margin, Fee-Related Revenues, Fee-Related Earnings and Fee-Related Earnings Margin to provide additonal measures of proftability. We use the measures to assess our performance relatve to our intended strategies, expected paterns of proftability, and budgets, and use the results of that assessment to adjust our future actvites to the extent we deem necessary. ANI refects an estmate of our cash fows generated by our core operatons. ANI is calculated as Adjusted EBITDA, less actual cash paid for interest and federal and state income taxes.</w:t>
      </w:r>
    </w:p>
    <w:p>
      <w:pPr>
        <w:spacing w:after="0" w:line="197" w:lineRule="exact"/>
        <w:rPr>
          <w:sz w:val="20"/>
          <w:szCs w:val="20"/>
          <w:color w:val="auto"/>
        </w:rPr>
      </w:pPr>
    </w:p>
    <w:p>
      <w:pPr>
        <w:ind w:left="820"/>
        <w:spacing w:after="0"/>
        <w:rPr>
          <w:sz w:val="20"/>
          <w:szCs w:val="20"/>
          <w:color w:val="auto"/>
        </w:rPr>
      </w:pPr>
      <w:r>
        <w:rPr>
          <w:rFonts w:ascii="Calibri" w:cs="Calibri" w:eastAsia="Calibri" w:hAnsi="Calibri"/>
          <w:sz w:val="19"/>
          <w:szCs w:val="19"/>
          <w:color w:val="auto"/>
        </w:rPr>
        <w:t>In order to compute Adjusted EBITDA, we adjust our GAAP Net Income for the following items:</w:t>
      </w:r>
    </w:p>
    <w:p>
      <w:pPr>
        <w:spacing w:after="0" w:line="200" w:lineRule="exact"/>
        <w:rPr>
          <w:sz w:val="20"/>
          <w:szCs w:val="20"/>
          <w:color w:val="auto"/>
        </w:rPr>
      </w:pPr>
    </w:p>
    <w:p>
      <w:pPr>
        <w:ind w:left="1380" w:right="679" w:hanging="282"/>
        <w:spacing w:after="0" w:line="239" w:lineRule="auto"/>
        <w:tabs>
          <w:tab w:leader="none" w:pos="1380" w:val="left"/>
        </w:tabs>
        <w:numPr>
          <w:ilvl w:val="0"/>
          <w:numId w:val="6"/>
        </w:numPr>
        <w:rPr>
          <w:rFonts w:ascii="Times New Roman" w:cs="Times New Roman" w:eastAsia="Times New Roman" w:hAnsi="Times New Roman"/>
          <w:sz w:val="19"/>
          <w:szCs w:val="19"/>
          <w:color w:val="auto"/>
        </w:rPr>
      </w:pPr>
      <w:r>
        <w:rPr>
          <w:rFonts w:ascii="Calibri" w:cs="Calibri" w:eastAsia="Calibri" w:hAnsi="Calibri"/>
          <w:sz w:val="19"/>
          <w:szCs w:val="19"/>
          <w:color w:val="auto"/>
        </w:rPr>
        <w:t>Expenses that typically do not require us to pay them in cash in the current period (such as depreciaton, amortzaton and stock-based compensaton);</w:t>
      </w:r>
    </w:p>
    <w:p>
      <w:pPr>
        <w:spacing w:after="0" w:line="194" w:lineRule="exact"/>
        <w:rPr>
          <w:rFonts w:ascii="Times New Roman" w:cs="Times New Roman" w:eastAsia="Times New Roman" w:hAnsi="Times New Roman"/>
          <w:sz w:val="19"/>
          <w:szCs w:val="19"/>
          <w:color w:val="auto"/>
        </w:rPr>
      </w:pPr>
    </w:p>
    <w:p>
      <w:pPr>
        <w:ind w:left="1380" w:hanging="282"/>
        <w:spacing w:after="0"/>
        <w:tabs>
          <w:tab w:leader="none" w:pos="1380" w:val="left"/>
        </w:tabs>
        <w:numPr>
          <w:ilvl w:val="0"/>
          <w:numId w:val="6"/>
        </w:numPr>
        <w:rPr>
          <w:rFonts w:ascii="Times New Roman" w:cs="Times New Roman" w:eastAsia="Times New Roman" w:hAnsi="Times New Roman"/>
          <w:sz w:val="19"/>
          <w:szCs w:val="19"/>
          <w:color w:val="auto"/>
        </w:rPr>
      </w:pPr>
      <w:r>
        <w:rPr>
          <w:rFonts w:ascii="Calibri" w:cs="Calibri" w:eastAsia="Calibri" w:hAnsi="Calibri"/>
          <w:sz w:val="19"/>
          <w:szCs w:val="19"/>
          <w:color w:val="auto"/>
        </w:rPr>
        <w:t>The cost of fnancing our business;</w:t>
      </w:r>
    </w:p>
    <w:p>
      <w:pPr>
        <w:spacing w:after="0" w:line="199" w:lineRule="exact"/>
        <w:rPr>
          <w:rFonts w:ascii="Times New Roman" w:cs="Times New Roman" w:eastAsia="Times New Roman" w:hAnsi="Times New Roman"/>
          <w:sz w:val="19"/>
          <w:szCs w:val="19"/>
          <w:color w:val="auto"/>
        </w:rPr>
      </w:pPr>
    </w:p>
    <w:p>
      <w:pPr>
        <w:ind w:left="1380" w:right="1559" w:hanging="282"/>
        <w:spacing w:after="0" w:line="239" w:lineRule="auto"/>
        <w:tabs>
          <w:tab w:leader="none" w:pos="1380" w:val="left"/>
        </w:tabs>
        <w:numPr>
          <w:ilvl w:val="0"/>
          <w:numId w:val="6"/>
        </w:numPr>
        <w:rPr>
          <w:rFonts w:ascii="Times New Roman" w:cs="Times New Roman" w:eastAsia="Times New Roman" w:hAnsi="Times New Roman"/>
          <w:sz w:val="19"/>
          <w:szCs w:val="19"/>
          <w:color w:val="auto"/>
        </w:rPr>
      </w:pPr>
      <w:r>
        <w:rPr>
          <w:rFonts w:ascii="Calibri" w:cs="Calibri" w:eastAsia="Calibri" w:hAnsi="Calibri"/>
          <w:sz w:val="19"/>
          <w:szCs w:val="19"/>
          <w:color w:val="auto"/>
        </w:rPr>
        <w:t>One-tme expenses related to restructuring of the management team including placement/search fees;</w:t>
      </w:r>
    </w:p>
    <w:p>
      <w:pPr>
        <w:spacing w:after="0" w:line="194" w:lineRule="exact"/>
        <w:rPr>
          <w:rFonts w:ascii="Times New Roman" w:cs="Times New Roman" w:eastAsia="Times New Roman" w:hAnsi="Times New Roman"/>
          <w:sz w:val="19"/>
          <w:szCs w:val="19"/>
          <w:color w:val="auto"/>
        </w:rPr>
      </w:pPr>
    </w:p>
    <w:p>
      <w:pPr>
        <w:ind w:left="1380" w:hanging="282"/>
        <w:spacing w:after="0"/>
        <w:tabs>
          <w:tab w:leader="none" w:pos="1380" w:val="left"/>
        </w:tabs>
        <w:numPr>
          <w:ilvl w:val="0"/>
          <w:numId w:val="6"/>
        </w:numPr>
        <w:rPr>
          <w:rFonts w:ascii="Times New Roman" w:cs="Times New Roman" w:eastAsia="Times New Roman" w:hAnsi="Times New Roman"/>
          <w:sz w:val="19"/>
          <w:szCs w:val="19"/>
          <w:color w:val="auto"/>
        </w:rPr>
      </w:pPr>
      <w:r>
        <w:rPr>
          <w:rFonts w:ascii="Calibri" w:cs="Calibri" w:eastAsia="Calibri" w:hAnsi="Calibri"/>
          <w:sz w:val="19"/>
          <w:szCs w:val="19"/>
          <w:color w:val="auto"/>
        </w:rPr>
        <w:t>Expenses related to the debt refnance completed in August 2024;</w:t>
      </w:r>
    </w:p>
    <w:p>
      <w:pPr>
        <w:spacing w:after="0" w:line="199" w:lineRule="exact"/>
        <w:rPr>
          <w:rFonts w:ascii="Times New Roman" w:cs="Times New Roman" w:eastAsia="Times New Roman" w:hAnsi="Times New Roman"/>
          <w:sz w:val="19"/>
          <w:szCs w:val="19"/>
          <w:color w:val="auto"/>
        </w:rPr>
      </w:pPr>
    </w:p>
    <w:p>
      <w:pPr>
        <w:ind w:left="1380" w:right="419" w:hanging="282"/>
        <w:spacing w:after="0" w:line="242" w:lineRule="auto"/>
        <w:tabs>
          <w:tab w:leader="none" w:pos="1380" w:val="left"/>
        </w:tabs>
        <w:numPr>
          <w:ilvl w:val="0"/>
          <w:numId w:val="6"/>
        </w:numPr>
        <w:rPr>
          <w:rFonts w:ascii="Times New Roman" w:cs="Times New Roman" w:eastAsia="Times New Roman" w:hAnsi="Times New Roman"/>
          <w:sz w:val="19"/>
          <w:szCs w:val="19"/>
          <w:color w:val="auto"/>
        </w:rPr>
      </w:pPr>
      <w:r>
        <w:rPr>
          <w:rFonts w:ascii="Calibri" w:cs="Calibri" w:eastAsia="Calibri" w:hAnsi="Calibri"/>
          <w:sz w:val="19"/>
          <w:szCs w:val="19"/>
          <w:color w:val="auto"/>
        </w:rPr>
        <w:t>Acquisiton-related expenses which refects the actual costs incurred during the period for the acquisiton of new businesses, which primarily consists of fees for professional services including legal, accountng, and advisory, as well as bonuses paid to employees directly related to the acquisiton; and</w:t>
      </w:r>
    </w:p>
    <w:p>
      <w:pPr>
        <w:spacing w:after="0" w:line="193" w:lineRule="exact"/>
        <w:rPr>
          <w:rFonts w:ascii="Times New Roman" w:cs="Times New Roman" w:eastAsia="Times New Roman" w:hAnsi="Times New Roman"/>
          <w:sz w:val="19"/>
          <w:szCs w:val="19"/>
          <w:color w:val="auto"/>
        </w:rPr>
      </w:pPr>
    </w:p>
    <w:p>
      <w:pPr>
        <w:ind w:left="1380" w:hanging="282"/>
        <w:spacing w:after="0"/>
        <w:tabs>
          <w:tab w:leader="none" w:pos="1380" w:val="left"/>
        </w:tabs>
        <w:numPr>
          <w:ilvl w:val="0"/>
          <w:numId w:val="6"/>
        </w:numPr>
        <w:rPr>
          <w:rFonts w:ascii="Times New Roman" w:cs="Times New Roman" w:eastAsia="Times New Roman" w:hAnsi="Times New Roman"/>
          <w:sz w:val="19"/>
          <w:szCs w:val="19"/>
          <w:color w:val="auto"/>
        </w:rPr>
      </w:pPr>
      <w:r>
        <w:rPr>
          <w:rFonts w:ascii="Calibri" w:cs="Calibri" w:eastAsia="Calibri" w:hAnsi="Calibri"/>
          <w:sz w:val="19"/>
          <w:szCs w:val="19"/>
          <w:color w:val="auto"/>
        </w:rPr>
        <w:t>The efects of income taxes.</w:t>
      </w:r>
    </w:p>
    <w:p>
      <w:pPr>
        <w:spacing w:after="0" w:line="194" w:lineRule="exact"/>
        <w:rPr>
          <w:sz w:val="20"/>
          <w:szCs w:val="20"/>
          <w:color w:val="auto"/>
        </w:rPr>
      </w:pPr>
    </w:p>
    <w:p>
      <w:pPr>
        <w:ind w:left="820"/>
        <w:spacing w:after="0"/>
        <w:rPr>
          <w:sz w:val="20"/>
          <w:szCs w:val="20"/>
          <w:color w:val="auto"/>
        </w:rPr>
      </w:pPr>
      <w:r>
        <w:rPr>
          <w:rFonts w:ascii="Calibri" w:cs="Calibri" w:eastAsia="Calibri" w:hAnsi="Calibri"/>
          <w:sz w:val="19"/>
          <w:szCs w:val="19"/>
          <w:color w:val="auto"/>
        </w:rPr>
        <w:t>Fee-Related Revenues is calculated as Total Revenues less any incentve fees.</w:t>
      </w:r>
    </w:p>
    <w:p>
      <w:pPr>
        <w:spacing w:after="0" w:line="200" w:lineRule="exact"/>
        <w:rPr>
          <w:sz w:val="20"/>
          <w:szCs w:val="20"/>
          <w:color w:val="auto"/>
        </w:rPr>
      </w:pPr>
    </w:p>
    <w:p>
      <w:pPr>
        <w:ind w:left="820" w:right="399"/>
        <w:spacing w:after="0" w:line="239" w:lineRule="auto"/>
        <w:rPr>
          <w:sz w:val="20"/>
          <w:szCs w:val="20"/>
          <w:color w:val="auto"/>
        </w:rPr>
      </w:pPr>
      <w:r>
        <w:rPr>
          <w:rFonts w:ascii="Calibri" w:cs="Calibri" w:eastAsia="Calibri" w:hAnsi="Calibri"/>
          <w:sz w:val="19"/>
          <w:szCs w:val="19"/>
          <w:color w:val="auto"/>
        </w:rPr>
        <w:t>Fee-Related Earnings is a non-GAAP performance measure used to monitor our baseline earnings less any incentve fee revenue and excluding any incentve fee-related expenses.</w:t>
      </w:r>
    </w:p>
    <w:p>
      <w:pPr>
        <w:spacing w:after="0" w:line="194" w:lineRule="exact"/>
        <w:rPr>
          <w:sz w:val="20"/>
          <w:szCs w:val="20"/>
          <w:color w:val="auto"/>
        </w:rPr>
      </w:pPr>
    </w:p>
    <w:p>
      <w:pPr>
        <w:ind w:left="820"/>
        <w:spacing w:after="0"/>
        <w:rPr>
          <w:sz w:val="20"/>
          <w:szCs w:val="20"/>
          <w:color w:val="auto"/>
        </w:rPr>
      </w:pPr>
      <w:r>
        <w:rPr>
          <w:rFonts w:ascii="Calibri" w:cs="Calibri" w:eastAsia="Calibri" w:hAnsi="Calibri"/>
          <w:sz w:val="19"/>
          <w:szCs w:val="19"/>
          <w:color w:val="auto"/>
        </w:rPr>
        <w:t>Fee-Related Earnings Margin is calculated as Fee-Related Earnings divided by Fee-Related Revenues.</w:t>
      </w:r>
    </w:p>
    <w:p>
      <w:pPr>
        <w:spacing w:after="0" w:line="200" w:lineRule="exact"/>
        <w:rPr>
          <w:sz w:val="20"/>
          <w:szCs w:val="20"/>
          <w:color w:val="auto"/>
        </w:rPr>
      </w:pPr>
    </w:p>
    <w:p>
      <w:pPr>
        <w:ind w:left="820" w:right="879"/>
        <w:spacing w:after="0" w:line="239" w:lineRule="auto"/>
        <w:rPr>
          <w:sz w:val="20"/>
          <w:szCs w:val="20"/>
          <w:color w:val="auto"/>
        </w:rPr>
      </w:pPr>
      <w:r>
        <w:rPr>
          <w:rFonts w:ascii="Calibri" w:cs="Calibri" w:eastAsia="Calibri" w:hAnsi="Calibri"/>
          <w:sz w:val="19"/>
          <w:szCs w:val="19"/>
          <w:color w:val="auto"/>
        </w:rPr>
        <w:t>Adjusted Net Income refects net cash paid for federal and state income taxes and cash interest expense.</w:t>
      </w:r>
    </w:p>
    <w:p>
      <w:pPr>
        <w:spacing w:after="0" w:line="200" w:lineRule="exact"/>
        <w:rPr>
          <w:sz w:val="20"/>
          <w:szCs w:val="20"/>
          <w:color w:val="auto"/>
        </w:rPr>
      </w:pPr>
    </w:p>
    <w:p>
      <w:pPr>
        <w:ind w:left="820" w:right="659"/>
        <w:spacing w:after="0" w:line="239" w:lineRule="auto"/>
        <w:rPr>
          <w:sz w:val="20"/>
          <w:szCs w:val="20"/>
          <w:color w:val="auto"/>
        </w:rPr>
      </w:pPr>
      <w:r>
        <w:rPr>
          <w:rFonts w:ascii="Calibri" w:cs="Calibri" w:eastAsia="Calibri" w:hAnsi="Calibri"/>
          <w:sz w:val="19"/>
          <w:szCs w:val="19"/>
          <w:color w:val="auto"/>
        </w:rPr>
        <w:t>Adjusted EBITDA Margin is calculated as Adjusted EBITDA divided by total GAAP revenues. We use Adjusted EBITDA Margin to provide an additonal measure of proftability.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1024890</wp:posOffset>
            </wp:positionV>
            <wp:extent cx="616839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840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5645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564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2025-02-12T06:59:41Z</dcterms:created>
  <dcterms:modified xsi:type="dcterms:W3CDTF">2025-02-12T06:59:41Z</dcterms:modified>
</cp:coreProperties>
</file>