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20"/>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1100"/>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P10,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TO BE HELD ON DECEMBER 9, 2022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P10, Inc. Stockholders: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Notice is hereby given that P10, Inc. (the “Company,” “P10,” “we,” “us” or “our”) will hold a special meeting of stockholders (the “Special</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Meeting”) on Friday, December 9, 2022 at 9:30 a.m. local time at 4514 Cole Ave, 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Floor, Dallas, TX 75205 for the following purposes:</w:t>
      </w:r>
    </w:p>
    <w:p>
      <w:pPr>
        <w:spacing w:after="0" w:line="40" w:lineRule="exact"/>
        <w:rPr>
          <w:sz w:val="20"/>
          <w:szCs w:val="20"/>
          <w:color w:val="auto"/>
        </w:rPr>
      </w:pPr>
    </w:p>
    <w:p>
      <w:pPr>
        <w:ind w:left="1080" w:right="40" w:hanging="532"/>
        <w:spacing w:after="0" w:line="25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P10, Inc. 2021 Incentive Plan (the “2021 Plan”) to increase the number of shares issuable under the 2021 Plan by 4,000,000 shares.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any other business as may properly come before the Special Meeting.</w:t>
      </w:r>
    </w:p>
    <w:p>
      <w:pPr>
        <w:spacing w:after="0" w:line="221"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approval of the amendment to the P10, Inc. 2021 Incentive Plan to increase the number of shares issuable under the 2021 Plan by 4,000,000 shares.</w:t>
      </w:r>
    </w:p>
    <w:p>
      <w:pPr>
        <w:spacing w:after="0" w:line="16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Only stockholders as of the record date, November 11, 2022 (the “Record Date”), or their duly appointed proxies, may attend the Special Meeting. If you hold your shares in “street name” (that is, through a broker, bank or other intermediary or nominee), your name does not appear in the Company’s records, so you will need to bring a copy of your brokerage statement reflecting your ownership of shares of Class A common stock as of the Record Date to attend the Special Meeting and a legal proxy if you wish to vote at the Special Meeting.</w:t>
      </w:r>
    </w:p>
    <w:p>
      <w:pPr>
        <w:spacing w:after="0" w:line="17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Stockholders are cordially invited to attend the Special Meeting in person. Regardless of whether you plan to attend the Special Meeting, please mark, date, sign and return the enclosed proxy, or vote by internet or telephone, to ensure that your shares are represented at the Special Meeting.</w:t>
      </w:r>
    </w:p>
    <w:p>
      <w:pPr>
        <w:spacing w:after="0" w:line="120"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Your vote is very important. Whether or not you plan to attend the Special Meeting, we encourage you to read the proxy statement and vote as soon as possible.</w:t>
      </w:r>
    </w:p>
    <w:p>
      <w:pPr>
        <w:spacing w:after="0" w:line="19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20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Alpert</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Co-Chief Executive Officer and Chairman of the Board of Directors</w:t>
      </w:r>
    </w:p>
    <w:p>
      <w:pPr>
        <w:spacing w:after="0" w:line="266" w:lineRule="exact"/>
        <w:rPr>
          <w:sz w:val="20"/>
          <w:szCs w:val="20"/>
          <w:color w:val="auto"/>
        </w:rPr>
      </w:pPr>
    </w:p>
    <w:p>
      <w:pPr>
        <w:ind w:left="5740"/>
        <w:spacing w:after="0"/>
        <w:tabs>
          <w:tab w:leader="none" w:pos="6760" w:val="left"/>
        </w:tabs>
        <w:rPr>
          <w:sz w:val="20"/>
          <w:szCs w:val="20"/>
          <w:color w:val="auto"/>
        </w:rPr>
      </w:pPr>
      <w:r>
        <w:rPr>
          <w:rFonts w:ascii="Arial" w:cs="Arial" w:eastAsia="Arial" w:hAnsi="Arial"/>
          <w:sz w:val="18"/>
          <w:szCs w:val="18"/>
          <w:color w:val="auto"/>
        </w:rPr>
        <w:t>November [</w:t>
      </w:r>
      <w:r>
        <w:rPr>
          <w:sz w:val="20"/>
          <w:szCs w:val="20"/>
          <w:color w:val="auto"/>
        </w:rPr>
        <w:tab/>
      </w:r>
      <w:r>
        <w:rPr>
          <w:rFonts w:ascii="Arial" w:cs="Arial" w:eastAsia="Arial" w:hAnsi="Arial"/>
          <w:sz w:val="16"/>
          <w:szCs w:val="16"/>
          <w:color w:val="auto"/>
        </w:rPr>
        <w:t>], 2022</w:t>
      </w:r>
    </w:p>
    <w:p>
      <w:pPr>
        <w:spacing w:after="0" w:line="200" w:lineRule="exact"/>
        <w:rPr>
          <w:sz w:val="20"/>
          <w:szCs w:val="20"/>
          <w:color w:val="auto"/>
        </w:rPr>
      </w:pPr>
    </w:p>
    <w:p>
      <w:pPr>
        <w:spacing w:after="0" w:line="251" w:lineRule="exact"/>
        <w:rPr>
          <w:sz w:val="20"/>
          <w:szCs w:val="20"/>
          <w:color w:val="auto"/>
        </w:rPr>
      </w:pPr>
    </w:p>
    <w:p>
      <w:pPr>
        <w:jc w:val="center"/>
        <w:ind w:left="460" w:right="14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DECEMBER 9, 2022</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Notice of Special Meeting of Stockholders and the accompanying proxy statement are available at www.p10alts.com and</w:t>
      </w:r>
    </w:p>
    <w:p>
      <w:pPr>
        <w:spacing w:after="0" w:line="23"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www.proxydocs.com/PX. These proxy materials are first being sent or made available to stockholders commencing on or about November [ ], 2022.</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Please vote via the Internet or telephone.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Internet: www.proxypush.com/PX</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Phone: 1-866-983-6559</w:t>
      </w:r>
    </w:p>
    <w:p>
      <w:pPr>
        <w:sectPr>
          <w:pgSz w:w="11900" w:h="16838" w:orient="portrait"/>
          <w:cols w:equalWidth="0" w:num="1">
            <w:col w:w="11100"/>
          </w:cols>
          <w:pgMar w:left="320" w:top="459"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40" w:type="dxa"/>
            <w:vAlign w:val="bottom"/>
            <w:gridSpan w:val="11"/>
          </w:tcPr>
          <w:p>
            <w:pPr>
              <w:spacing w:after="0"/>
              <w:rPr>
                <w:sz w:val="20"/>
                <w:szCs w:val="20"/>
                <w:color w:val="auto"/>
              </w:rPr>
            </w:pPr>
            <w:r>
              <w:rPr>
                <w:rFonts w:ascii="Arial" w:cs="Arial" w:eastAsia="Arial" w:hAnsi="Arial"/>
                <w:sz w:val="18"/>
                <w:szCs w:val="18"/>
                <w:b w:val="1"/>
                <w:bCs w:val="1"/>
                <w:color w:val="0000EE"/>
              </w:rPr>
              <w:t>Table of Contents</w:t>
            </w:r>
          </w:p>
        </w:tc>
        <w:tc>
          <w:tcPr>
            <w:tcW w:w="44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20" w:type="dxa"/>
            <w:vAlign w:val="bottom"/>
            <w:gridSpan w:val="4"/>
          </w:tcPr>
          <w:p>
            <w:pPr>
              <w:jc w:val="center"/>
              <w:ind w:right="1900"/>
              <w:spacing w:after="0"/>
              <w:rPr>
                <w:sz w:val="20"/>
                <w:szCs w:val="20"/>
                <w:color w:val="auto"/>
              </w:rPr>
            </w:pPr>
            <w:r>
              <w:rPr>
                <w:rFonts w:ascii="Arial" w:cs="Arial" w:eastAsia="Arial" w:hAnsi="Arial"/>
                <w:sz w:val="18"/>
                <w:szCs w:val="18"/>
                <w:b w:val="1"/>
                <w:bCs w:val="1"/>
                <w:color w:val="auto"/>
                <w:w w:val="99"/>
              </w:rPr>
              <w:t>PROXY STATEMENT</w:t>
            </w:r>
          </w:p>
        </w:tc>
        <w:tc>
          <w:tcPr>
            <w:tcW w:w="44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4"/>
          </w:tcPr>
          <w:p>
            <w:pPr>
              <w:jc w:val="center"/>
              <w:ind w:right="1920"/>
              <w:spacing w:after="0"/>
              <w:rPr>
                <w:sz w:val="20"/>
                <w:szCs w:val="20"/>
                <w:color w:val="auto"/>
              </w:rPr>
            </w:pPr>
            <w:r>
              <w:rPr>
                <w:rFonts w:ascii="Arial" w:cs="Arial" w:eastAsia="Arial" w:hAnsi="Arial"/>
                <w:sz w:val="18"/>
                <w:szCs w:val="18"/>
                <w:b w:val="1"/>
                <w:bCs w:val="1"/>
                <w:color w:val="auto"/>
              </w:rPr>
              <w:t>FOR SPECIAL MEETING OF STOCKHOLDERS</w:t>
            </w:r>
          </w:p>
        </w:tc>
        <w:tc>
          <w:tcPr>
            <w:tcW w:w="44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73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5"/>
              </w:rPr>
              <w:t>NOTICE OF SPECIAL MEETING OF STOCKHOLDERS TO BE HELD ON DECEMBER 9, 2022</w:t>
            </w:r>
          </w:p>
        </w:tc>
        <w:tc>
          <w:tcPr>
            <w:tcW w:w="322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10520" w:type="dxa"/>
            <w:vAlign w:val="bottom"/>
            <w:gridSpan w:val="10"/>
          </w:tcPr>
          <w:p>
            <w:pPr>
              <w:spacing w:after="0" w:line="196" w:lineRule="exact"/>
              <w:rPr>
                <w:sz w:val="20"/>
                <w:szCs w:val="20"/>
                <w:color w:val="auto"/>
              </w:rPr>
            </w:pPr>
            <w:r>
              <w:rPr>
                <w:rFonts w:ascii="Arial" w:cs="Arial" w:eastAsia="Arial" w:hAnsi="Arial"/>
                <w:sz w:val="18"/>
                <w:szCs w:val="18"/>
                <w:color w:val="0000EE"/>
              </w:rPr>
              <w:t>PROXY STATEMENT FOR SPECIAL MEETING OF STOCKHOLDERS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5"/>
              </w:rPr>
              <w:t>PROPOSAL 1 AMENDMENT TO THE 2021 INCENTIVE PLAN TO INCREASE THE NUMBER OF SHARES ISSUABLE UNDER THE</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2021 PLAN</w:t>
            </w:r>
          </w:p>
        </w:tc>
        <w:tc>
          <w:tcPr>
            <w:tcW w:w="946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24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OWNERSHIP OF SECURITIES</w:t>
            </w:r>
          </w:p>
        </w:tc>
        <w:tc>
          <w:tcPr>
            <w:tcW w:w="812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0" w:type="dxa"/>
            <w:vAlign w:val="bottom"/>
          </w:tcPr>
          <w:p>
            <w:pPr>
              <w:spacing w:after="0"/>
              <w:rPr>
                <w:sz w:val="17"/>
                <w:szCs w:val="17"/>
                <w:color w:val="auto"/>
              </w:rPr>
            </w:pPr>
          </w:p>
        </w:tc>
        <w:tc>
          <w:tcPr>
            <w:tcW w:w="23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3"/>
              </w:rPr>
              <w:t>STOCKHOLDER PROPOSALS</w:t>
            </w:r>
          </w:p>
        </w:tc>
        <w:tc>
          <w:tcPr>
            <w:tcW w:w="814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0" w:type="dxa"/>
            <w:vAlign w:val="bottom"/>
          </w:tcPr>
          <w:p>
            <w:pPr>
              <w:spacing w:after="0"/>
              <w:rPr>
                <w:sz w:val="17"/>
                <w:szCs w:val="17"/>
                <w:color w:val="auto"/>
              </w:rPr>
            </w:pPr>
          </w:p>
        </w:tc>
        <w:tc>
          <w:tcPr>
            <w:tcW w:w="10520" w:type="dxa"/>
            <w:vAlign w:val="bottom"/>
            <w:gridSpan w:val="10"/>
          </w:tcPr>
          <w:p>
            <w:pPr>
              <w:spacing w:after="0" w:line="196" w:lineRule="exact"/>
              <w:rPr>
                <w:sz w:val="20"/>
                <w:szCs w:val="20"/>
                <w:color w:val="auto"/>
              </w:rPr>
            </w:pPr>
            <w:r>
              <w:rPr>
                <w:rFonts w:ascii="Arial" w:cs="Arial" w:eastAsia="Arial" w:hAnsi="Arial"/>
                <w:sz w:val="18"/>
                <w:szCs w:val="18"/>
                <w:color w:val="0000EE"/>
              </w:rPr>
              <w:t>PROXY SOLICITATION</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385"/>
        </w:trPr>
        <w:tc>
          <w:tcPr>
            <w:tcW w:w="120" w:type="dxa"/>
            <w:vAlign w:val="bottom"/>
          </w:tcPr>
          <w:p>
            <w:pPr>
              <w:spacing w:after="0"/>
              <w:rPr>
                <w:sz w:val="24"/>
                <w:szCs w:val="24"/>
                <w:color w:val="auto"/>
              </w:rPr>
            </w:pPr>
          </w:p>
        </w:tc>
        <w:tc>
          <w:tcPr>
            <w:tcW w:w="1860" w:type="dxa"/>
            <w:vAlign w:val="bottom"/>
            <w:tcBorders>
              <w:top w:val="single" w:sz="8" w:color="0000EE"/>
            </w:tcBorders>
            <w:gridSpan w:val="4"/>
          </w:tcPr>
          <w:p>
            <w:pPr>
              <w:spacing w:after="0"/>
              <w:rPr>
                <w:sz w:val="24"/>
                <w:szCs w:val="24"/>
                <w:color w:val="auto"/>
              </w:rPr>
            </w:pPr>
          </w:p>
        </w:tc>
        <w:tc>
          <w:tcPr>
            <w:tcW w:w="5440" w:type="dxa"/>
            <w:vAlign w:val="bottom"/>
            <w:gridSpan w:val="4"/>
          </w:tcPr>
          <w:p>
            <w:pPr>
              <w:jc w:val="center"/>
              <w:ind w:left="1750"/>
              <w:spacing w:after="0"/>
              <w:rPr>
                <w:sz w:val="20"/>
                <w:szCs w:val="20"/>
                <w:color w:val="auto"/>
              </w:rPr>
            </w:pPr>
            <w:r>
              <w:rPr>
                <w:rFonts w:ascii="Arial" w:cs="Arial" w:eastAsia="Arial" w:hAnsi="Arial"/>
                <w:sz w:val="18"/>
                <w:szCs w:val="18"/>
                <w:color w:val="auto"/>
                <w:w w:val="79"/>
              </w:rPr>
              <w:t>2</w:t>
            </w:r>
          </w:p>
        </w:tc>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4514 Cole Ave, Suite 1600, Dallas, TX 75205</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SPECIAL MEETING OF STOCKHOLDERS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SUMMARY</w:t>
      </w:r>
    </w:p>
    <w:p>
      <w:pPr>
        <w:spacing w:after="0" w:line="121" w:lineRule="exact"/>
        <w:rPr>
          <w:sz w:val="20"/>
          <w:szCs w:val="20"/>
          <w:color w:val="auto"/>
        </w:rPr>
      </w:pPr>
    </w:p>
    <w:p>
      <w:pPr>
        <w:ind w:left="120" w:right="200"/>
        <w:spacing w:after="0" w:line="287" w:lineRule="auto"/>
        <w:rPr>
          <w:sz w:val="20"/>
          <w:szCs w:val="20"/>
          <w:color w:val="auto"/>
        </w:rPr>
      </w:pPr>
      <w:r>
        <w:rPr>
          <w:rFonts w:ascii="Arial" w:cs="Arial" w:eastAsia="Arial" w:hAnsi="Arial"/>
          <w:sz w:val="16"/>
          <w:szCs w:val="16"/>
          <w:i w:val="1"/>
          <w:iCs w:val="1"/>
          <w:color w:val="auto"/>
        </w:rPr>
        <w:t>This summary highlights certain information contained elsewhere in our proxy statement. This summary does not contain all the information that you should consider, and you should carefully read the entire proxy statement before voting. The Notice of Special Meeting of Stockholders and the accompanying proxy statement are available at www.p10alts.com and www.proxydocs.com/PX and are first being sent or made available to</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i w:val="1"/>
                <w:iCs w:val="1"/>
                <w:color w:val="auto"/>
                <w:w w:val="94"/>
              </w:rPr>
              <w:t>stockholders commencing on or about November [</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 2022.</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THE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is the date, time and place of the special meeting?</w:t>
      </w:r>
    </w:p>
    <w:p>
      <w:pPr>
        <w:spacing w:after="0" w:line="117" w:lineRule="exact"/>
        <w:rPr>
          <w:sz w:val="20"/>
          <w:szCs w:val="20"/>
          <w:color w:val="auto"/>
        </w:rPr>
      </w:pPr>
    </w:p>
    <w:p>
      <w:pPr>
        <w:ind w:left="120" w:firstLine="440"/>
        <w:spacing w:after="0" w:line="211" w:lineRule="auto"/>
        <w:rPr>
          <w:sz w:val="20"/>
          <w:szCs w:val="20"/>
          <w:color w:val="auto"/>
        </w:rPr>
      </w:pPr>
      <w:r>
        <w:rPr>
          <w:rFonts w:ascii="Arial" w:cs="Arial" w:eastAsia="Arial" w:hAnsi="Arial"/>
          <w:sz w:val="18"/>
          <w:szCs w:val="18"/>
          <w:color w:val="auto"/>
        </w:rPr>
        <w:t>P10 Inc.’s 2022 Special Stockholders’ Meeting will be held on Friday, December 9, 2022 beginning at 9:30 a.m., local time, at 4514 Cole Ave, 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Floor, Dallas, TX 75205.</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is the purpose of the special meeting?</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At the special meeting, stockholders will act upon the matters outlined in the notice of meeting on the cover page of this proxy statement, consisting of (1) an amendment to the P10, Inc. 2021 Incentive Plan, to increase the number of the Company’s shares issuable under the 2021 Plan by 4,000,000 shares; and (2) any other matters that properly come before the meeting.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are the voting rights of the holders of our common stock?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share of our Class A common stock will entitle its holder to one vote on all matters to be voted on by stockholders generally.</w:t>
      </w:r>
    </w:p>
    <w:p>
      <w:pPr>
        <w:spacing w:after="0" w:line="22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Each share of our Class B common stock will entitle its holder to ten votes until a Sunset becomes effective. After a Sunset becomes effective, each share of our Class B common stock will automatically convert into Class A common stock. The Class B Holders have approximately 95% of the combined voting power of our common stock.</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“Sunset” is triggered by any of the earlier of the following:</w:t>
      </w:r>
    </w:p>
    <w:p>
      <w:pPr>
        <w:spacing w:after="0" w:line="131" w:lineRule="exact"/>
        <w:rPr>
          <w:sz w:val="20"/>
          <w:szCs w:val="20"/>
          <w:color w:val="auto"/>
        </w:rPr>
      </w:pPr>
    </w:p>
    <w:p>
      <w:pPr>
        <w:ind w:left="1080" w:right="24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Sunset Holders cease to maintain direct or indirect beneficial ownership of 10% of the outstanding shares of Class A common stock (determined assuming all outstanding shares of Class B common stock have been converted into Class A common stock);</w:t>
      </w:r>
    </w:p>
    <w:p>
      <w:pPr>
        <w:spacing w:after="0" w:line="51"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Sunset Holders collectively cease to maintain direct or indirect beneficial ownership of at least 25% of the aggregate voting power of the outstanding shares of our common stock;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tenth anniversary of the effective date of our amended and restated certificate of incorporation.</w:t>
      </w:r>
    </w:p>
    <w:p>
      <w:pPr>
        <w:spacing w:after="0" w:line="22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Holders of Class B common stock may elect to convert shares of Class B common stock on a one-for-one basis into Class A common stock at any time. Holders of our Class A common stock and Class B common stock will vote together as a single class on all matters presented to our stockholders for their vote or approval, except as set forth in our amended and restated certificate of incorporation or as otherwise required by applicable law.</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is entitled to vote at the special meeting?</w:t>
      </w:r>
    </w:p>
    <w:p>
      <w:pPr>
        <w:spacing w:after="0" w:line="117"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Only our stockholders of record at the close of business on November 11, 2022, the record date for the meeting, are entitled to receive notice of and to participate in the special meeting. If you were a stockholder of record on that date, you will be entitled to vote all of the shares you held on that</w:t>
      </w:r>
    </w:p>
    <w:p>
      <w:pPr>
        <w:ind w:left="120" w:right="120"/>
        <w:spacing w:after="0" w:line="265" w:lineRule="auto"/>
        <w:rPr>
          <w:sz w:val="20"/>
          <w:szCs w:val="20"/>
          <w:color w:val="auto"/>
        </w:rPr>
      </w:pPr>
      <w:r>
        <w:rPr>
          <w:rFonts w:ascii="Arial" w:cs="Arial" w:eastAsia="Arial" w:hAnsi="Arial"/>
          <w:sz w:val="17"/>
          <w:szCs w:val="17"/>
          <w:color w:val="auto"/>
        </w:rPr>
        <w:t>date at the meeting, or any postponement(s) or adjournment(s) of the meeting. As of the record date, there were [ ] shares of Class A common stock outstanding and [ ] shares of Class B common stock outstanding, all of which are entitled to be voted at the special meeting. Whether or</w:t>
      </w:r>
    </w:p>
    <w:p>
      <w:pPr>
        <w:ind w:left="120" w:right="480"/>
        <w:spacing w:after="0" w:line="260" w:lineRule="auto"/>
        <w:rPr>
          <w:sz w:val="20"/>
          <w:szCs w:val="20"/>
          <w:color w:val="auto"/>
        </w:rPr>
      </w:pPr>
      <w:r>
        <w:rPr>
          <w:rFonts w:ascii="Arial" w:cs="Arial" w:eastAsia="Arial" w:hAnsi="Arial"/>
          <w:sz w:val="18"/>
          <w:szCs w:val="18"/>
          <w:color w:val="auto"/>
        </w:rPr>
        <w:t>not you plan to attend the meeting, we encourage you to fill out and return the proxy card or vote by proxy over the telephone or on the Internet as instructed below to ensure your vote is counted.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is the difference between a stockholder of record and a beneficial owner of shares held in street name?</w:t>
      </w:r>
    </w:p>
    <w:p>
      <w:pPr>
        <w:spacing w:after="0" w:line="131" w:lineRule="exact"/>
        <w:rPr>
          <w:sz w:val="20"/>
          <w:szCs w:val="20"/>
          <w:color w:val="auto"/>
        </w:rPr>
      </w:pPr>
    </w:p>
    <w:p>
      <w:pPr>
        <w:ind w:left="1080" w:right="6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(i) your shares of Class A common stock are registered directly in your name with the Company’s transfer agent,</w:t>
      </w:r>
      <w:r>
        <w:rPr>
          <w:rFonts w:ascii="Arial" w:cs="Arial" w:eastAsia="Arial" w:hAnsi="Arial"/>
          <w:sz w:val="18"/>
          <w:szCs w:val="18"/>
          <w:i w:val="1"/>
          <w:iCs w:val="1"/>
          <w:color w:val="auto"/>
        </w:rPr>
        <w:t xml:space="preserve"> </w:t>
      </w:r>
      <w:r>
        <w:rPr>
          <w:rFonts w:ascii="Arial" w:cs="Arial" w:eastAsia="Arial" w:hAnsi="Arial"/>
          <w:sz w:val="18"/>
          <w:szCs w:val="18"/>
          <w:color w:val="auto"/>
        </w:rPr>
        <w:t>or (ii) you hold shares of Class B common stock, you are considered the stockholder of record with respect to those shares, and the proxy materials were sent directly to you by the Company.</w:t>
      </w:r>
    </w:p>
    <w:p>
      <w:pPr>
        <w:spacing w:after="0" w:line="89" w:lineRule="exact"/>
        <w:rPr>
          <w:rFonts w:ascii="Arial" w:cs="Arial" w:eastAsia="Arial" w:hAnsi="Arial"/>
          <w:sz w:val="18"/>
          <w:szCs w:val="18"/>
          <w:color w:val="auto"/>
        </w:rPr>
      </w:pPr>
    </w:p>
    <w:p>
      <w:pPr>
        <w:ind w:left="1080" w:right="60" w:hanging="424"/>
        <w:spacing w:after="0" w:line="29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Beneficial Owner of Shares Held in Street Name</w:t>
      </w:r>
      <w:r>
        <w:rPr>
          <w:rFonts w:ascii="Arial" w:cs="Arial" w:eastAsia="Arial" w:hAnsi="Arial"/>
          <w:sz w:val="16"/>
          <w:szCs w:val="16"/>
          <w:color w:val="auto"/>
        </w:rPr>
        <w:t>. If your shares of Class A common stock are held in an account at a brokerage firm, bank,</w:t>
      </w:r>
      <w:r>
        <w:rPr>
          <w:rFonts w:ascii="Arial" w:cs="Arial" w:eastAsia="Arial" w:hAnsi="Arial"/>
          <w:sz w:val="16"/>
          <w:szCs w:val="16"/>
          <w:i w:val="1"/>
          <w:iCs w:val="1"/>
          <w:color w:val="auto"/>
        </w:rPr>
        <w:t xml:space="preserve"> </w:t>
      </w:r>
      <w:r>
        <w:rPr>
          <w:rFonts w:ascii="Arial" w:cs="Arial" w:eastAsia="Arial" w:hAnsi="Arial"/>
          <w:sz w:val="16"/>
          <w:szCs w:val="16"/>
          <w:color w:val="auto"/>
        </w:rPr>
        <w:t>dealer, custodian or other similar organization acting as nominee (each, a “broker”), then you are the beneficial owner of shares held in “street name,” and the proxy materials were forwarded to you by that organization. The organization holding your account is considered the stockholder of record for purposes of voting at the Special Meeting. As a beneficial owner, you have the right to instruct that organization on how to vote the shares held in your account. Those instructions are contained in a “vote instruction form.”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can attend the special meeting?</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All stockholders as of the record date, or their duly appointed proxies, may attend the special meeting. Please also note that if you hold your shares in “street name” (that is, through a broker or other nominee), you will need to bring a copy of a brokerage statement reflecting your stock ownership as of the record date, to attend the meeting, and you will need to bring a signed proxy from your broker in order to vote your shares at the meeting.</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presence at the meeting, in person or by proxy, of the holders of common stock representing a majority of the combined voting power of the outstanding shares of stock on the record date will constitute a quorum, permitting the meeting to conduct its business. As of the record date, there were</w:t>
      </w:r>
    </w:p>
    <w:p>
      <w:pPr>
        <w:ind w:left="120" w:right="220"/>
        <w:spacing w:after="0" w:line="260" w:lineRule="auto"/>
        <w:rPr>
          <w:sz w:val="20"/>
          <w:szCs w:val="20"/>
          <w:color w:val="auto"/>
        </w:rPr>
      </w:pPr>
      <w:r>
        <w:rPr>
          <w:rFonts w:ascii="Arial" w:cs="Arial" w:eastAsia="Arial" w:hAnsi="Arial"/>
          <w:sz w:val="18"/>
          <w:szCs w:val="18"/>
          <w:color w:val="auto"/>
        </w:rPr>
        <w:t>[ ] shares of Class A common stock outstanding and [ ] shares of Class B common stock outstanding, all of which are entitled to be voted at the special meeting, and therefore holders of common stock representing [ ] combined voting power will constitute a quorum.</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affirmative vote of a majority of the combined voting power of the shares of common stock present at the meeting in person or by proxy and entitled to vote is required for the approval of the amendment to the 2021 Incentive Plan and approval of any other matter that may be properly submitted to a vote of our stockholders.</w:t>
      </w:r>
    </w:p>
    <w:p>
      <w:pPr>
        <w:spacing w:after="0" w:line="184"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The inspector of election for the special meeting shall determine the number of shares of common stock represented at the meeting, the existence of a quorum and the validity and effect of proxies, and shall count and tabulate ballots and votes and determine the results thereof. Proxies received but marked as abstentions will be included in the calculation of the number of shares considered to be present at the meeting for purposes of determining a quorum, and accordingly will count as a vote against Proposal 1.</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Broker non-votes, if any, count as present at the special meeting for the purposes of determining a quorum. A broker non-vote occurs when a broker, bank or other nominee holding shares for a beneficial owner votes on one proposal but does not vote on another proposal because, with respect to such other proposal, the nominee does not have discretionary voting power and has not received instructions from the beneficial owner. Since the approval of the Amendment to P10’s Incentive Plan (Proposal No. 1) is considered non-routine under applicable rules, and there are no other proposals expected to be considered at the Special Meeting, no broker non-votes are expected to occur at the meeting. However, if broker non-votes are received, they will have no effect on the approval of Proposal 1.</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are the Board’s recommendations?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Board of Directors recommends a vote FOR the approval of the amendment to the P10, Inc. 2021 Incentive Plan to increase the number of shares issuable under the 2021 Plan by 4,000,000 shares.</w:t>
      </w:r>
    </w:p>
    <w:p>
      <w:pPr>
        <w:spacing w:after="0" w:line="170"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Unless contrary instructions are indicated on the enclosed proxy, all shares represented by valid proxies received pursuant to this solicitation (and which have not been revoked in accordance with the procedures set forth below) will be voted: (i) FOR the approval of the amendment to the P10, Inc. 2021 Incentive Plan to increase the number of shares issuable under the 2021 Plan by 4,000,000 shares, and (ii) in accordance with the recommendation of our Board of Directors, FOR or AGAINST all other matters as may properly come before the special meeting. In the event a stockholder specifies a different choice by means of the enclosed proxy, such shares will be voted in accordance with the specification made.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I vote?</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i w:val="1"/>
          <w:iCs w:val="1"/>
          <w:color w:val="auto"/>
        </w:rPr>
        <w:t>holder of record</w:t>
      </w:r>
      <w:r>
        <w:rPr>
          <w:rFonts w:ascii="Arial" w:cs="Arial" w:eastAsia="Arial" w:hAnsi="Arial"/>
          <w:sz w:val="18"/>
          <w:szCs w:val="18"/>
          <w:color w:val="auto"/>
        </w:rPr>
        <w:t xml:space="preserve"> (that is, if your shares are registered in your own name with our transfer agent), you may vote using the enclosed proxy card. Voting instructions are provided on the proxy card contained in the proxy materials. Holders of record may vote their shares by regular mail, by phone at 1-866-983-6559, online at www.proxypush.com/PX, or in person at the Special Meeting.</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i w:val="1"/>
          <w:iCs w:val="1"/>
          <w:color w:val="auto"/>
        </w:rPr>
        <w:t>street name holder</w:t>
      </w:r>
      <w:r>
        <w:rPr>
          <w:rFonts w:ascii="Arial" w:cs="Arial" w:eastAsia="Arial" w:hAnsi="Arial"/>
          <w:sz w:val="18"/>
          <w:szCs w:val="18"/>
          <w:color w:val="auto"/>
        </w:rPr>
        <w:t xml:space="preserve"> (that is, if you hold your shares through a bank, broker or other holder of record), you must vote in accordance with the voting instruction form provided by your bank, broker or other holder of record. The availability of telephone or internet voting will depend upon your bank’s, broker’s, or other holder of record’s voting process.</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If you come to the Special Meeting, you can, of course, vote in person. If you are a street name holder and wish to vote at the meeting, you must first obtain a proxy from your bank, broker or other holder of record authorizing you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 I change my vote after I return my proxy card?</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Yes. The giving of a proxy does not eliminate the right to vote in person should any stockholder giving the proxy so desire. Stockholders have an unconditional right to revoke their proxy at any time prior to the exercise of that proxy, by voting in person at the special meeting, by filing a written revocation or duly executed proxy bearing a later date with our Secretary at our headquarters.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pays for costs relating to the proxy materials and special meeting of stockholders?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costs of preparing, assembling and mailing this proxy statement, the Notice of Special Meeting of Stockholders and the enclosed proxy card, along with the cost of posting the proxy materials on our website, are to be borne by us. In addition to the use of mail, our directors, officers and employees may solicit proxies personally and by telephone, facsimile and other electronic means. They will receive no compensation in addition to their regular salaries. We may request banks, brokers and other custodians, nominees and fiduciaries to forward copies of the proxy material to their principals and to request authority for the execution of proxies. We may reimburse these persons for their expenses in so doing. We have retained InvestorCom, LLC to aid in the solicitation at an estimated cost of $6,500 plus reimbursable out-of-pocket expenses.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TO THE 2021 INCENTIVE PLAN TO INCREASE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NUMBER OF SHARES ISSUABLE UNDER THE 2021 PLAN</w:t>
      </w:r>
    </w:p>
    <w:p>
      <w:pPr>
        <w:spacing w:after="0" w:line="21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Board of Directors has unanimously adopted, and is submitting for stockholder approval, an amendment to the P10, Inc. 2021 Incentive Plan to increase the number of shares of our common stock authorized for issuance under the 2021 Plan by 4,000,000 subject to adjustment as provided in the 2021 Plan. If our stockholders do not approve the Amendment, the number of shares of common stock remaining available under the 2021 Plan would become inadequate to grant equity-based incentive awards to our employees, directors and officers as we currently do, which we believe is necessary to continue recruiting, retaining and motivating high-performing, revenue-generating and client-facing individuals to achieve our objectives and therefore in the best interests of our stockholders.</w:t>
      </w:r>
    </w:p>
    <w:p>
      <w:pPr>
        <w:spacing w:after="0" w:line="192"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As of November 11, 2022, there were [ ] shares of our common stock issued and outstanding and there were [ ] shares of our common stock available for issuance under the 2021 Plan. In connection with the Company’s announced acquisition of Westech Investment Advisors LLC, the Company agreed to issue options to acquire an aggregate of 4,000,000 shares of our common stock. As a result, our Board of Directors has determined that there are not sufficient shares of common stock available under the 2021 Plan to support the Company’s intended compensation programs over the next several years.</w:t>
      </w:r>
    </w:p>
    <w:p>
      <w:pPr>
        <w:spacing w:after="0" w:line="188"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 xml:space="preserve">Therefore, subject to stockholder approval, our Board of Directors approved an amendment to the 2021 Plan (the “Plan Amendment”) described in this Proposal 1, and our Board of Directors is now submitting the Plan Amendment, as reflected in the amended Plan attached to this Proxy Statement as </w:t>
      </w:r>
      <w:r>
        <w:rPr>
          <w:rFonts w:ascii="Arial" w:cs="Arial" w:eastAsia="Arial" w:hAnsi="Arial"/>
          <w:sz w:val="17"/>
          <w:szCs w:val="17"/>
          <w:b w:val="1"/>
          <w:bCs w:val="1"/>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(as so amended, the “Amended Plan”) for stockholder approval. As proposed for approval, the Plan Amendment, as set forth in the Amended</w:t>
      </w:r>
      <w:r>
        <w:rPr>
          <w:rFonts w:ascii="Arial" w:cs="Arial" w:eastAsia="Arial" w:hAnsi="Arial"/>
          <w:sz w:val="17"/>
          <w:szCs w:val="17"/>
          <w:b w:val="1"/>
          <w:bCs w:val="1"/>
          <w:color w:val="auto"/>
        </w:rPr>
        <w:t xml:space="preserve"> </w:t>
      </w:r>
      <w:r>
        <w:rPr>
          <w:rFonts w:ascii="Arial" w:cs="Arial" w:eastAsia="Arial" w:hAnsi="Arial"/>
          <w:sz w:val="17"/>
          <w:szCs w:val="17"/>
          <w:color w:val="auto"/>
        </w:rPr>
        <w:t>Plan, will increase the number of shares of our common stock subject to the 2021 Plan by 4,000,000 shares. As described more fully below, we consider equity compensation to be a key component of our compensation structure.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Increase in the Number of Shares</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use of stock- and cash-based awards under the 2021 Plan has been a key component of our compensation program. Cash- and stock-based compensation awards assist us in attracting, motivating, and retaining capable, talented individuals to serve in the capacity of employees, officers and directors.</w:t>
      </w:r>
    </w:p>
    <w:p>
      <w:pPr>
        <w:spacing w:after="0" w:line="184"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The Board has determined that, in order to ensure that there are sufficient shares available to meet our needs for future grants during the coming years, the adoption of the amendment to the 2021 Plan, reserving an additional 4,000,000 shares, is necessary and desirable to give us a competitive edge in today’s volatile business environment. The ability to grant cash- and stock-based compensation awards is critical to our ability to attract, motivate, and retain highly qualified individuals. Our successful operation and our ability to create long-term value for our stockholders depend on the efforts of our employees, including management, and we believe that it is in the best interest of our stockholders for those individuals to have an ownership interest in us in recognition of their present and potential contributions and to align their interests with those of our stockholders.</w:t>
      </w:r>
    </w:p>
    <w:p>
      <w:pPr>
        <w:spacing w:after="0" w:line="16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2021 Plan is a broad-based plan under which we may grant awards to our directors and employees, including our officers. We believe approval of the Plan Amendment will give us flexibility to continue to make cash- and stock-based grants under the 2021 Plan over the next few years in amounts determined appropriate by the Compensation Committee, which administers the 2021 Plan; however, future circumstances may require us to change our expected equity grant practices. These circumstances include, but are not limited to, the future price of our common stock, award levels/amounts provided by our competitors and hiring activity during the next few years, including hiring activity related to mergers and acquisitions.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It is our current practice to grant cash-based and stock-based compensation awards to key employees on an annual basis during the first quarter of each fiscal year based on targeted dollar values that are generally competitive with industry peers. In addition, it is our current practice to grant stock-based compensation on an annual basis to our non-employee directors, which are also based on targeted dollar values that are generally competitive with industry peers. Fluctuations in our stock price may result in stock-based awards for a given year requiring a larger or smaller number of shares in order to capture the same grant date value as a prior year’s award, which impacts the rate at which we utilize shares for compensation purposes. The closing</w:t>
      </w:r>
    </w:p>
    <w:p>
      <w:pPr>
        <w:spacing w:after="0" w:line="2" w:lineRule="exact"/>
        <w:rPr>
          <w:sz w:val="20"/>
          <w:szCs w:val="20"/>
          <w:color w:val="auto"/>
        </w:rPr>
      </w:pPr>
    </w:p>
    <w:p>
      <w:pPr>
        <w:ind w:left="120"/>
        <w:spacing w:after="0"/>
        <w:tabs>
          <w:tab w:leader="none" w:pos="5340" w:val="left"/>
        </w:tabs>
        <w:rPr>
          <w:sz w:val="20"/>
          <w:szCs w:val="20"/>
          <w:color w:val="auto"/>
        </w:rPr>
      </w:pPr>
      <w:r>
        <w:rPr>
          <w:rFonts w:ascii="Arial" w:cs="Arial" w:eastAsia="Arial" w:hAnsi="Arial"/>
          <w:sz w:val="18"/>
          <w:szCs w:val="18"/>
          <w:color w:val="auto"/>
        </w:rPr>
        <w:t>market price of our common stock on November 11, 2022 was $[</w:t>
      </w:r>
      <w:r>
        <w:rPr>
          <w:sz w:val="20"/>
          <w:szCs w:val="20"/>
          <w:color w:val="auto"/>
        </w:rPr>
        <w:tab/>
      </w:r>
      <w:r>
        <w:rPr>
          <w:rFonts w:ascii="Arial" w:cs="Arial" w:eastAsia="Arial" w:hAnsi="Arial"/>
          <w:sz w:val="15"/>
          <w:szCs w:val="15"/>
          <w:color w:val="auto"/>
        </w:rPr>
        <w:t>] per share.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Importance of Equity Compensation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Board believes that the Plan Amendment will provide it flexibility to continue to issue equity compensation in the future at the levels it deems appropriate to:</w:t>
      </w:r>
    </w:p>
    <w:p>
      <w:pPr>
        <w:spacing w:after="0" w:line="76"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and retain the services of key employees, non-employee directors and consultants who can contribute to our success;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Align the interests of our key employees and non-employee directors with the interests of our stockholders through certain incentives whose value is based upon the performance of our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Motivate key employees to achieve our strategic business objectives;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a long-term equity incentive program that is competitive with our peer companies.</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Board strongly believes that granting equity awards motivates employees to think and act like owners, rewarding them when value is created for our stockholders. Our named executive officers who are current employees of the Company and our non-employee directors will be eligible to receive awards under the 2021 Plan and therefore have an interest in this proposal.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Designed to Protect Stockholders</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2021 Plan and the Company’s governance policies contain a number of provisions that the Company believes are designed to protect stockholder interests, including:</w:t>
      </w:r>
    </w:p>
    <w:p>
      <w:pPr>
        <w:spacing w:after="0" w:line="76" w:lineRule="exact"/>
        <w:rPr>
          <w:sz w:val="20"/>
          <w:szCs w:val="20"/>
          <w:color w:val="auto"/>
        </w:rPr>
      </w:pPr>
    </w:p>
    <w:p>
      <w:pPr>
        <w:ind w:left="1080" w:right="1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No liberal share counting on stock options or stock appreciation rights</w:t>
      </w:r>
      <w:r>
        <w:rPr>
          <w:rFonts w:ascii="Arial" w:cs="Arial" w:eastAsia="Arial" w:hAnsi="Arial"/>
          <w:sz w:val="18"/>
          <w:szCs w:val="18"/>
          <w:color w:val="auto"/>
        </w:rPr>
        <w:t>. The 2021 Plan prohibits the reuse of shares withheld or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to satisfy the exercise price or tax withholding requirements of stock options and stock appreciation rights.</w:t>
      </w:r>
    </w:p>
    <w:p>
      <w:pPr>
        <w:spacing w:after="0" w:line="75" w:lineRule="exact"/>
        <w:rPr>
          <w:rFonts w:ascii="Arial" w:cs="Arial" w:eastAsia="Arial" w:hAnsi="Arial"/>
          <w:sz w:val="18"/>
          <w:szCs w:val="18"/>
          <w:color w:val="auto"/>
        </w:rPr>
      </w:pPr>
    </w:p>
    <w:p>
      <w:pPr>
        <w:ind w:left="1080" w:right="820" w:hanging="424"/>
        <w:spacing w:after="0" w:line="308"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No repricing of stock options or stock appreciation rights</w:t>
      </w:r>
      <w:r>
        <w:rPr>
          <w:rFonts w:ascii="Arial" w:cs="Arial" w:eastAsia="Arial" w:hAnsi="Arial"/>
          <w:sz w:val="17"/>
          <w:szCs w:val="17"/>
          <w:color w:val="auto"/>
        </w:rPr>
        <w:t>. The 2021 Plan does not permit the repricing of stock options or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either by amending an existing award or by substituting a new award at a lower price.</w:t>
      </w:r>
    </w:p>
    <w:p>
      <w:pPr>
        <w:spacing w:after="0" w:line="51"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No cash buyouts of underwater stock options or stock appreciation rights</w:t>
      </w:r>
      <w:r>
        <w:rPr>
          <w:rFonts w:ascii="Arial" w:cs="Arial" w:eastAsia="Arial" w:hAnsi="Arial"/>
          <w:sz w:val="18"/>
          <w:szCs w:val="18"/>
          <w:color w:val="auto"/>
        </w:rPr>
        <w:t>. The 2021 Plan does not permit the cash buyout of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or stock appreciation rights if such awards are not “in the money.”</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No discounted stock options</w:t>
      </w:r>
      <w:r>
        <w:rPr>
          <w:rFonts w:ascii="Arial" w:cs="Arial" w:eastAsia="Arial" w:hAnsi="Arial"/>
          <w:sz w:val="18"/>
          <w:szCs w:val="18"/>
          <w:color w:val="auto"/>
        </w:rPr>
        <w:t>. The 2021 Plan prohibits the granting of stock options with an exercise price less than the fair market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common stock on the date of grant.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Limitation on term of stock options</w:t>
      </w:r>
      <w:r>
        <w:rPr>
          <w:rFonts w:ascii="Arial" w:cs="Arial" w:eastAsia="Arial" w:hAnsi="Arial"/>
          <w:sz w:val="18"/>
          <w:szCs w:val="18"/>
          <w:color w:val="auto"/>
        </w:rPr>
        <w:t>. The maximum term of each stock option is ten years.</w:t>
      </w:r>
    </w:p>
    <w:p>
      <w:pPr>
        <w:spacing w:after="0" w:line="130"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Minimum restriction periods</w:t>
      </w:r>
      <w:r>
        <w:rPr>
          <w:rFonts w:ascii="Arial" w:cs="Arial" w:eastAsia="Arial" w:hAnsi="Arial"/>
          <w:sz w:val="18"/>
          <w:szCs w:val="18"/>
          <w:color w:val="auto"/>
        </w:rPr>
        <w:t>. The 2021 Plan provides for a one-year minimum restriction period for awards granted under the 2021 Plan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cash-based awards), subject in each case to the Compensation Committee’s discretion to waive or provide for the lapse of such restriction in the event of death, disability or a change in control. Shorter vesting periods may apply to awards covering up to 5% of the number of shares reserved under the 2021 Plan.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5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Anti-hedging and pledging policy</w:t>
      </w:r>
      <w:r>
        <w:rPr>
          <w:rFonts w:ascii="Arial" w:cs="Arial" w:eastAsia="Arial" w:hAnsi="Arial"/>
          <w:sz w:val="18"/>
          <w:szCs w:val="18"/>
          <w:color w:val="auto"/>
        </w:rPr>
        <w:t>. The Company’s insider trading policy prohibits employees from engaging in hedging or pledging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involving the Company’s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Plan Amendment</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Plan Amendment amends Section 4.1 of Article 4 of the 2021 Plan to include an additional 4,000,000 shares of common stock authorized for grant under the 2021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Amended Plan</w:t>
      </w:r>
    </w:p>
    <w:p>
      <w:pPr>
        <w:spacing w:after="0" w:line="121"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 xml:space="preserve">The following is a summary of the material terms of the Amended Plan. This summary is not complete and is qualified in its entirety by reference to the full text of the Amended Plan attached to this Proxy Statement as </w:t>
      </w:r>
      <w:r>
        <w:rPr>
          <w:rFonts w:ascii="Arial" w:cs="Arial" w:eastAsia="Arial" w:hAnsi="Arial"/>
          <w:sz w:val="17"/>
          <w:szCs w:val="17"/>
          <w:u w:val="single" w:color="auto"/>
          <w:color w:val="auto"/>
        </w:rPr>
        <w:t>Exhibit A</w:t>
      </w:r>
      <w:r>
        <w:rPr>
          <w:rFonts w:ascii="Arial" w:cs="Arial" w:eastAsia="Arial" w:hAnsi="Arial"/>
          <w:sz w:val="17"/>
          <w:szCs w:val="17"/>
          <w:color w:val="auto"/>
        </w:rPr>
        <w:t>, which assumes that this Proposal 1 is approved.</w:t>
      </w:r>
    </w:p>
    <w:p>
      <w:pPr>
        <w:spacing w:after="0" w:line="142"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Administration and Eligibility. </w:t>
      </w:r>
      <w:r>
        <w:rPr>
          <w:rFonts w:ascii="Arial" w:cs="Arial" w:eastAsia="Arial" w:hAnsi="Arial"/>
          <w:sz w:val="18"/>
          <w:szCs w:val="18"/>
          <w:color w:val="auto"/>
        </w:rPr>
        <w:t>The 2021 Plan is administered by the Compensation Committee (the “Committee”) of the Board, which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interpret the provisions of the 2021 Plan; make, change and rescind rules and regulations relating to the 2021 Plan; and make changes to, or reconcile any inconsistency in, any award or agreement covering an award. The Committee may designate any of the following as a participant under the 2021 Plan: any person who is an employee, officer, director, consultant, advisor or other individual service provider of the Company or any Affiliate, or any person who is determined by the Committee to be a prospective employee, officer, director, consultant, advisor or other individual service provider of the Company or any Affiliate.</w:t>
      </w:r>
    </w:p>
    <w:p>
      <w:pPr>
        <w:spacing w:after="0" w:line="187" w:lineRule="exact"/>
        <w:rPr>
          <w:sz w:val="20"/>
          <w:szCs w:val="20"/>
          <w:color w:val="auto"/>
        </w:rPr>
      </w:pPr>
    </w:p>
    <w:p>
      <w:pPr>
        <w:ind w:left="560"/>
        <w:spacing w:after="0"/>
        <w:tabs>
          <w:tab w:leader="none" w:pos="10540" w:val="left"/>
        </w:tabs>
        <w:rPr>
          <w:sz w:val="20"/>
          <w:szCs w:val="20"/>
          <w:color w:val="auto"/>
        </w:rPr>
      </w:pPr>
      <w:r>
        <w:rPr>
          <w:rFonts w:ascii="Arial" w:cs="Arial" w:eastAsia="Arial" w:hAnsi="Arial"/>
          <w:sz w:val="18"/>
          <w:szCs w:val="18"/>
          <w:b w:val="1"/>
          <w:bCs w:val="1"/>
          <w:color w:val="auto"/>
        </w:rPr>
        <w:t xml:space="preserve">Shares Reserved under the 2021 Plan. </w:t>
      </w:r>
      <w:r>
        <w:rPr>
          <w:rFonts w:ascii="Arial" w:cs="Arial" w:eastAsia="Arial" w:hAnsi="Arial"/>
          <w:sz w:val="18"/>
          <w:szCs w:val="18"/>
          <w:color w:val="auto"/>
        </w:rPr>
        <w:t>Under the 2021 Plan prior to the currently proposed Plan Amendment, an aggregate of [</w:t>
      </w:r>
      <w:r>
        <w:rPr>
          <w:sz w:val="20"/>
          <w:szCs w:val="20"/>
          <w:color w:val="auto"/>
        </w:rPr>
        <w:tab/>
      </w:r>
      <w:r>
        <w:rPr>
          <w:rFonts w:ascii="Arial" w:cs="Arial" w:eastAsia="Arial" w:hAnsi="Arial"/>
          <w:sz w:val="15"/>
          <w:szCs w:val="15"/>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-7620</wp:posOffset>
            </wp:positionV>
            <wp:extent cx="457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7"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of common stock, plus the number of shares available for issuance under the P10 Holdings, Inc. 2018 Stock Incentive Plan as of the Effective Date of the 2021 Plan (the “Prior Plan”) are authorized and available for issuance.</w:t>
      </w:r>
    </w:p>
    <w:p>
      <w:pPr>
        <w:spacing w:after="0" w:line="18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Amended Plan provides that, subject to adjustment as described below, as of the date that our stockholders approve the Amended Plan, an additional 4,000,000 shares of common stock will be available for issuance under the 2021 Plan.</w:t>
      </w:r>
    </w:p>
    <w:p>
      <w:pPr>
        <w:spacing w:after="0" w:line="166" w:lineRule="exact"/>
        <w:rPr>
          <w:sz w:val="20"/>
          <w:szCs w:val="20"/>
          <w:color w:val="auto"/>
        </w:rPr>
      </w:pPr>
    </w:p>
    <w:p>
      <w:pPr>
        <w:ind w:left="120" w:right="40" w:firstLine="440"/>
        <w:spacing w:after="0" w:line="298" w:lineRule="auto"/>
        <w:rPr>
          <w:sz w:val="20"/>
          <w:szCs w:val="20"/>
          <w:color w:val="auto"/>
        </w:rPr>
      </w:pPr>
      <w:r>
        <w:rPr>
          <w:rFonts w:ascii="Arial" w:cs="Arial" w:eastAsia="Arial" w:hAnsi="Arial"/>
          <w:sz w:val="16"/>
          <w:szCs w:val="16"/>
          <w:b w:val="1"/>
          <w:bCs w:val="1"/>
          <w:color w:val="auto"/>
        </w:rPr>
        <w:t xml:space="preserve">Types of Awards. </w:t>
      </w:r>
      <w:r>
        <w:rPr>
          <w:rFonts w:ascii="Arial" w:cs="Arial" w:eastAsia="Arial" w:hAnsi="Arial"/>
          <w:sz w:val="16"/>
          <w:szCs w:val="16"/>
          <w:color w:val="auto"/>
        </w:rPr>
        <w:t>The 2021 Plan provides for the grant of incentive and nonqualified stock options, stock appreciation rights,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units, performance shares, performance stock units, dividend equivalents, deferred stock, performance bonuses and other stock-based awards. The Committee is authorized to provide or make awards in a manner that complies with the requirements of Section 409A of the Internal Revenue Code of 1986, as amended, which we refer to as the “Code,” so that the awards will avoid a plan failure as described in Code Section 409A(1). The Committee’s authorization includes the authority to defer payments or wait for specified distribution events, as provided in Code Section 409A(2).</w:t>
      </w:r>
    </w:p>
    <w:p>
      <w:pPr>
        <w:spacing w:after="0" w:line="15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 xml:space="preserve">Options. </w:t>
      </w:r>
      <w:r>
        <w:rPr>
          <w:rFonts w:ascii="Arial" w:cs="Arial" w:eastAsia="Arial" w:hAnsi="Arial"/>
          <w:sz w:val="17"/>
          <w:szCs w:val="17"/>
          <w:color w:val="auto"/>
        </w:rPr>
        <w:t>The Committee has the authority to grant stock options and to determine all terms and conditions of each stock option. Stock options are</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to participants at such time as the Committee determines. The Committee also determines the number of options granted, whether an option is to be an incentive stock option or non-qualified stock option and the grant date for the option, which may not be any date prior to the date that the Committee approves the grant. The Committee fixes the option price per share of common stock, which may never be less than the fair market value of a share of common stock on the date of grant. The Committee determines the expiration date of each option except that the expiration date may not be later than ten years after the date of grant. Options are exercisable at such times and be subject to such restrictions and conditions as the Committee deems necessary or advisable. Participants do not have a right to receive dividend payments or dividend equivalent payments with respect to shares of common stock subject to an outstanding stock option award.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color w:val="auto"/>
        </w:rPr>
        <w:t xml:space="preserve">Stock Appreciation Rights. </w:t>
      </w:r>
      <w:r>
        <w:rPr>
          <w:rFonts w:ascii="Arial" w:cs="Arial" w:eastAsia="Arial" w:hAnsi="Arial"/>
          <w:sz w:val="18"/>
          <w:szCs w:val="18"/>
          <w:color w:val="auto"/>
        </w:rPr>
        <w:t>The Committee has the authority to grant stock appreciation rights, which are also referred to as SARs. A SAR is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of a participant to receive cash in an amount, and/or common stock with a fair market value, equal to the appreciation of the fair market value of a share of common stock during a specified period of time. The term of each SAR shall be determined by the Committee in its sole discretion, but in no event shall the term exceed ten (10) years from the date of grant.</w:t>
      </w:r>
    </w:p>
    <w:p>
      <w:pPr>
        <w:spacing w:after="0" w:line="18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color w:val="auto"/>
        </w:rPr>
        <w:t>Restricted Stock Awards</w:t>
      </w:r>
      <w:r>
        <w:rPr>
          <w:rFonts w:ascii="Arial" w:cs="Arial" w:eastAsia="Arial" w:hAnsi="Arial"/>
          <w:sz w:val="16"/>
          <w:szCs w:val="16"/>
          <w:color w:val="auto"/>
        </w:rPr>
        <w:t>. A restricted stock award is a grant of shares of common stock, which are subject to forfeiture and transfer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a specified restriction period. The Compensation Committee will determine the price, if any, to be paid by the participant for each share of common stock subject to a restricted stock award. If the specified vesting conditions are not attained, the underlying common stock will be forfeited to us. Conversely, if and when the vesting conditions are satisfied, the restrictions imposed will lapse. During the restriction period, a participant will have the right to vote the shares underlying the restricted stock. Dividends shall only be paid out to the extent that the restricted stock vests. Any cash dividends and stock dividends with respect to the restricted stock will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will be distributed to the participant in cash or, at the discretion of the Committee, in shares of common stock having a fair market value equal to the amount of such dividends, if applicable, upon the release of restrictions on such share and, if such share is forfeited, the participant will have no right to such dividends. Unless otherwise provided in an award agreement or determined by the Compensation Committee, upon termination of service of a participant by reason of death or disability, all restrictions will lapse and the restricted stock will vest and upon termination of service of a participant for any other reason will forfeit all restricted stock that then remains subject to forfeiture.</w:t>
      </w:r>
    </w:p>
    <w:p>
      <w:pPr>
        <w:spacing w:after="0" w:line="164" w:lineRule="exact"/>
        <w:rPr>
          <w:sz w:val="20"/>
          <w:szCs w:val="20"/>
          <w:color w:val="auto"/>
        </w:rPr>
      </w:pPr>
    </w:p>
    <w:p>
      <w:pPr>
        <w:ind w:left="120" w:right="200" w:firstLine="440"/>
        <w:spacing w:after="0" w:line="261"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An RSU represents a right to receive, on the achievement of specified vesting conditions, an amount equal to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market value (at the time of distribution) of one share of our common stock. An RSU may be settled in shares of our common stock, cash, or a combination of both, at the discretion of the Compensation Committee. Upon a participant’s termination of employment due to death or disability, the Committee will determine whether there should be any acceleration of vesting.</w:t>
      </w:r>
    </w:p>
    <w:p>
      <w:pPr>
        <w:spacing w:after="0" w:line="180" w:lineRule="exact"/>
        <w:rPr>
          <w:sz w:val="20"/>
          <w:szCs w:val="20"/>
          <w:color w:val="auto"/>
        </w:rPr>
      </w:pPr>
    </w:p>
    <w:p>
      <w:pPr>
        <w:ind w:left="120" w:right="100" w:firstLine="440"/>
        <w:spacing w:after="0" w:line="314" w:lineRule="auto"/>
        <w:rPr>
          <w:sz w:val="20"/>
          <w:szCs w:val="20"/>
          <w:color w:val="auto"/>
        </w:rPr>
      </w:pPr>
      <w:r>
        <w:rPr>
          <w:rFonts w:ascii="Arial" w:cs="Arial" w:eastAsia="Arial" w:hAnsi="Arial"/>
          <w:sz w:val="16"/>
          <w:szCs w:val="16"/>
          <w:b w:val="1"/>
          <w:bCs w:val="1"/>
          <w:color w:val="auto"/>
        </w:rPr>
        <w:t>Performance Share Awards</w:t>
      </w:r>
      <w:r>
        <w:rPr>
          <w:rFonts w:ascii="Arial" w:cs="Arial" w:eastAsia="Arial" w:hAnsi="Arial"/>
          <w:sz w:val="16"/>
          <w:szCs w:val="16"/>
          <w:color w:val="auto"/>
        </w:rPr>
        <w:t>. Any participant selected by the Committee may be granted one or more Performance Share awards which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denominated in a number of shares of common stock and which may be linked to any one or more performance goals or other specific performance criteria determined appropriate by the Committee, in each case on a specified date or dates or over any period or periods determined by the Committee.</w:t>
      </w:r>
    </w:p>
    <w:p>
      <w:pPr>
        <w:spacing w:after="0" w:line="142" w:lineRule="exact"/>
        <w:rPr>
          <w:sz w:val="20"/>
          <w:szCs w:val="20"/>
          <w:color w:val="auto"/>
        </w:rPr>
      </w:pPr>
    </w:p>
    <w:p>
      <w:pPr>
        <w:ind w:left="120" w:right="160" w:firstLine="440"/>
        <w:spacing w:after="0" w:line="261" w:lineRule="auto"/>
        <w:rPr>
          <w:sz w:val="20"/>
          <w:szCs w:val="20"/>
          <w:color w:val="auto"/>
        </w:rPr>
      </w:pPr>
      <w:r>
        <w:rPr>
          <w:rFonts w:ascii="Arial" w:cs="Arial" w:eastAsia="Arial" w:hAnsi="Arial"/>
          <w:sz w:val="18"/>
          <w:szCs w:val="18"/>
          <w:b w:val="1"/>
          <w:bCs w:val="1"/>
          <w:color w:val="auto"/>
        </w:rPr>
        <w:t xml:space="preserve">Performance Stock Units. </w:t>
      </w:r>
      <w:r>
        <w:rPr>
          <w:rFonts w:ascii="Arial" w:cs="Arial" w:eastAsia="Arial" w:hAnsi="Arial"/>
          <w:sz w:val="18"/>
          <w:szCs w:val="18"/>
          <w:color w:val="auto"/>
        </w:rPr>
        <w:t>Any participant selected by the Committee may be granted one or more Performance Stock Unit awards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denominated in units of value including dollar value of shares of common stock and which may be linked to any one or more performance goals or other specific performance criteria determined appropriate by the Committee, in each case on a specified date or dates or over any period or periods determined by the Committee.</w:t>
      </w:r>
    </w:p>
    <w:p>
      <w:pPr>
        <w:spacing w:after="0" w:line="180"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Any participant selected by the Committee may be granted Dividend Equivalents based on the dividends declared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that are subject to any award, to be credited as of dividend payment dates, during the period between the date the award is granted and the date the award is exercised, vests or expires, as determined by the Committee. Such Dividend Equivalents will be converted to cash or additional shares of common stock by such formula and at such time and subject to such limitations as may be determined by the Committee, in a matter consistent with the rules of Section 409A of the Code; provided that, to the extent shares of common stock subject to an Award are subject to vesting conditions, any Dividend Equivalents relating to such shares will be subject to the same vesting conditions.</w:t>
      </w:r>
    </w:p>
    <w:p>
      <w:pPr>
        <w:spacing w:after="0" w:line="173"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b w:val="1"/>
          <w:bCs w:val="1"/>
          <w:color w:val="auto"/>
        </w:rPr>
        <w:t xml:space="preserve">Deferred Stock. </w:t>
      </w:r>
      <w:r>
        <w:rPr>
          <w:rFonts w:ascii="Arial" w:cs="Arial" w:eastAsia="Arial" w:hAnsi="Arial"/>
          <w:sz w:val="18"/>
          <w:szCs w:val="18"/>
          <w:color w:val="auto"/>
        </w:rPr>
        <w:t>Any participant selected by the Committee may be granted an award of Deferred Stock in the manner determined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by the Committee. The number of shares of Deferred Stock shall be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determined by the Committee and may be linked to performance goals or other specific performance criteria determined to be appropriate by the Committee, in each case on a specified date or dates or over any period or periods determined by the Committee. Stock underlying a Deferred Stock Award will not be issued until the Deferred Stock Award has vested, pursuant to a vesting schedule or performance criteria set by the Committee. Unless otherwise provided by the Committee, a participant awarded Deferred Stock will have no rights as a Company stockholder with respect to such Deferred Stock until such time as the Deferred Stock Award has vested and the shares of common stock underlying the Deferred Stock Award has been issued.</w:t>
      </w:r>
    </w:p>
    <w:p>
      <w:pPr>
        <w:spacing w:after="0" w:line="157" w:lineRule="exact"/>
        <w:rPr>
          <w:sz w:val="20"/>
          <w:szCs w:val="20"/>
          <w:color w:val="auto"/>
        </w:rPr>
      </w:pPr>
    </w:p>
    <w:p>
      <w:pPr>
        <w:jc w:val="both"/>
        <w:ind w:left="120" w:right="120" w:firstLine="440"/>
        <w:spacing w:after="0" w:line="258" w:lineRule="auto"/>
        <w:rPr>
          <w:sz w:val="20"/>
          <w:szCs w:val="20"/>
          <w:color w:val="auto"/>
        </w:rPr>
      </w:pPr>
      <w:r>
        <w:rPr>
          <w:rFonts w:ascii="Arial" w:cs="Arial" w:eastAsia="Arial" w:hAnsi="Arial"/>
          <w:sz w:val="18"/>
          <w:szCs w:val="18"/>
          <w:b w:val="1"/>
          <w:bCs w:val="1"/>
          <w:color w:val="auto"/>
        </w:rPr>
        <w:t>Other Stock-Based Awards. The Committee has the authority to grant other types of awards, which may be denominated or payable in, valued in whole or in part by reference to, or otherwise based on, shares of common stock, either alone or in addition to or in conjunction with other awards, and payable in shares of common stock or cash. The Committee determines all terms and conditions of the award, including the time or times at which such award will be made and the number of shares of common stock to be granted pursuant to such award or to which such award will relate.</w:t>
      </w:r>
    </w:p>
    <w:p>
      <w:pPr>
        <w:spacing w:after="0" w:line="183"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b w:val="1"/>
          <w:bCs w:val="1"/>
          <w:color w:val="auto"/>
        </w:rPr>
        <w:t xml:space="preserve">Minimum Vesting Requirement. </w:t>
      </w:r>
      <w:r>
        <w:rPr>
          <w:rFonts w:ascii="Arial" w:cs="Arial" w:eastAsia="Arial" w:hAnsi="Arial"/>
          <w:sz w:val="16"/>
          <w:szCs w:val="16"/>
          <w:color w:val="auto"/>
        </w:rPr>
        <w:t>Awards granted under the 2021 Plan (other than cash-based awards) will vest no earlier than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anniversary of the date on which the Award is granted;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following Awards shall not be subject to the foregoing minimum vesting requirement: any (i) substitute Awards granted in connection with awards that are assumed, converted or substituted pursuant to a merger, acquisition or similar transaction entered into by the Company or any of its Subsidiaries, (ii) shares delivered in lieu of fully vested cash obligations, (iii) Awards</w:t>
      </w:r>
    </w:p>
    <w:p>
      <w:pPr>
        <w:spacing w:after="0" w:line="2" w:lineRule="exact"/>
        <w:rPr>
          <w:sz w:val="20"/>
          <w:szCs w:val="20"/>
          <w:color w:val="auto"/>
        </w:rPr>
      </w:pPr>
    </w:p>
    <w:p>
      <w:pPr>
        <w:ind w:left="120" w:right="60"/>
        <w:spacing w:after="0" w:line="295" w:lineRule="auto"/>
        <w:rPr>
          <w:sz w:val="20"/>
          <w:szCs w:val="20"/>
          <w:color w:val="auto"/>
        </w:rPr>
      </w:pPr>
      <w:r>
        <w:rPr>
          <w:rFonts w:ascii="Arial" w:cs="Arial" w:eastAsia="Arial" w:hAnsi="Arial"/>
          <w:sz w:val="16"/>
          <w:szCs w:val="16"/>
          <w:color w:val="auto"/>
        </w:rPr>
        <w:t xml:space="preserve">to Non-Employee Directors that vest on the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2021 Plan (subject to adjustment);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foregoing restriction does not apply to the Committee’s discretion to provide for accelerated exercisability or vesting of any Award.</w:t>
      </w:r>
    </w:p>
    <w:p>
      <w:pPr>
        <w:spacing w:after="0" w:line="157"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No Award may be sold, transferred, pledged, assigned, or otherwise alienated or hypothecated, other than by will or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 or pursuant to a domestic relations order or as permitted by the Committee in its sole discretion and in accordance with the 2021 Plan, unless and until such Award has been exercised, or the shares underlying such Award have been issued, and all restrictions applicable to such shares have lapsed.</w:t>
      </w:r>
    </w:p>
    <w:p>
      <w:pPr>
        <w:spacing w:after="0" w:line="180" w:lineRule="exact"/>
        <w:rPr>
          <w:sz w:val="20"/>
          <w:szCs w:val="20"/>
          <w:color w:val="auto"/>
        </w:rPr>
      </w:pPr>
    </w:p>
    <w:p>
      <w:pPr>
        <w:ind w:left="120" w:firstLine="440"/>
        <w:spacing w:after="0" w:line="312" w:lineRule="auto"/>
        <w:rPr>
          <w:sz w:val="20"/>
          <w:szCs w:val="20"/>
          <w:color w:val="auto"/>
        </w:rPr>
      </w:pPr>
      <w:r>
        <w:rPr>
          <w:rFonts w:ascii="Arial" w:cs="Arial" w:eastAsia="Arial" w:hAnsi="Arial"/>
          <w:sz w:val="17"/>
          <w:szCs w:val="17"/>
          <w:b w:val="1"/>
          <w:bCs w:val="1"/>
          <w:color w:val="auto"/>
        </w:rPr>
        <w:t xml:space="preserve">Vesting Upon Change in Control. </w:t>
      </w:r>
      <w:r>
        <w:rPr>
          <w:rFonts w:ascii="Arial" w:cs="Arial" w:eastAsia="Arial" w:hAnsi="Arial"/>
          <w:sz w:val="17"/>
          <w:szCs w:val="17"/>
          <w:color w:val="auto"/>
        </w:rPr>
        <w:t>The Committee may not accelerate the vesting and exercisability (as applicable) of any outstanding Awards, in</w:t>
      </w:r>
      <w:r>
        <w:rPr>
          <w:rFonts w:ascii="Arial" w:cs="Arial" w:eastAsia="Arial" w:hAnsi="Arial"/>
          <w:sz w:val="17"/>
          <w:szCs w:val="17"/>
          <w:b w:val="1"/>
          <w:bCs w:val="1"/>
          <w:color w:val="auto"/>
        </w:rPr>
        <w:t xml:space="preserve"> </w:t>
      </w:r>
      <w:r>
        <w:rPr>
          <w:rFonts w:ascii="Arial" w:cs="Arial" w:eastAsia="Arial" w:hAnsi="Arial"/>
          <w:sz w:val="17"/>
          <w:szCs w:val="17"/>
          <w:color w:val="auto"/>
        </w:rPr>
        <w:t>whole or in part, solely upon the occurrence of a Change in Control (as defined in the 2021 Plan) except as provided below.</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event of a Change in Control after approval of this proposal:</w:t>
      </w:r>
    </w:p>
    <w:p>
      <w:pPr>
        <w:spacing w:after="0" w:line="225" w:lineRule="exact"/>
        <w:rPr>
          <w:sz w:val="20"/>
          <w:szCs w:val="20"/>
          <w:color w:val="auto"/>
        </w:rPr>
      </w:pPr>
    </w:p>
    <w:p>
      <w:pPr>
        <w:ind w:left="120" w:right="80" w:firstLine="987"/>
        <w:spacing w:after="0" w:line="273" w:lineRule="auto"/>
        <w:tabs>
          <w:tab w:leader="none" w:pos="135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the extent an outstanding Award subject solely to time-based vesting is not assumed or replaced by a comparable Award referencing shares of the capital stock of the successor corporation or its “parent corporation” or “subsidiary corporation” which is publicly traded on a national stock exchange or quotation system, as determined by the Committee in its sole discretion, with appropriate adjustments as to the number and kinds of shares and the exercise prices, if applicable, then any outstanding Award subject solely to time-based vesting then held by participants that is unexercisable, unvested or still subject to restrictions or forfeiture will, in each case as specified by the Committee in the applicable Award Agreement or otherwise, be deemed exercisable or otherwise vested as of immediately prior to such Change in Control;</w:t>
      </w:r>
    </w:p>
    <w:p>
      <w:pPr>
        <w:spacing w:after="0" w:line="177" w:lineRule="exact"/>
        <w:rPr>
          <w:rFonts w:ascii="Arial" w:cs="Arial" w:eastAsia="Arial" w:hAnsi="Arial"/>
          <w:sz w:val="17"/>
          <w:szCs w:val="17"/>
          <w:color w:val="auto"/>
        </w:rPr>
      </w:pPr>
    </w:p>
    <w:p>
      <w:pPr>
        <w:ind w:left="120" w:right="120" w:firstLine="987"/>
        <w:spacing w:after="0" w:line="279" w:lineRule="auto"/>
        <w:tabs>
          <w:tab w:leader="none" w:pos="136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stock-denominated performance-based Awards outstanding as of the date such Change in Control is determined to have occurred shall be converted into, as applicable, time-based restricted stock of the successor corporation or its “parent corporation” or “subsidiary corporation” or time-based restricted stock units based on the capital stock of the successor corporation or its “parent corporation” or “subsidiary corporation” and, if, during the 12-month period following the date of such Change in Control, the participant’s employment is terminated by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such successor (or an affiliate thereof) without cause or by the participant for good reason, such Awards, to the extent then outstanding, will fully vest. With respect to performance-based Awards that are outstanding as of the date of such Change in Control and are not converted to a time-based Award, any deferral or other restriction will lapse and such Awards will be settled in cash as promptly as is practicable. In either case, unless otherwise determined by the Committee in an Award Agreement or otherwise, the value of the performance-based Awards as of the date of the Change in Control will be determined assuming target performance has been achieved, except that the value shall be determined based on actual performance as of such date if (i) more than half of the performance period has elapsed as of such date and (ii) actual performance is determinable as of such date; and</w:t>
      </w:r>
    </w:p>
    <w:p>
      <w:pPr>
        <w:spacing w:after="0" w:line="164" w:lineRule="exact"/>
        <w:rPr>
          <w:sz w:val="20"/>
          <w:szCs w:val="20"/>
          <w:color w:val="auto"/>
        </w:rPr>
      </w:pPr>
    </w:p>
    <w:p>
      <w:pPr>
        <w:ind w:left="120" w:right="20" w:firstLine="987"/>
        <w:spacing w:after="0" w:line="263" w:lineRule="auto"/>
        <w:tabs>
          <w:tab w:leader="none" w:pos="13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outstanding Award that is assumed in connection with a Change in Control, or is otherwise to continue in effect subsequent to the Change in Control, will be appropriately adjusted, immediately after the Change in Control, as to the number and class of securities and other relevant terms.</w:t>
      </w:r>
    </w:p>
    <w:p>
      <w:pPr>
        <w:spacing w:after="0" w:line="180" w:lineRule="exact"/>
        <w:rPr>
          <w:sz w:val="20"/>
          <w:szCs w:val="20"/>
          <w:color w:val="auto"/>
        </w:rPr>
      </w:pPr>
    </w:p>
    <w:p>
      <w:pPr>
        <w:ind w:left="120" w:right="200" w:firstLine="440"/>
        <w:spacing w:after="0" w:line="266" w:lineRule="auto"/>
        <w:rPr>
          <w:sz w:val="20"/>
          <w:szCs w:val="20"/>
          <w:color w:val="auto"/>
        </w:rPr>
      </w:pPr>
      <w:r>
        <w:rPr>
          <w:rFonts w:ascii="Arial" w:cs="Arial" w:eastAsia="Arial" w:hAnsi="Arial"/>
          <w:sz w:val="18"/>
          <w:szCs w:val="18"/>
          <w:b w:val="1"/>
          <w:bCs w:val="1"/>
          <w:color w:val="auto"/>
        </w:rPr>
        <w:t xml:space="preserve">Term of 2021 Plan. </w:t>
      </w:r>
      <w:r>
        <w:rPr>
          <w:rFonts w:ascii="Arial" w:cs="Arial" w:eastAsia="Arial" w:hAnsi="Arial"/>
          <w:sz w:val="18"/>
          <w:szCs w:val="18"/>
          <w:color w:val="auto"/>
        </w:rPr>
        <w:t>Unless sooner terminated as permitted, the 2021 Plan shall terminate ten (10) years from the Effective Date. After the 2021</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terminated, no Awards may be granted but Awards previously granted shall remain outstanding in accordance with their applicable terms and conditions and the 2021 Plan’s terms and conditions.</w:t>
      </w:r>
    </w:p>
    <w:p>
      <w:pPr>
        <w:spacing w:after="0" w:line="176" w:lineRule="exact"/>
        <w:rPr>
          <w:sz w:val="20"/>
          <w:szCs w:val="20"/>
          <w:color w:val="auto"/>
        </w:rPr>
      </w:pPr>
    </w:p>
    <w:p>
      <w:pPr>
        <w:ind w:left="120" w:firstLine="440"/>
        <w:spacing w:after="0" w:line="277" w:lineRule="auto"/>
        <w:rPr>
          <w:sz w:val="20"/>
          <w:szCs w:val="20"/>
          <w:color w:val="auto"/>
        </w:rPr>
      </w:pPr>
      <w:r>
        <w:rPr>
          <w:rFonts w:ascii="Arial" w:cs="Arial" w:eastAsia="Arial" w:hAnsi="Arial"/>
          <w:sz w:val="17"/>
          <w:szCs w:val="17"/>
          <w:b w:val="1"/>
          <w:bCs w:val="1"/>
          <w:color w:val="auto"/>
        </w:rPr>
        <w:t xml:space="preserve">Repricing Prohibited. </w:t>
      </w:r>
      <w:r>
        <w:rPr>
          <w:rFonts w:ascii="Arial" w:cs="Arial" w:eastAsia="Arial" w:hAnsi="Arial"/>
          <w:sz w:val="17"/>
          <w:szCs w:val="17"/>
          <w:color w:val="auto"/>
        </w:rPr>
        <w:t>Except for the adjustments provided for in the 2021 Plan, neither the Committee nor any other person may decrease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price for any outstanding stock option or SAR after the date of grant, cancel an outstanding stock option or SAR in exchange for cash or other securities (other than cash or other securities with a fair market value equal to the excess of the fair market value of the shares subject to such stock option or SAR at the time of cancellation over the exercise or grant price for such shares), or allow a participant to surrender an outstanding stock option or SAR to us as consideration for the grant of a new stock option or SAR with a lower exercise price.</w:t>
      </w:r>
    </w:p>
    <w:p>
      <w:pPr>
        <w:spacing w:after="0" w:line="168" w:lineRule="exact"/>
        <w:rPr>
          <w:sz w:val="20"/>
          <w:szCs w:val="20"/>
          <w:color w:val="auto"/>
        </w:rPr>
      </w:pPr>
    </w:p>
    <w:p>
      <w:pPr>
        <w:jc w:val="both"/>
        <w:ind w:left="120" w:right="140" w:firstLine="440"/>
        <w:spacing w:after="0" w:line="266" w:lineRule="auto"/>
        <w:rPr>
          <w:sz w:val="20"/>
          <w:szCs w:val="20"/>
          <w:color w:val="auto"/>
        </w:rPr>
      </w:pPr>
      <w:r>
        <w:rPr>
          <w:rFonts w:ascii="Arial" w:cs="Arial" w:eastAsia="Arial" w:hAnsi="Arial"/>
          <w:sz w:val="18"/>
          <w:szCs w:val="18"/>
          <w:b w:val="1"/>
          <w:bCs w:val="1"/>
          <w:color w:val="auto"/>
        </w:rPr>
        <w:t xml:space="preserve">Certain U.S. Federal Income Tax Consequences. </w:t>
      </w:r>
      <w:r>
        <w:rPr>
          <w:rFonts w:ascii="Arial" w:cs="Arial" w:eastAsia="Arial" w:hAnsi="Arial"/>
          <w:sz w:val="18"/>
          <w:szCs w:val="18"/>
          <w:color w:val="auto"/>
        </w:rPr>
        <w:t>The following discussion addresses certain U.S. federal income tax consequences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awards granted under the 2021 Plan. This discussion does not cover federal employment tax or other federal tax consequences that may be associated with the 2021 Plan, nor does it cover state, local or non-U.S. taxes.</w:t>
      </w:r>
    </w:p>
    <w:p>
      <w:pPr>
        <w:spacing w:after="0" w:line="180"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Incentive Stock Options (ISOs). </w:t>
      </w:r>
      <w:r>
        <w:rPr>
          <w:rFonts w:ascii="Arial" w:cs="Arial" w:eastAsia="Arial" w:hAnsi="Arial"/>
          <w:sz w:val="16"/>
          <w:szCs w:val="16"/>
          <w:color w:val="auto"/>
        </w:rPr>
        <w:t>There are no federal income tax consequences when an ISO is granted. A participant will also generally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 taxable income when an ISO is exercised, provided that the participant was our employee during the entire period from the date of grant until the date the ISO was exercised (although the excess of the fair market value of the shares at the time of exercise over the exercise price of ISOs is included when calculating a participant’s alternative minimum tax liability). If the participant terminates service before exercising the ISO, the employment requirement will still be met if the ISO is exercised within three months of the participant’s termination of employment for reasons other than death or disability, within one year of termination of employment due to disability, or before the expiration of the ISO in the event of death. Upon a sale of the shares acquired upon exercise of an ISO, the participant realizes a long-term capital gain (or loss), equal to the difference between the sales price and the exercise price of the shares, if he or she sells the shares at least two years after the ISO grant date and has held the shares for at least one year. If the participant disposes of the shares before the expiration of these periods, then he or she recognizes ordinary income at the time of the sale (or other disqualifying disposition) equal to the lesser of (i) the gain he or she realized on the sale, and (ii) the difference between the exercise price and the fair market value of the shares on the exercise date. We generally receive a corresponding tax deduction in the same amount that the participant recognizes as income. If the employment requirement described above is not met, the tax consequences related to NQSOs, discussed below, will apply.</w:t>
      </w:r>
    </w:p>
    <w:p>
      <w:pPr>
        <w:spacing w:after="0" w:line="168"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b w:val="1"/>
          <w:bCs w:val="1"/>
          <w:i w:val="1"/>
          <w:iCs w:val="1"/>
          <w:color w:val="auto"/>
        </w:rPr>
        <w:t xml:space="preserve">Nonqualified Stock Options (NQSOs). </w:t>
      </w:r>
      <w:r>
        <w:rPr>
          <w:rFonts w:ascii="Arial" w:cs="Arial" w:eastAsia="Arial" w:hAnsi="Arial"/>
          <w:sz w:val="16"/>
          <w:szCs w:val="16"/>
          <w:color w:val="auto"/>
        </w:rPr>
        <w:t>In general, a participant has no taxable income at the time a NQSO is granted but realizes income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he or she exercises a NQSO, in an amount equal to the excess of the fair market value of the shares at the time of exercise over the exercise price. We generally receive a corresponding tax deduction in the same amount that the participant recognizes as income. Any gain or loss recognized upon a subsequent sale or exchange of the shares is generally treated as capital gain or loss for which we are not entitled to a deduction.</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SARs. </w:t>
      </w:r>
      <w:r>
        <w:rPr>
          <w:rFonts w:ascii="Arial" w:cs="Arial" w:eastAsia="Arial" w:hAnsi="Arial"/>
          <w:sz w:val="18"/>
          <w:szCs w:val="18"/>
          <w:color w:val="auto"/>
        </w:rPr>
        <w:t>A participant has no taxable income at the time a SAR is granted but realizes income at the time he or she exercises a SAR, in an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the excess of the fair market value of the shares at the time of exercise over the fair market value of the shares on the date of grant to which the SAR relates. We receive a corresponding tax deduction in the same amount that the participant recognizes as income. If a participant receives shares when he or she exercises a SAR, any gain or loss recognized upon a subsequent sale or exchange of the shares is generally treated as capital gain or loss for which we are not entitled to a deduction.</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Restricted Stock (including Performance Stock)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Unless a participant makes an election to accelerate the recognition of income to the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 as described below, the participant will not recognize income at the time a restricted stock award is granted. When the restrictions lapse, the participant will recognize ordinary income equal to the fair market value of the shares as of that date, less any amount paid for the stock, and we will be allowed a corresponding tax deduction at that time. If the participant timely files an election under Section 83(b) of the Code, the participant will recognize ordinary income as of the date of grant equal to the fair market value of the shares as of that date, less any amount the participant paid for the shares, and we will be allowed a corresponding tax deduction at that time. Any gain or loss recognized upon a subsequent sale or exchange of the shares is generally treated as capital gain or loss for which we are not entitled to a deduction.</w:t>
      </w:r>
    </w:p>
    <w:p>
      <w:pPr>
        <w:spacing w:after="0" w:line="176"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b w:val="1"/>
          <w:bCs w:val="1"/>
          <w:i w:val="1"/>
          <w:iCs w:val="1"/>
          <w:color w:val="auto"/>
        </w:rPr>
        <w:t>Restricted Stock Units (RSUs) (including Performance Stock Units (PSUs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participant does not recognize income at the time a RSU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When shares are delivered to a participant under a RSU, the participant will recognize ordinary income in an amount equal to the fair market value of the shares on the date of delivery, and we generally will be allowed a corresponding tax deduction at that time. Any gain or loss recognized upon a subsequent sale or exchange of the shares is generally treated as capital gain or loss for which we are not entitled to a deduction.</w:t>
      </w:r>
    </w:p>
    <w:p>
      <w:pPr>
        <w:spacing w:after="0" w:line="15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b w:val="1"/>
          <w:bCs w:val="1"/>
          <w:i w:val="1"/>
          <w:iCs w:val="1"/>
          <w:color w:val="auto"/>
        </w:rPr>
        <w:t>Bonus Shares and Dividend Equivalents</w:t>
      </w:r>
      <w:r>
        <w:rPr>
          <w:rFonts w:ascii="Arial" w:cs="Arial" w:eastAsia="Arial" w:hAnsi="Arial"/>
          <w:sz w:val="16"/>
          <w:szCs w:val="16"/>
          <w:color w:val="auto"/>
        </w:rPr>
        <w:t>. A participant will recognize ordinary income on the date on which bonus shares are granted, equal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closing price of the shares on such date, and we generally will be entitled to a corresponding deduction. Any gain or loss recognized upon a subsequent sale or exchange of the shares is generally treated as capital gain or loss for which we are not entitled to a deduction. A participant also recognizes ordinary income on the date on which dividend equivalents are paid and we are entitled to a corresponding deduction at that time.</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Tax Withholding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 participant recognizes ordinary income with respect to exercise of a stock option or SAR, vesting of restricted stock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granting of such award, if the participant makes an 83(b) election), settlement of an RSU award, delivery of bonus shares, or upon the payment of dividend equivalents, federal tax regulations require that we collect income taxes at withholding rates.</w:t>
      </w:r>
    </w:p>
    <w:p>
      <w:pPr>
        <w:spacing w:after="0" w:line="18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b w:val="1"/>
          <w:bCs w:val="1"/>
          <w:i w:val="1"/>
          <w:iCs w:val="1"/>
          <w:color w:val="auto"/>
        </w:rPr>
        <w:t xml:space="preserve">Code Section 162(m) and 409A. </w:t>
      </w:r>
      <w:r>
        <w:rPr>
          <w:rFonts w:ascii="Arial" w:cs="Arial" w:eastAsia="Arial" w:hAnsi="Arial"/>
          <w:sz w:val="18"/>
          <w:szCs w:val="18"/>
          <w:color w:val="auto"/>
        </w:rPr>
        <w:t>Section 162(m) of the Code denies a federal income tax deduction for certain compensation in excess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$1,000,000 per year paid to certain executive employees, which may limit our ability to fully deduct the value of awards under the 2021 Plan. Section 409A of the Code provides additional tax rules governing nonqualified deferred compensation, which may impose additional taxes on participants for certain types of nonqualified deferred compensation that is not in compliance with Section 409A. The 2021 Plan is designed to prevent awards from being subject to the requirements of Section 409A.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affirmative vote of a majority of the combined voting power of the shares of common stock present at the meeting in person or by proxy and entitled to vote is required for the approval of the amendment to the 2021 Plan.</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RECOMMENDS A VOTE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THE AMENDMENT TO THE</w:t>
      </w:r>
      <w:r>
        <w:rPr>
          <w:rFonts w:ascii="Arial" w:cs="Arial" w:eastAsia="Arial" w:hAnsi="Arial"/>
          <w:sz w:val="18"/>
          <w:szCs w:val="18"/>
          <w:b w:val="1"/>
          <w:bCs w:val="1"/>
          <w:color w:val="auto"/>
        </w:rPr>
        <w:t xml:space="preserve"> 2021 </w:t>
      </w:r>
      <w:r>
        <w:rPr>
          <w:rFonts w:ascii="Arial" w:cs="Arial" w:eastAsia="Arial" w:hAnsi="Arial"/>
          <w:sz w:val="14"/>
          <w:szCs w:val="14"/>
          <w:b w:val="1"/>
          <w:bCs w:val="1"/>
          <w:color w:val="auto"/>
        </w:rPr>
        <w:t>PLAN TO INCREASE THE NUMBER OF SHARES ISSUABLE UNDER THE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14"/>
          <w:szCs w:val="14"/>
          <w:b w:val="1"/>
          <w:bCs w:val="1"/>
          <w:color w:val="auto"/>
        </w:rPr>
        <w:t>PLAN</w:t>
      </w:r>
      <w:r>
        <w:rPr>
          <w:rFonts w:ascii="Arial" w:cs="Arial" w:eastAsia="Arial" w:hAnsi="Arial"/>
          <w:sz w:val="18"/>
          <w:szCs w:val="18"/>
          <w:b w:val="1"/>
          <w:bCs w:val="1"/>
          <w:color w:val="auto"/>
        </w:rPr>
        <w: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OWNERSHIP OF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known by us regarding the beneficial ownership of our Common Stock by:</w:t>
      </w:r>
    </w:p>
    <w:p>
      <w:pPr>
        <w:spacing w:after="0" w:line="131" w:lineRule="exact"/>
        <w:rPr>
          <w:sz w:val="20"/>
          <w:szCs w:val="20"/>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person who is known by us to be the beneficial owner of more than 5% of the outstanding shares of Common Stock;</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 “Executive Compensation;”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84"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All information is as of the record date, November 11, 2022, except as noted otherwise. On such date, there were [ ] shares of Class A common Stock outstanding with the right to one vote per share on each matter to come before the meeting, [ ] shares of Class B common stock outstanding with the right to ten votes per share on each matter to come before the meeting and a combined voting power of [ ].</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Unless otherwise noted, the address for each beneficial owner listed below is c/o P10, Inc., 4514 Cole Ave, Suite 1600, Dallas, TX 75205.</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Class A</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Class B</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Common</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Common</w:t>
            </w: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Combined</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Stock</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Stock</w:t>
            </w: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Voting Power</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Combined</w:t>
            </w:r>
          </w:p>
        </w:tc>
        <w:tc>
          <w:tcPr>
            <w:tcW w:w="0" w:type="dxa"/>
            <w:vAlign w:val="bottom"/>
          </w:tcPr>
          <w:p>
            <w:pPr>
              <w:spacing w:after="0"/>
              <w:rPr>
                <w:sz w:val="1"/>
                <w:szCs w:val="1"/>
                <w:color w:val="auto"/>
              </w:rPr>
            </w:pPr>
          </w:p>
        </w:tc>
      </w:tr>
      <w:tr>
        <w:trPr>
          <w:trHeight w:val="148"/>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rPr>
              <w:t>Name and Address of Beneficial Ownership</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Beneficially</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8"/>
              </w:rPr>
              <w:t>Beneficially</w:t>
            </w: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2"/>
              </w:rPr>
              <w:t>and Nature</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7"/>
              </w:rPr>
              <w:t>Percent of</w:t>
            </w:r>
          </w:p>
        </w:tc>
        <w:tc>
          <w:tcPr>
            <w:tcW w:w="12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3"/>
              </w:rPr>
              <w:t>Percent of</w:t>
            </w: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5"/>
              </w:rPr>
              <w:t>Voting</w:t>
            </w:r>
          </w:p>
        </w:tc>
        <w:tc>
          <w:tcPr>
            <w:tcW w:w="0" w:type="dxa"/>
            <w:vAlign w:val="bottom"/>
          </w:tcPr>
          <w:p>
            <w:pPr>
              <w:spacing w:after="0"/>
              <w:rPr>
                <w:sz w:val="1"/>
                <w:szCs w:val="1"/>
                <w:color w:val="auto"/>
              </w:rPr>
            </w:pPr>
          </w:p>
        </w:tc>
      </w:tr>
      <w:tr>
        <w:trPr>
          <w:trHeight w:val="154"/>
        </w:trPr>
        <w:tc>
          <w:tcPr>
            <w:tcW w:w="4120" w:type="dxa"/>
            <w:vAlign w:val="bottom"/>
            <w:gridSpan w:val="2"/>
            <w:vMerge w:val="continue"/>
          </w:tcPr>
          <w:p>
            <w:pPr>
              <w:spacing w:after="0"/>
              <w:rPr>
                <w:sz w:val="13"/>
                <w:szCs w:val="13"/>
                <w:color w:val="auto"/>
              </w:rPr>
            </w:pPr>
          </w:p>
        </w:tc>
        <w:tc>
          <w:tcPr>
            <w:tcW w:w="108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0"/>
              </w:rPr>
              <w:t>Owned</w:t>
            </w:r>
          </w:p>
        </w:tc>
        <w:tc>
          <w:tcPr>
            <w:tcW w:w="114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4"/>
              </w:rPr>
              <w:t>Owned</w:t>
            </w:r>
          </w:p>
        </w:tc>
        <w:tc>
          <w:tcPr>
            <w:tcW w:w="1440" w:type="dxa"/>
            <w:vAlign w:val="bottom"/>
            <w:gridSpan w:val="2"/>
          </w:tcPr>
          <w:p>
            <w:pPr>
              <w:ind w:left="240"/>
              <w:spacing w:after="0" w:line="154" w:lineRule="exact"/>
              <w:rPr>
                <w:sz w:val="20"/>
                <w:szCs w:val="20"/>
                <w:color w:val="auto"/>
              </w:rPr>
            </w:pPr>
            <w:r>
              <w:rPr>
                <w:rFonts w:ascii="Arial" w:cs="Arial" w:eastAsia="Arial" w:hAnsi="Arial"/>
                <w:sz w:val="14"/>
                <w:szCs w:val="14"/>
                <w:color w:val="auto"/>
              </w:rPr>
              <w:t>of Class</w:t>
            </w:r>
          </w:p>
        </w:tc>
        <w:tc>
          <w:tcPr>
            <w:tcW w:w="1000" w:type="dxa"/>
            <w:vAlign w:val="bottom"/>
            <w:gridSpan w:val="2"/>
          </w:tcPr>
          <w:p>
            <w:pPr>
              <w:jc w:val="right"/>
              <w:ind w:right="480"/>
              <w:spacing w:after="0" w:line="154" w:lineRule="exact"/>
              <w:rPr>
                <w:sz w:val="20"/>
                <w:szCs w:val="20"/>
                <w:color w:val="auto"/>
              </w:rPr>
            </w:pPr>
            <w:r>
              <w:rPr>
                <w:rFonts w:ascii="Arial" w:cs="Arial" w:eastAsia="Arial" w:hAnsi="Arial"/>
                <w:sz w:val="14"/>
                <w:szCs w:val="14"/>
                <w:color w:val="auto"/>
              </w:rPr>
              <w:t>Class A</w:t>
            </w:r>
          </w:p>
        </w:tc>
        <w:tc>
          <w:tcPr>
            <w:tcW w:w="1220" w:type="dxa"/>
            <w:vAlign w:val="bottom"/>
            <w:gridSpan w:val="2"/>
          </w:tcPr>
          <w:p>
            <w:pPr>
              <w:jc w:val="center"/>
              <w:ind w:right="620"/>
              <w:spacing w:after="0" w:line="154" w:lineRule="exact"/>
              <w:rPr>
                <w:sz w:val="20"/>
                <w:szCs w:val="20"/>
                <w:color w:val="auto"/>
              </w:rPr>
            </w:pPr>
            <w:r>
              <w:rPr>
                <w:rFonts w:ascii="Arial" w:cs="Arial" w:eastAsia="Arial" w:hAnsi="Arial"/>
                <w:sz w:val="14"/>
                <w:szCs w:val="14"/>
                <w:color w:val="auto"/>
                <w:w w:val="91"/>
              </w:rPr>
              <w:t>Class B</w:t>
            </w:r>
          </w:p>
        </w:tc>
        <w:tc>
          <w:tcPr>
            <w:tcW w:w="1020" w:type="dxa"/>
            <w:vAlign w:val="bottom"/>
            <w:gridSpan w:val="2"/>
          </w:tcPr>
          <w:p>
            <w:pPr>
              <w:jc w:val="center"/>
              <w:ind w:right="420"/>
              <w:spacing w:after="0" w:line="154" w:lineRule="exact"/>
              <w:rPr>
                <w:sz w:val="20"/>
                <w:szCs w:val="20"/>
                <w:color w:val="auto"/>
              </w:rPr>
            </w:pPr>
            <w:r>
              <w:rPr>
                <w:rFonts w:ascii="Arial" w:cs="Arial" w:eastAsia="Arial" w:hAnsi="Arial"/>
                <w:sz w:val="14"/>
                <w:szCs w:val="14"/>
                <w:color w:val="auto"/>
                <w:w w:val="90"/>
              </w:rPr>
              <w:t>Power</w:t>
            </w:r>
          </w:p>
        </w:tc>
        <w:tc>
          <w:tcPr>
            <w:tcW w:w="0" w:type="dxa"/>
            <w:vAlign w:val="bottom"/>
          </w:tcPr>
          <w:p>
            <w:pPr>
              <w:spacing w:after="0"/>
              <w:rPr>
                <w:sz w:val="1"/>
                <w:szCs w:val="1"/>
                <w:color w:val="auto"/>
              </w:rPr>
            </w:pPr>
          </w:p>
        </w:tc>
      </w:tr>
      <w:tr>
        <w:trPr>
          <w:trHeight w:val="20"/>
        </w:trPr>
        <w:tc>
          <w:tcPr>
            <w:tcW w:w="25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AllianceBernstein L.P.</w:t>
            </w:r>
          </w:p>
        </w:tc>
        <w:tc>
          <w:tcPr>
            <w:tcW w:w="15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vMerge w:val="continue"/>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2,908,710</w:t>
            </w:r>
          </w:p>
        </w:tc>
        <w:tc>
          <w:tcPr>
            <w:tcW w:w="30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ind w:left="240"/>
              <w:spacing w:after="0"/>
              <w:rPr>
                <w:sz w:val="20"/>
                <w:szCs w:val="20"/>
                <w:color w:val="auto"/>
              </w:rPr>
            </w:pPr>
            <w:r>
              <w:rPr>
                <w:rFonts w:ascii="Arial" w:cs="Arial" w:eastAsia="Arial" w:hAnsi="Arial"/>
                <w:sz w:val="17"/>
                <w:szCs w:val="17"/>
                <w:color w:val="auto"/>
                <w:w w:val="72"/>
              </w:rPr>
              <w:t>2,908,710(1)</w:t>
            </w:r>
          </w:p>
        </w:tc>
        <w:tc>
          <w:tcPr>
            <w:tcW w:w="480" w:type="dxa"/>
            <w:vAlign w:val="bottom"/>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7.0%</w:t>
            </w: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w w:val="84"/>
              </w:rPr>
              <w:t>*</w:t>
            </w:r>
          </w:p>
        </w:tc>
        <w:tc>
          <w:tcPr>
            <w:tcW w:w="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 Rowe Price Investment Management, Inc.</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3,605,257</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color w:val="auto"/>
              </w:rPr>
              <w:t>3,605,257(2)</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Federated Hermes, Inc.</w:t>
            </w: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2,822,860</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2,822,860(3)</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Altai Capital Management, L.P.</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2,659,433</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color w:val="auto"/>
              </w:rPr>
              <w:t>2,659,433(4)</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Kent P. Dauten</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6,583,091</w:t>
            </w:r>
          </w:p>
        </w:tc>
        <w:tc>
          <w:tcPr>
            <w:tcW w:w="1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65,830,910(5)</w:t>
            </w: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8.6%</w:t>
            </w:r>
          </w:p>
        </w:tc>
        <w:tc>
          <w:tcPr>
            <w:tcW w:w="10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Robert Alpert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13,167,397</w:t>
            </w: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131,673,970(6)</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17.3%(6)</w:t>
            </w:r>
          </w:p>
        </w:tc>
        <w:tc>
          <w:tcPr>
            <w:tcW w:w="1000" w:type="dxa"/>
            <w:vAlign w:val="bottom"/>
          </w:tcPr>
          <w:p>
            <w:pPr>
              <w:jc w:val="right"/>
              <w:spacing w:after="0"/>
              <w:rPr>
                <w:sz w:val="20"/>
                <w:szCs w:val="20"/>
                <w:color w:val="auto"/>
              </w:rPr>
            </w:pPr>
            <w:r>
              <w:rPr>
                <w:rFonts w:ascii="Arial" w:cs="Arial" w:eastAsia="Arial" w:hAnsi="Arial"/>
                <w:sz w:val="18"/>
                <w:szCs w:val="18"/>
                <w:color w:val="auto"/>
              </w:rPr>
              <w:t>16.4%(6)</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 Clark Webb</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13,167,397</w:t>
            </w:r>
          </w:p>
        </w:tc>
        <w:tc>
          <w:tcPr>
            <w:tcW w:w="1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131,673,970(6)</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William F. Souder</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4,261,939</w:t>
            </w: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42,619,390(7)</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5.6%</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5.3%</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Robert B. Stewart Jr.</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13,291</w:t>
            </w:r>
          </w:p>
        </w:tc>
        <w:tc>
          <w:tcPr>
            <w:tcW w:w="1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132,910</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Travis Barnes</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13,291</w:t>
            </w:r>
          </w:p>
        </w:tc>
        <w:tc>
          <w:tcPr>
            <w:tcW w:w="1680" w:type="dxa"/>
            <w:vAlign w:val="bottom"/>
          </w:tcPr>
          <w:p>
            <w:pPr>
              <w:jc w:val="right"/>
              <w:ind w:right="510"/>
              <w:spacing w:after="0"/>
              <w:rPr>
                <w:sz w:val="20"/>
                <w:szCs w:val="20"/>
                <w:color w:val="auto"/>
              </w:rPr>
            </w:pPr>
            <w:r>
              <w:rPr>
                <w:rFonts w:ascii="Arial" w:cs="Arial" w:eastAsia="Arial" w:hAnsi="Arial"/>
                <w:sz w:val="18"/>
                <w:szCs w:val="18"/>
                <w:color w:val="auto"/>
              </w:rPr>
              <w:t>132,910</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Scott Gwilliam</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809,686</w:t>
            </w:r>
          </w:p>
        </w:tc>
        <w:tc>
          <w:tcPr>
            <w:tcW w:w="1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8,096,860</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Edwin Poston</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8,694,409</w:t>
            </w: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86,944,090(8)</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11.4%</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10.8%</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Jeff P. Gehl</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4,261,939</w:t>
            </w:r>
          </w:p>
        </w:tc>
        <w:tc>
          <w:tcPr>
            <w:tcW w:w="1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42,619,390(9)</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5.6%</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5.3%</w:t>
            </w: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color w:val="auto"/>
              </w:rPr>
              <w:t>(All directors and executive officers as a group 8</w:t>
            </w:r>
          </w:p>
        </w:tc>
        <w:tc>
          <w:tcPr>
            <w:tcW w:w="1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18"/>
                <w:szCs w:val="18"/>
                <w:color w:val="auto"/>
              </w:rPr>
              <w:t>persons)</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31,221,952</w:t>
            </w:r>
          </w:p>
        </w:tc>
        <w:tc>
          <w:tcPr>
            <w:tcW w:w="1680" w:type="dxa"/>
            <w:vAlign w:val="bottom"/>
          </w:tcPr>
          <w:p>
            <w:pPr>
              <w:jc w:val="right"/>
              <w:ind w:right="510"/>
              <w:spacing w:after="0"/>
              <w:rPr>
                <w:sz w:val="20"/>
                <w:szCs w:val="20"/>
                <w:color w:val="auto"/>
              </w:rPr>
            </w:pPr>
            <w:r>
              <w:rPr>
                <w:rFonts w:ascii="Arial" w:cs="Arial" w:eastAsia="Arial" w:hAnsi="Arial"/>
                <w:sz w:val="18"/>
                <w:szCs w:val="18"/>
                <w:color w:val="auto"/>
              </w:rPr>
              <w:t>312,219,520</w:t>
            </w: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38.9%</w:t>
            </w:r>
          </w:p>
        </w:tc>
      </w:tr>
    </w:tbl>
    <w:p>
      <w:pPr>
        <w:spacing w:after="0" w:line="229"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3" w:lineRule="exact"/>
        <w:rPr>
          <w:sz w:val="20"/>
          <w:szCs w:val="20"/>
          <w:color w:val="auto"/>
        </w:rPr>
      </w:pPr>
    </w:p>
    <w:p>
      <w:pPr>
        <w:ind w:left="540" w:right="240" w:hanging="424"/>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reported is based on Schedule 13G/A as filed with the SEC on June 10, 2022 on which Alliance Bernstein L.P., 1345 Avenue of the Americas, New York, NY 10105, reported sole voting power over 2,780,703 shares, sole dispositive power over 2,870,529 shares and shared dispositive power over 38,181 shares of our common stock as of May 31, 2022.</w:t>
      </w:r>
    </w:p>
    <w:p>
      <w:pPr>
        <w:spacing w:after="0" w:line="1" w:lineRule="exact"/>
        <w:rPr>
          <w:rFonts w:ascii="Arial" w:cs="Arial" w:eastAsia="Arial" w:hAnsi="Arial"/>
          <w:sz w:val="18"/>
          <w:szCs w:val="18"/>
          <w:color w:val="auto"/>
        </w:rPr>
      </w:pPr>
    </w:p>
    <w:p>
      <w:pPr>
        <w:jc w:val="both"/>
        <w:ind w:left="540" w:right="200" w:hanging="424"/>
        <w:spacing w:after="0" w:line="255"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reported is based on Schedule 13G as filed with the SEC on August 8, 2022 on which T. Rowe Price Investment Management, Inc., 101 E. Pratt Street, Baltimore, MD 21201 reported sole voting power over 1,044,033 shares and sole dispositive power over 3,605,257 shares of our common stock as of July 31, 2022.</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40" w:hanging="424"/>
        <w:spacing w:after="0" w:line="287"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Information reported is based on Schedule 13G/A as filed with the SEC on February 14, 2022 on which Federated Hermes, Inc., 1001 Liberty Avenue, Pittsburgh, PA 15222-3779, reported sole voting power over 2,822,860 shares and sole dispositive power over 2,822,860 shares of our common stock as of December 31, 2021, held by the following subsidiary of Federated Hermes, Inc.: Voting Shares Irrevocable Trust.</w:t>
      </w:r>
    </w:p>
    <w:p>
      <w:pPr>
        <w:spacing w:after="0" w:line="2" w:lineRule="exact"/>
        <w:rPr>
          <w:rFonts w:ascii="Arial" w:cs="Arial" w:eastAsia="Arial" w:hAnsi="Arial"/>
          <w:sz w:val="16"/>
          <w:szCs w:val="16"/>
          <w:color w:val="auto"/>
        </w:rPr>
      </w:pPr>
    </w:p>
    <w:p>
      <w:pPr>
        <w:ind w:left="540" w:right="12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reported is based on Schedule 13G/A as filed with the SEC on August 9, 2022 on which Altai Capital Management, L.P., 4675 MacArthur Court, Suite 1500, Newport Beach, California 92660, reported shared voting power over 2,659,433 shares and shared dispositive power over 2,659,433 shares of our common stock as of July 20, 2022, held by the following subsidiary of Altai Capital Management L.P.: Altai Capital Management, LLC.</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reported is based on Schedule 13G as filed with the SEC on June 30, 2022 on which Kent P. Dauten, 155 N. Wacker Drive, #4150, Chicago, Illinois 60606, reported sole voting power (giving effect to the voting power of the shares of Class B common stock) over 62,749,380 shares and shared dispositive power over 3,081,520 shares and sole dispositive power over 62,749,380 shares and shared dispositive power over 3,081,520 shares of our common stock as of June 27, 2022.</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reported is based on Schedule 13G as filed with the SEC on February 14, 2022 on which Robert Alpert and C. Clark Webb reported shared voting power over 13,167,397 Class B shares (each share of Class B common stock entitles its holder to ten votes for each share held, until a Sunset becomes effective) and shared dispositive power over 13,167,397 Class B shares of our common stock as of December 31, 2021. Shares beneficially owned by Mr. Alpert, individually and in his capacity as President and sole shareholder of RHA Investments and Mr. Webb, individually and in his capacity as sole member of CCW Holdings.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Shares beneficially owned by Souder Family LLC. Mr. Souder has the power to direct the affairs of Souder Family LLC as its managing member.</w:t>
      </w:r>
    </w:p>
    <w:p>
      <w:pPr>
        <w:spacing w:after="0" w:line="32" w:lineRule="exact"/>
        <w:rPr>
          <w:rFonts w:ascii="Arial" w:cs="Arial" w:eastAsia="Arial" w:hAnsi="Arial"/>
          <w:sz w:val="16"/>
          <w:szCs w:val="16"/>
          <w:color w:val="auto"/>
        </w:rPr>
      </w:pPr>
    </w:p>
    <w:p>
      <w:pPr>
        <w:ind w:left="540" w:right="46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by TrueBridge Colonial Fund, u/a dated 11/15/2015. Mr. Poston has the power to direct the affairs of TrueBridge Colonial Fund, u/a dated 11/15/2015 as its trustee.</w:t>
      </w:r>
    </w:p>
    <w:p>
      <w:pPr>
        <w:ind w:left="540" w:right="100" w:hanging="424"/>
        <w:spacing w:after="0" w:line="26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beneficially owned by the Jeff P. Gehl Living Trust dated January 25, 2011. Mr. Gehl has the power to direct the affairs of the Jeff P. Gehl Living Trust dated January 25, 2011 as its trustee.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Stockholders wishing to include proposals in the proxy materials in relation to our 2023 Annual Meeting of Stockholders must submit the same in writing, by mail, first-class postage pre-paid, to P10, Inc., 4514 Cole Ave, Suite 1600, Dallas, TX 75205, Attention: Corporate Secretary, which must be received at our executive office on or before December 31, 2022. Such proposals must also meet the other requirements and procedures prescribed by Rule 14a-8 under the Exchange Act relating to stockholders’ proposals.</w:t>
      </w:r>
    </w:p>
    <w:p>
      <w:pPr>
        <w:spacing w:after="0" w:line="18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Stockholders who intend to present a proposal at the 2023 Annual Meeting, without including such proposal in our proxy statement, must provide our Corporate Secretary with written notice of such proposal not less than 45 days and not more than 75 days prior to the first anniversary of the date on which we first mailed proxy materials for the preceding year’s annual meeting. If the stockholder does not also comply with the requirements of</w:t>
      </w:r>
    </w:p>
    <w:p>
      <w:pPr>
        <w:spacing w:after="0" w:line="2"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color w:val="auto"/>
        </w:rPr>
        <w:t>Rule 14a-4(c) under the Exchange Act, we may exercise discretionary voting authority under proxies we solicit to vote in accordance with our best judgment on any such stockholder proposal or nomination.</w:t>
      </w:r>
    </w:p>
    <w:p>
      <w:pPr>
        <w:spacing w:after="0" w:line="185"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Finally, the deadline for providing notice to the company under Rule 14a-19, the SEC’s universal proxy rule, of a stockholder’s intent to solicit proxies in support of nominees submitted under the Company’s advance notice bylaws for our 2023 annual meeting is April 18, 2023.</w:t>
      </w:r>
    </w:p>
    <w:p>
      <w:pPr>
        <w:spacing w:after="0" w:line="35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PROXY SOLICITATION</w:t>
      </w:r>
    </w:p>
    <w:p>
      <w:pPr>
        <w:spacing w:after="0" w:line="229" w:lineRule="exact"/>
        <w:rPr>
          <w:sz w:val="20"/>
          <w:szCs w:val="20"/>
          <w:color w:val="auto"/>
        </w:rPr>
      </w:pPr>
    </w:p>
    <w:p>
      <w:pPr>
        <w:ind w:left="120" w:right="280" w:firstLine="440"/>
        <w:spacing w:after="0" w:line="293" w:lineRule="auto"/>
        <w:rPr>
          <w:sz w:val="20"/>
          <w:szCs w:val="20"/>
          <w:color w:val="auto"/>
        </w:rPr>
      </w:pPr>
      <w:r>
        <w:rPr>
          <w:rFonts w:ascii="Arial" w:cs="Arial" w:eastAsia="Arial" w:hAnsi="Arial"/>
          <w:sz w:val="16"/>
          <w:szCs w:val="16"/>
          <w:color w:val="auto"/>
        </w:rPr>
        <w:t>We will pay all costs that we incur in connection with the solicitation of proxies for the special meeting, including the costs of preparing, assembling, printing and mailing this proxy statement, the Notice of Special Meeting of Stockholders, the proxy card and any additional solicitation material furnished to the stockholders. In addition to soliciting proxies by mail, certain of our officers and other employees may solicit proxies personally, by telephone or by electronic communication. Copies of the solicitation materials will be furnished to brokers, banks and other nominees holding shares in their names that are beneficially owned by others so that they may forward this solicitation material to such beneficial owners. We have retained InvestorCom, LLC to aid in the solicitation at an estimated cost of $6,500 plus reimbursable out-of-pocket expenses.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229"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To the extent we deliver a paper copy of the proxy materials to stockholders, the SEC rules allow us to deliver a single copy of proxy materials to any household at which two or more stockholders reside, if we believe the stockholders are members of the same family.</w:t>
      </w:r>
    </w:p>
    <w:p>
      <w:pPr>
        <w:spacing w:after="0" w:line="146"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will promptly deliver, upon oral or written request, a separate copy of the proxy materials to any stockholder residing at the same address as another stockholder and currently receiving only one copy of the proxy materials who wishes to receive his or her own copy. Requests should be directed to our Corporate Secretary by phone at 214-865-7998 or by mail to P10, Inc., 4514 Cole Ave, Suite 1600, Dallas, TX 75205.</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Board of Directors does not know of any matter to be brought before the Special Meeting other than the matters set forth in the Notice of Special Meeting of Stockholders and matters incident to the conduct of the Special Meeting. If any other matter should properly come before the Special Meeting, the persons named in the enclosed proxy card will have discretionary authority to vote all proxies with respect thereto in accordance with their best judgment.</w:t>
      </w:r>
    </w:p>
    <w:p>
      <w:pPr>
        <w:spacing w:after="0" w:line="2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829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Alpert</w:t>
      </w:r>
    </w:p>
    <w:p>
      <w:pPr>
        <w:spacing w:after="0" w:line="25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Co-Chief Executive Officer and Chairman of the Board of Directors</w:t>
      </w:r>
    </w:p>
    <w:p>
      <w:pPr>
        <w:spacing w:after="0" w:line="277" w:lineRule="exact"/>
        <w:rPr>
          <w:sz w:val="20"/>
          <w:szCs w:val="20"/>
          <w:color w:val="auto"/>
        </w:rPr>
      </w:pPr>
    </w:p>
    <w:p>
      <w:pPr>
        <w:ind w:left="5960"/>
        <w:spacing w:after="0"/>
        <w:tabs>
          <w:tab w:leader="none" w:pos="6980" w:val="left"/>
        </w:tabs>
        <w:rPr>
          <w:sz w:val="20"/>
          <w:szCs w:val="20"/>
          <w:color w:val="auto"/>
        </w:rPr>
      </w:pPr>
      <w:r>
        <w:rPr>
          <w:rFonts w:ascii="Arial" w:cs="Arial" w:eastAsia="Arial" w:hAnsi="Arial"/>
          <w:sz w:val="18"/>
          <w:szCs w:val="18"/>
          <w:color w:val="auto"/>
        </w:rPr>
        <w:t>November [</w:t>
      </w:r>
      <w:r>
        <w:rPr>
          <w:sz w:val="20"/>
          <w:szCs w:val="20"/>
          <w:color w:val="auto"/>
        </w:rPr>
        <w:tab/>
      </w:r>
      <w:r>
        <w:rPr>
          <w:rFonts w:ascii="Arial" w:cs="Arial" w:eastAsia="Arial" w:hAnsi="Arial"/>
          <w:sz w:val="16"/>
          <w:szCs w:val="16"/>
          <w:color w:val="auto"/>
        </w:rPr>
        <w:t>], 2022</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2021 INCENTIVE PLAN</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Amended and Restated</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further amended and restated on December 9, 2022</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Establishment and Purpose</w:t>
      </w:r>
    </w:p>
    <w:p>
      <w:pPr>
        <w:spacing w:after="0" w:line="225"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Establishment of the Plan</w:t>
      </w:r>
      <w:r>
        <w:rPr>
          <w:rFonts w:ascii="Arial" w:cs="Arial" w:eastAsia="Arial" w:hAnsi="Arial"/>
          <w:sz w:val="18"/>
          <w:szCs w:val="18"/>
          <w:color w:val="auto"/>
        </w:rPr>
        <w:t>. P10,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establishes an incentive compensation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as set forth in this document.</w:t>
      </w:r>
    </w:p>
    <w:p>
      <w:pPr>
        <w:spacing w:after="0" w:line="170"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Purpose of the Plan</w:t>
      </w:r>
      <w:r>
        <w:rPr>
          <w:rFonts w:ascii="Arial" w:cs="Arial" w:eastAsia="Arial" w:hAnsi="Arial"/>
          <w:sz w:val="16"/>
          <w:szCs w:val="16"/>
          <w:color w:val="auto"/>
        </w:rPr>
        <w:t>. The purposes of the Plan are to (a) enable the Company and any Affiliate to attract and retain the types of Employees, Consultants and Directors who will contribute to the Company’s long-range success; (b) provide incentives that align the interests of Employees, Consultants and Directors with those of stockholders of the Company; and (c) promote the success of the Company’s business.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Effective Date of the Plan</w:t>
      </w:r>
      <w:r>
        <w:rPr>
          <w:rFonts w:ascii="Arial" w:cs="Arial" w:eastAsia="Arial" w:hAnsi="Arial"/>
          <w:sz w:val="17"/>
          <w:szCs w:val="17"/>
          <w:color w:val="auto"/>
        </w:rPr>
        <w:t>. The Plan is effective as of the date the Plan is approved by the Company’s Board (the “</w:t>
      </w:r>
      <w:r>
        <w:rPr>
          <w:rFonts w:ascii="Arial" w:cs="Arial" w:eastAsia="Arial" w:hAnsi="Arial"/>
          <w:sz w:val="17"/>
          <w:szCs w:val="17"/>
          <w:u w:val="single" w:color="auto"/>
          <w:color w:val="auto"/>
        </w:rPr>
        <w:t>Effective Date</w:t>
      </w:r>
      <w:r>
        <w:rPr>
          <w:rFonts w:ascii="Arial" w:cs="Arial" w:eastAsia="Arial" w:hAnsi="Arial"/>
          <w:sz w:val="17"/>
          <w:szCs w:val="17"/>
          <w:color w:val="auto"/>
        </w:rPr>
        <w:t>”).</w:t>
      </w:r>
    </w:p>
    <w:p>
      <w:pPr>
        <w:spacing w:after="0" w:line="23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Duration of the Plan</w:t>
      </w:r>
      <w:r>
        <w:rPr>
          <w:rFonts w:ascii="Arial" w:cs="Arial" w:eastAsia="Arial" w:hAnsi="Arial"/>
          <w:sz w:val="18"/>
          <w:szCs w:val="18"/>
          <w:color w:val="auto"/>
        </w:rPr>
        <w:t>. Unless sooner terminated as provided herein, the Plan shall terminate ten (10) years from the Effective Date. After the Plan is terminated, no Awards may be granted but Awards previously granted shall remain outstanding in accordance with their applicable terms and conditions and the Plan’s terms and conditions.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Whenever used in the Plan, the following terms shall have the meanings set forth below and, when the meaning is intended, the initial letter of the word is capitalized:</w:t>
      </w:r>
    </w:p>
    <w:p>
      <w:pPr>
        <w:spacing w:after="0" w:line="170"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2.1 “</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that directly or indirectly through one or more intermediaries controls, is controlled by or is under common control with, the Person in question, including any subsidiary. As used herein, the term “control” means the possession, direct or indirect, of the power to direct or cause the direction of the management and policies of a Person, whether through ownership of voting securities, by contract or otherwise. As used herein, the term “subsidiary” means any corporation, partnership, venture or other entity in which the Company holds, directly or indirectly, a fifty percent (50%) or greater ownership interest.</w:t>
      </w:r>
    </w:p>
    <w:p>
      <w:pPr>
        <w:spacing w:after="0" w:line="176"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2.2 “</w:t>
      </w:r>
      <w:r>
        <w:rPr>
          <w:rFonts w:ascii="Arial" w:cs="Arial" w:eastAsia="Arial" w:hAnsi="Arial"/>
          <w:sz w:val="16"/>
          <w:szCs w:val="16"/>
          <w:u w:val="single" w:color="auto"/>
          <w:color w:val="auto"/>
        </w:rPr>
        <w:t>Applicable Law</w:t>
      </w:r>
      <w:r>
        <w:rPr>
          <w:rFonts w:ascii="Arial" w:cs="Arial" w:eastAsia="Arial" w:hAnsi="Arial"/>
          <w:sz w:val="16"/>
          <w:szCs w:val="16"/>
          <w:color w:val="auto"/>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49" w:lineRule="exact"/>
        <w:rPr>
          <w:sz w:val="20"/>
          <w:szCs w:val="20"/>
          <w:color w:val="auto"/>
        </w:rPr>
      </w:pPr>
    </w:p>
    <w:p>
      <w:pPr>
        <w:ind w:left="120" w:right="500" w:firstLine="440"/>
        <w:spacing w:after="0" w:line="286" w:lineRule="auto"/>
        <w:rPr>
          <w:sz w:val="20"/>
          <w:szCs w:val="20"/>
          <w:color w:val="auto"/>
        </w:rPr>
      </w:pPr>
      <w:r>
        <w:rPr>
          <w:rFonts w:ascii="Arial" w:cs="Arial" w:eastAsia="Arial" w:hAnsi="Arial"/>
          <w:sz w:val="17"/>
          <w:szCs w:val="17"/>
          <w:color w:val="auto"/>
        </w:rPr>
        <w:t>2.3 “</w:t>
      </w:r>
      <w:r>
        <w:rPr>
          <w:rFonts w:ascii="Arial" w:cs="Arial" w:eastAsia="Arial" w:hAnsi="Arial"/>
          <w:sz w:val="17"/>
          <w:szCs w:val="17"/>
          <w:u w:val="single" w:color="auto"/>
          <w:color w:val="auto"/>
        </w:rPr>
        <w:t>Award</w:t>
      </w:r>
      <w:r>
        <w:rPr>
          <w:rFonts w:ascii="Arial" w:cs="Arial" w:eastAsia="Arial" w:hAnsi="Arial"/>
          <w:sz w:val="17"/>
          <w:szCs w:val="17"/>
          <w:color w:val="auto"/>
        </w:rPr>
        <w:t>” means, individually or collectively, a grant or award under this Plan of Options, Stock Appreciation Rights, Restricted Stock (including unrestricted Stock), Restricted Stock Units, Performance Stock Units, Performance Shares, Deferred Stock Awards, Other Stock-Based Awards, Dividend Equivalent Awards and Performance Bonus Awards, in each case subject to the terms of the Plan.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2.4 “</w:t>
      </w:r>
      <w:r>
        <w:rPr>
          <w:rFonts w:ascii="Arial" w:cs="Arial" w:eastAsia="Arial" w:hAnsi="Arial"/>
          <w:sz w:val="17"/>
          <w:szCs w:val="17"/>
          <w:u w:val="single" w:color="auto"/>
          <w:color w:val="auto"/>
        </w:rPr>
        <w:t>Award Agreement</w:t>
      </w:r>
      <w:r>
        <w:rPr>
          <w:rFonts w:ascii="Arial" w:cs="Arial" w:eastAsia="Arial" w:hAnsi="Arial"/>
          <w:sz w:val="17"/>
          <w:szCs w:val="17"/>
          <w:color w:val="auto"/>
        </w:rPr>
        <w:t>” means an agreement, certificate, resolution or other type or form of writing or other evidence approved by the Committee which sets forth the terms and conditions of an Award. An Award Agreement may be in any electronic medium, may be limited to a notation on the books and records of the Company and, with the approval of the Committee, need not be signed by a representative of the Company or a Participant. In the event of any inconsistency between the Plan and an Award Agreement, the terms of the Plan shall govern.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2.5 “</w:t>
      </w:r>
      <w:r>
        <w:rPr>
          <w:rFonts w:ascii="Arial" w:cs="Arial" w:eastAsia="Arial" w:hAnsi="Arial"/>
          <w:sz w:val="16"/>
          <w:szCs w:val="16"/>
          <w:u w:val="single" w:color="auto"/>
          <w:color w:val="auto"/>
        </w:rPr>
        <w:t>Beneficial Owner</w:t>
      </w:r>
      <w:r>
        <w:rPr>
          <w:rFonts w:ascii="Arial" w:cs="Arial" w:eastAsia="Arial" w:hAnsi="Arial"/>
          <w:sz w:val="16"/>
          <w:szCs w:val="16"/>
          <w:color w:val="auto"/>
        </w:rPr>
        <w:t>” or “</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has the meaning ascribed to such term in Rule 13d-3 and Rule 13d-5 under the Exchange Act.</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Board</w:t>
      </w:r>
      <w:r>
        <w:rPr>
          <w:rFonts w:ascii="Arial" w:cs="Arial" w:eastAsia="Arial" w:hAnsi="Arial"/>
          <w:sz w:val="18"/>
          <w:szCs w:val="18"/>
          <w:color w:val="auto"/>
        </w:rPr>
        <w:t>” or “</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Company’s Board of Directors.</w:t>
      </w:r>
    </w:p>
    <w:p>
      <w:pPr>
        <w:spacing w:after="0" w:line="225"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Cause</w:t>
      </w:r>
      <w:r>
        <w:rPr>
          <w:rFonts w:ascii="Arial" w:cs="Arial" w:eastAsia="Arial" w:hAnsi="Arial"/>
          <w:sz w:val="16"/>
          <w:szCs w:val="16"/>
          <w:color w:val="auto"/>
        </w:rPr>
        <w:t>” means, except as otherwise defined in an Award Agreement, a Participant’s: (a) conviction of, or the entry of a plea of guilty or no contest to, a felony or any other crime that causes the Company or its Affiliates public disgrace or disrepute, or materially and adversely affects the Company’s or its Affiliates’ operations or financial performance or the relationship the Company has with its customers; (b) gross negligence or willful misconduct with respect to the Company or any of its Affiliates, including, without limitation fraud, embezzlement, theft or proven dishonesty in the course of his or her employment or other service; (c) refusal to perform any lawful, material obligation or fulfill any duty (other than any duty or obligation of the type described in clause (e) below) to the Company or its Affiliates (other than due to a Disability), which refusal, if curable, is not cured within fifteen (15) days after delivery of written notice thereof; (d) material breach of any agreement with or duty owed to the Company or any of its Affiliates, which breach, if curable, is not cured within fifteen (15) days after the delivery of written notice thereof; or (e) any breach of any obligation or duty to the Company or any of its Affiliates (whether arising by statute, common law or agreement) relating to confidentiality, noncompetition, nonsolicitation or proprietary rights. Notwithstanding the foregoing, if a Participant and the Company (or any of its Affiliates) have entered into an employment agreement, consulting agreement or other similar agreement that specifically defines “cause,” then with respect to such Participant, “Cause” shall have the meaning defined in that employment agreement, consulting agreement or other agreement.</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be deemed to have occurred if:</w:t>
      </w:r>
    </w:p>
    <w:p>
      <w:pPr>
        <w:spacing w:after="0" w:line="225" w:lineRule="exact"/>
        <w:rPr>
          <w:sz w:val="20"/>
          <w:szCs w:val="20"/>
          <w:color w:val="auto"/>
        </w:rPr>
      </w:pPr>
    </w:p>
    <w:p>
      <w:pPr>
        <w:ind w:left="120" w:right="180" w:firstLine="987"/>
        <w:spacing w:after="0" w:line="259" w:lineRule="auto"/>
        <w:tabs>
          <w:tab w:leader="none" w:pos="13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Person, other than a trustee or other fiduciary holding securities under an employee benefit plan of the Company or a corporation owned directly or indirectly by the stockholders of the Company in substantially the same proportions as their ownership of stock of the Company, becomes the Beneficial Owner, directly or indirectly, of securities of the Company representing fifty percent (50%) or more of the total voting power represented by the Company’s then outstanding voting securities;</w:t>
      </w:r>
    </w:p>
    <w:p>
      <w:pPr>
        <w:spacing w:after="0" w:line="186" w:lineRule="exact"/>
        <w:rPr>
          <w:rFonts w:ascii="Arial" w:cs="Arial" w:eastAsia="Arial" w:hAnsi="Arial"/>
          <w:sz w:val="18"/>
          <w:szCs w:val="18"/>
          <w:color w:val="auto"/>
        </w:rPr>
      </w:pPr>
    </w:p>
    <w:p>
      <w:pPr>
        <w:ind w:left="120" w:firstLine="987"/>
        <w:spacing w:after="0" w:line="255" w:lineRule="auto"/>
        <w:tabs>
          <w:tab w:leader="none" w:pos="13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any period of two (2) consecutive years, individuals who at the beginning of such period constitute the Board of Directors of the Company and any new Director whose election by the Board of Directors or nomination for election by the Company’s stockholders was approved by a vote of a majority of the Directors then still in office who either were Directors at the beginning of the period or whose election or nomination for election was previously so approved, cease for any reason to constitute a majority thereof, provided that this does not apply to a Director whose initial assumption of office during the lookback period is in connection with an actual or threatened election contest, including but not limited to a consent solicitation, relating to the election of Directors of the Company;</w:t>
      </w:r>
    </w:p>
    <w:p>
      <w:pPr>
        <w:spacing w:after="0" w:line="192" w:lineRule="exact"/>
        <w:rPr>
          <w:rFonts w:ascii="Arial" w:cs="Arial" w:eastAsia="Arial" w:hAnsi="Arial"/>
          <w:sz w:val="18"/>
          <w:szCs w:val="18"/>
          <w:color w:val="auto"/>
        </w:rPr>
      </w:pPr>
    </w:p>
    <w:p>
      <w:pPr>
        <w:ind w:left="120" w:right="140" w:firstLine="987"/>
        <w:spacing w:after="0" w:line="279" w:lineRule="auto"/>
        <w:tabs>
          <w:tab w:leader="none" w:pos="135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business entity,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77" w:lineRule="auto"/>
        <w:tabs>
          <w:tab w:leader="none" w:pos="13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an agreement for the sale or disposition by the Company of all or substantially all the Company’s assets; or</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consummation of the sale or disposition by the Company of all or substantially all of the Company’s assets.</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any portion of an Award) that provides for the deferral of compensation that is subject to Section 409A of the Code, to the extent required to avoid the imposition of additional taxes under Section 409A of the Code,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Committee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2.9 “</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from time to time, and the Treasury Regulations issued thereunder.</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means any individual or entity who renders bona fide services to the Company or an Affiliate, other than as an Employee or Director,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services are not in connection with the offer or sale of securities in a capital-raising transaction and do not, directly or indirectly, promote or maintain a market for the Company’s or its Affiliates’ securities.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2.13 “</w:t>
      </w:r>
      <w:r>
        <w:rPr>
          <w:rFonts w:ascii="Arial" w:cs="Arial" w:eastAsia="Arial" w:hAnsi="Arial"/>
          <w:sz w:val="17"/>
          <w:szCs w:val="17"/>
          <w:u w:val="single" w:color="auto"/>
          <w:color w:val="auto"/>
        </w:rPr>
        <w:t>Deferred Stock</w:t>
      </w:r>
      <w:r>
        <w:rPr>
          <w:rFonts w:ascii="Arial" w:cs="Arial" w:eastAsia="Arial" w:hAnsi="Arial"/>
          <w:sz w:val="17"/>
          <w:szCs w:val="17"/>
          <w:color w:val="auto"/>
        </w:rPr>
        <w:t xml:space="preserve">” means a right to receive a specified number of shares of Stock during specified time periods pursuant to </w:t>
      </w:r>
      <w:r>
        <w:rPr>
          <w:rFonts w:ascii="Arial" w:cs="Arial" w:eastAsia="Arial" w:hAnsi="Arial"/>
          <w:sz w:val="17"/>
          <w:szCs w:val="17"/>
          <w:u w:val="single" w:color="auto"/>
          <w:color w:val="auto"/>
        </w:rPr>
        <w:t>Article 9</w:t>
      </w:r>
      <w:r>
        <w:rPr>
          <w:rFonts w:ascii="Arial" w:cs="Arial" w:eastAsia="Arial" w:hAnsi="Arial"/>
          <w:sz w:val="17"/>
          <w:szCs w:val="17"/>
          <w:color w:val="auto"/>
        </w:rPr>
        <w:t>.</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u w:val="single" w:color="auto"/>
          <w:color w:val="auto"/>
        </w:rPr>
        <w:t>Disability</w:t>
      </w:r>
      <w:r>
        <w:rPr>
          <w:rFonts w:ascii="Arial" w:cs="Arial" w:eastAsia="Arial" w:hAnsi="Arial"/>
          <w:sz w:val="16"/>
          <w:szCs w:val="16"/>
          <w:color w:val="auto"/>
        </w:rPr>
        <w:t>” means, unless otherwise determined by the Committee or determined in the applicable Award Agreement, that the Participant is unable to engage in any substantial gainful activity by reason of any medically determinable physical or mental impairment; provided, however, that to entitle a Participant to an extended exercise period for an Incentive Stock Option, the Participant must be described in Section 22(e)(3) of the Code. Notwithstanding the foregoing, for Awards subject to Section 409A of the Code, Disability shall mean that a Participant is disabled under</w:t>
      </w:r>
    </w:p>
    <w:p>
      <w:pPr>
        <w:spacing w:after="0" w:line="1" w:lineRule="exact"/>
        <w:rPr>
          <w:sz w:val="20"/>
          <w:szCs w:val="20"/>
          <w:color w:val="auto"/>
        </w:rPr>
      </w:pPr>
    </w:p>
    <w:p>
      <w:pPr>
        <w:jc w:val="both"/>
        <w:ind w:left="120" w:right="60"/>
        <w:spacing w:after="0" w:line="323" w:lineRule="auto"/>
        <w:rPr>
          <w:sz w:val="20"/>
          <w:szCs w:val="20"/>
          <w:color w:val="auto"/>
        </w:rPr>
      </w:pPr>
      <w:r>
        <w:rPr>
          <w:rFonts w:ascii="Arial" w:cs="Arial" w:eastAsia="Arial" w:hAnsi="Arial"/>
          <w:sz w:val="16"/>
          <w:szCs w:val="16"/>
          <w:color w:val="auto"/>
        </w:rPr>
        <w:t>Section 409A(a)(2)(C)(i) or (ii) of the Code. Notwithstanding the above, the Committee may rely on any determination that a Participant is disabled for purposes of benefits under any long-term disability plan maintained by the Company or any Affiliate in which a Participant participates.</w:t>
      </w:r>
    </w:p>
    <w:p>
      <w:pPr>
        <w:spacing w:after="0" w:line="138"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xml:space="preserve">” means a right granted to a Participant pursuant to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to receive the equivalent value (in cash or Stock) of dividends paid on Stock.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Eligible Person</w:t>
      </w:r>
      <w:r>
        <w:rPr>
          <w:rFonts w:ascii="Arial" w:cs="Arial" w:eastAsia="Arial" w:hAnsi="Arial"/>
          <w:sz w:val="18"/>
          <w:szCs w:val="18"/>
          <w:color w:val="auto"/>
        </w:rPr>
        <w:t>” means any person who is an employee, officer, director, consultant, advisor or other individual service provider of the Company or any Affiliate, or any person who is determined by the Committee to be a prospective employee, officer, director, consultant, advisor or other individual service provider of the Company or any Affiliate.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80"/>
          </w:cols>
          <w:pgMar w:left="320" w:top="459" w:right="4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means any person employed by the Company, its Affiliates and/or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or any successor act thereto.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2.21 “</w:t>
      </w:r>
      <w:r>
        <w:rPr>
          <w:rFonts w:ascii="Arial" w:cs="Arial" w:eastAsia="Arial" w:hAnsi="Arial"/>
          <w:sz w:val="16"/>
          <w:szCs w:val="16"/>
          <w:u w:val="single" w:color="auto"/>
          <w:color w:val="auto"/>
        </w:rPr>
        <w:t>Exercise Price</w:t>
      </w:r>
      <w:r>
        <w:rPr>
          <w:rFonts w:ascii="Arial" w:cs="Arial" w:eastAsia="Arial" w:hAnsi="Arial"/>
          <w:sz w:val="16"/>
          <w:szCs w:val="16"/>
          <w:color w:val="auto"/>
        </w:rPr>
        <w:t>” means the price at which a Share may be purchased by a Participant pursuant to an Option, as determined by the Committee.</w:t>
      </w:r>
    </w:p>
    <w:p>
      <w:pPr>
        <w:spacing w:after="0" w:line="24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unless otherwise determined by the Committee or determined in an applicable Award Agreement, the value of Stock determined as follows:</w:t>
      </w:r>
    </w:p>
    <w:p>
      <w:pPr>
        <w:spacing w:after="0" w:line="170" w:lineRule="exact"/>
        <w:rPr>
          <w:sz w:val="20"/>
          <w:szCs w:val="20"/>
          <w:color w:val="auto"/>
        </w:rPr>
      </w:pPr>
    </w:p>
    <w:p>
      <w:pPr>
        <w:ind w:left="120" w:right="40" w:firstLine="987"/>
        <w:spacing w:after="0" w:line="296" w:lineRule="auto"/>
        <w:tabs>
          <w:tab w:leader="none" w:pos="1356"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the Stock is listed on one or more established stock exchanges or national market systems, including without limitation, The New York Stock Exchange American (“</w:t>
      </w:r>
      <w:r>
        <w:rPr>
          <w:rFonts w:ascii="Arial" w:cs="Arial" w:eastAsia="Arial" w:hAnsi="Arial"/>
          <w:sz w:val="16"/>
          <w:szCs w:val="16"/>
          <w:u w:val="single" w:color="auto"/>
          <w:color w:val="auto"/>
        </w:rPr>
        <w:t>NYSE</w:t>
      </w:r>
      <w:r>
        <w:rPr>
          <w:rFonts w:ascii="Arial" w:cs="Arial" w:eastAsia="Arial" w:hAnsi="Arial"/>
          <w:sz w:val="16"/>
          <w:szCs w:val="16"/>
          <w:color w:val="auto"/>
        </w:rPr>
        <w:t xml:space="preserve">”), its Fair Market Value shall be the closing sales price for such Stock (or the closing bid, if no sales were reported) as quoted on the principal exchange or system on which the Stock is listed (as determined by the Committee) on the date of determination (or, if no closing sales price or closing bid was reported on that date, as applicable, on the last immediately preceding trading date such closing sales price or closing bid was reported),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deems reliable;</w:t>
      </w:r>
    </w:p>
    <w:p>
      <w:pPr>
        <w:spacing w:after="0" w:line="161" w:lineRule="exact"/>
        <w:rPr>
          <w:rFonts w:ascii="Arial" w:cs="Arial" w:eastAsia="Arial" w:hAnsi="Arial"/>
          <w:sz w:val="16"/>
          <w:szCs w:val="16"/>
          <w:color w:val="auto"/>
        </w:rPr>
      </w:pPr>
    </w:p>
    <w:p>
      <w:pPr>
        <w:ind w:left="120" w:right="80" w:firstLine="987"/>
        <w:spacing w:after="0" w:line="275" w:lineRule="auto"/>
        <w:tabs>
          <w:tab w:leader="none" w:pos="1366"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If the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Stock shall be the mean between the high bid and low asked prices for the Stock on the date of determination (or, if no such prices were reported on that date, on the last date such prices were reported),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Committee deems reliable; or</w:t>
      </w:r>
    </w:p>
    <w:p>
      <w:pPr>
        <w:spacing w:after="0" w:line="176" w:lineRule="exact"/>
        <w:rPr>
          <w:rFonts w:ascii="Arial" w:cs="Arial" w:eastAsia="Arial" w:hAnsi="Arial"/>
          <w:sz w:val="17"/>
          <w:szCs w:val="17"/>
          <w:color w:val="auto"/>
        </w:rPr>
      </w:pPr>
    </w:p>
    <w:p>
      <w:pPr>
        <w:ind w:left="120" w:right="40" w:firstLine="987"/>
        <w:spacing w:after="0" w:line="290" w:lineRule="auto"/>
        <w:tabs>
          <w:tab w:leader="none" w:pos="1356"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absence of an established market for the Stock of the type described in (a) and (b), above, the Fair Market Value thereof shall be determined by the Committee in good faith using any reasonable method of valuation, which method may be set forth with greater specificity in the Award Agreement, (and, to the extent necessary or advisable, in a manner consistent with Section 409A of the Code and Section 422 of the Code for Incentive Stock Options), which determination shall be conclusive and binding on all interested parties. Such reasonable method may be determined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sale; (iii) an independent valuation of the Shares (by a qualified valuation expert); or (iv) such other methodologies or information as the Committee determines to be indicative of Fair Market Value.</w:t>
      </w:r>
    </w:p>
    <w:p>
      <w:pPr>
        <w:spacing w:after="0" w:line="16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qualify as an “incentive stock option” within the meaning of Section 422 of the Code and that meets the requirements set out in the Plan.</w:t>
      </w:r>
    </w:p>
    <w:p>
      <w:pPr>
        <w:spacing w:after="0" w:line="170"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2.24 “</w:t>
      </w:r>
      <w:r>
        <w:rPr>
          <w:rFonts w:ascii="Arial" w:cs="Arial" w:eastAsia="Arial" w:hAnsi="Arial"/>
          <w:sz w:val="16"/>
          <w:szCs w:val="16"/>
          <w:u w:val="single" w:color="auto"/>
          <w:color w:val="auto"/>
        </w:rPr>
        <w:t>Insider</w:t>
      </w:r>
      <w:r>
        <w:rPr>
          <w:rFonts w:ascii="Arial" w:cs="Arial" w:eastAsia="Arial" w:hAnsi="Arial"/>
          <w:sz w:val="16"/>
          <w:szCs w:val="16"/>
          <w:color w:val="auto"/>
        </w:rPr>
        <w:t>” means an individual who is, on the relevant date, an officer, director, or ten percent (10%) beneficial owner of the Company, as those terms are defined under Section 16 of the Exchange Act, who is required to file reports pursuant to Rule 16a-3 under the Exchange Act.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ISO</w:t>
      </w:r>
      <w:r>
        <w:rPr>
          <w:rFonts w:ascii="Arial" w:cs="Arial" w:eastAsia="Arial" w:hAnsi="Arial"/>
          <w:sz w:val="18"/>
          <w:szCs w:val="18"/>
          <w:color w:val="auto"/>
        </w:rPr>
        <w:t>” has the meaning set forth in Section 6.2.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is not an Employee of the Company.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2.27 “</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means an Option that, by its terms, does not qualify or is not intended to qualify as an Incentive Stock Option.</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NYSE</w:t>
      </w:r>
      <w:r>
        <w:rPr>
          <w:rFonts w:ascii="Arial" w:cs="Arial" w:eastAsia="Arial" w:hAnsi="Arial"/>
          <w:sz w:val="18"/>
          <w:szCs w:val="18"/>
          <w:color w:val="auto"/>
        </w:rPr>
        <w:t>” has the meaning set forth in Section 2.22(a).</w:t>
      </w:r>
    </w:p>
    <w:p>
      <w:pPr>
        <w:spacing w:after="0" w:line="22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the right to purchase Stock granted to a Participant in accordance with </w:t>
      </w:r>
      <w:r>
        <w:rPr>
          <w:rFonts w:ascii="Arial" w:cs="Arial" w:eastAsia="Arial" w:hAnsi="Arial"/>
          <w:sz w:val="18"/>
          <w:szCs w:val="18"/>
          <w:u w:val="single" w:color="auto"/>
          <w:color w:val="auto"/>
        </w:rPr>
        <w:t>Article 6</w:t>
      </w:r>
      <w:r>
        <w:rPr>
          <w:rFonts w:ascii="Arial" w:cs="Arial" w:eastAsia="Arial" w:hAnsi="Arial"/>
          <w:sz w:val="18"/>
          <w:szCs w:val="18"/>
          <w:color w:val="auto"/>
        </w:rPr>
        <w:t>. Options granted under the Plan may be Non-Qualified Stock Options, Incentive Stock Options or a combination thereof.</w:t>
      </w:r>
    </w:p>
    <w:p>
      <w:pPr>
        <w:spacing w:after="0" w:line="170"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xml:space="preserve">” means an equity-based or equity-related Award not otherwise described by the terms of the Plan, granted pursuant to </w:t>
      </w:r>
      <w:r>
        <w:rPr>
          <w:rFonts w:ascii="Arial" w:cs="Arial" w:eastAsia="Arial" w:hAnsi="Arial"/>
          <w:sz w:val="18"/>
          <w:szCs w:val="18"/>
          <w:u w:val="single" w:color="auto"/>
          <w:color w:val="auto"/>
        </w:rPr>
        <w:t>Article 9</w:t>
      </w:r>
      <w:r>
        <w:rPr>
          <w:rFonts w:ascii="Arial" w:cs="Arial" w:eastAsia="Arial" w:hAnsi="Arial"/>
          <w:sz w:val="18"/>
          <w:szCs w:val="18"/>
          <w:color w:val="auto"/>
        </w:rPr>
        <w:t>.</w:t>
      </w:r>
    </w:p>
    <w:p>
      <w:pPr>
        <w:spacing w:after="0" w:line="170"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Person to whom an Award is granted under the Plan or, if applicable, such other person who holds an outstanding Award.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Performance Bonus Award</w:t>
      </w:r>
      <w:r>
        <w:rPr>
          <w:rFonts w:ascii="Arial" w:cs="Arial" w:eastAsia="Arial" w:hAnsi="Arial"/>
          <w:sz w:val="18"/>
          <w:szCs w:val="18"/>
          <w:color w:val="auto"/>
        </w:rPr>
        <w:t>” has the meaning set forth in Section 9.6.</w:t>
      </w:r>
    </w:p>
    <w:p>
      <w:pPr>
        <w:spacing w:after="0" w:line="22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2.33 “</w:t>
      </w:r>
      <w:r>
        <w:rPr>
          <w:rFonts w:ascii="Arial" w:cs="Arial" w:eastAsia="Arial" w:hAnsi="Arial"/>
          <w:sz w:val="16"/>
          <w:szCs w:val="16"/>
          <w:u w:val="single" w:color="auto"/>
          <w:color w:val="auto"/>
        </w:rPr>
        <w:t>Performance Goal</w:t>
      </w:r>
      <w:r>
        <w:rPr>
          <w:rFonts w:ascii="Arial" w:cs="Arial" w:eastAsia="Arial" w:hAnsi="Arial"/>
          <w:sz w:val="16"/>
          <w:szCs w:val="16"/>
          <w:color w:val="auto"/>
        </w:rPr>
        <w:t>” means any goals established by the Committee pursuant to an Award, which may be based on the attainment of specified levels of one or more of the following: (i) earnings per share; (ii) sales; (iii) operating income; (iv) gross income; (v) basic or adjusted net income (before or after taxes); (vi) cash flow; (vii) gross profit; (viii) gross or operating margin; (ix) working capital; (x) earnings before interest and taxes;</w:t>
      </w:r>
    </w:p>
    <w:p>
      <w:pPr>
        <w:spacing w:after="0" w:line="2" w:lineRule="exact"/>
        <w:rPr>
          <w:sz w:val="20"/>
          <w:szCs w:val="20"/>
          <w:color w:val="auto"/>
        </w:rPr>
      </w:pPr>
    </w:p>
    <w:p>
      <w:pPr>
        <w:ind w:left="420" w:hanging="304"/>
        <w:spacing w:after="0"/>
        <w:tabs>
          <w:tab w:leader="none" w:pos="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earnings before interest, tax, depreciation and amortization; (xii) return measures, including return on invested capital, sales, assets, or equity;</w:t>
      </w:r>
    </w:p>
    <w:p>
      <w:pPr>
        <w:spacing w:after="0" w:line="20" w:lineRule="exact"/>
        <w:rPr>
          <w:rFonts w:ascii="Arial" w:cs="Arial" w:eastAsia="Arial" w:hAnsi="Arial"/>
          <w:sz w:val="17"/>
          <w:szCs w:val="17"/>
          <w:color w:val="auto"/>
        </w:rPr>
      </w:pPr>
    </w:p>
    <w:p>
      <w:pPr>
        <w:ind w:left="520" w:hanging="404"/>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revenues; (xiv) market share; (xv) the price or increase in price of Stock; (xvi) total shareholder return; (xvii) economic value created or added;</w:t>
      </w:r>
    </w:p>
    <w:p>
      <w:pPr>
        <w:spacing w:after="0" w:line="32" w:lineRule="exact"/>
        <w:rPr>
          <w:rFonts w:ascii="Arial" w:cs="Arial" w:eastAsia="Arial" w:hAnsi="Arial"/>
          <w:sz w:val="16"/>
          <w:szCs w:val="16"/>
          <w:color w:val="auto"/>
        </w:rPr>
      </w:pPr>
    </w:p>
    <w:p>
      <w:pPr>
        <w:ind w:left="120" w:right="120" w:hanging="4"/>
        <w:spacing w:after="0" w:line="281" w:lineRule="auto"/>
        <w:tabs>
          <w:tab w:leader="none" w:pos="6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expense reduction; (xix) implementation or completion of critical projects, including acquisitions, divestitures, and other strategic objectives, including market penetration and product development; (xx) specified objectives with regard to limiting the level of increase in all or a portion of the Company’s bank debt or other long-term or short-term public or private debt or other similar financial obligations of the Company; or (xxi) any other metric that may be determined by the Committee.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w:t>
      </w:r>
    </w:p>
    <w:p>
      <w:pPr>
        <w:spacing w:after="0" w:line="4" w:lineRule="exact"/>
        <w:rPr>
          <w:rFonts w:ascii="Arial" w:cs="Arial" w:eastAsia="Arial" w:hAnsi="Arial"/>
          <w:sz w:val="16"/>
          <w:szCs w:val="16"/>
          <w:color w:val="auto"/>
        </w:rPr>
      </w:pPr>
    </w:p>
    <w:p>
      <w:pPr>
        <w:ind w:left="120"/>
        <w:spacing w:after="0" w:line="281" w:lineRule="auto"/>
        <w:rPr>
          <w:rFonts w:ascii="Arial" w:cs="Arial" w:eastAsia="Arial" w:hAnsi="Arial"/>
          <w:sz w:val="16"/>
          <w:szCs w:val="16"/>
          <w:color w:val="auto"/>
        </w:rPr>
      </w:pPr>
      <w:r>
        <w:rPr>
          <w:rFonts w:ascii="Arial" w:cs="Arial" w:eastAsia="Arial" w:hAnsi="Arial"/>
          <w:sz w:val="16"/>
          <w:szCs w:val="16"/>
          <w:color w:val="auto"/>
        </w:rPr>
        <w:t>(b)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w:t>
      </w:r>
    </w:p>
    <w:p>
      <w:pPr>
        <w:spacing w:after="0" w:line="3" w:lineRule="exact"/>
        <w:rPr>
          <w:rFonts w:ascii="Arial" w:cs="Arial" w:eastAsia="Arial" w:hAnsi="Arial"/>
          <w:sz w:val="16"/>
          <w:szCs w:val="16"/>
          <w:color w:val="auto"/>
        </w:rPr>
      </w:pPr>
    </w:p>
    <w:p>
      <w:pPr>
        <w:jc w:val="both"/>
        <w:ind w:left="120" w:right="420"/>
        <w:spacing w:after="0" w:line="255" w:lineRule="auto"/>
        <w:rPr>
          <w:rFonts w:ascii="Arial" w:cs="Arial" w:eastAsia="Arial" w:hAnsi="Arial"/>
          <w:sz w:val="16"/>
          <w:szCs w:val="16"/>
          <w:color w:val="auto"/>
        </w:rPr>
      </w:pPr>
      <w:r>
        <w:rPr>
          <w:rFonts w:ascii="Arial" w:cs="Arial" w:eastAsia="Arial" w:hAnsi="Arial"/>
          <w:sz w:val="18"/>
          <w:szCs w:val="18"/>
          <w:color w:val="auto"/>
        </w:rPr>
        <w:t>(o) the effect of changes in other laws or regulatory rules affecting reported results. The Committee may adjust upwards or downwards the amount payable pursuant to such performance-based Award, and the Committee shall certify the amount of any such Award for the applicable performance period before payment is made.</w:t>
      </w:r>
    </w:p>
    <w:p>
      <w:pPr>
        <w:spacing w:after="0" w:line="19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one or more periods of time, which may be of varying and overlapping durations, as the Committee may select, over which the attainment of one or more Performance Goals will be measured for the purpose of determining a Participant’s right to, and the payment of, Performance Stock Units and Performance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Performance Stock Unit</w:t>
      </w:r>
      <w:r>
        <w:rPr>
          <w:rFonts w:ascii="Arial" w:cs="Arial" w:eastAsia="Arial" w:hAnsi="Arial"/>
          <w:sz w:val="18"/>
          <w:szCs w:val="18"/>
          <w:color w:val="auto"/>
        </w:rPr>
        <w:t>” and “</w:t>
      </w:r>
      <w:r>
        <w:rPr>
          <w:rFonts w:ascii="Arial" w:cs="Arial" w:eastAsia="Arial" w:hAnsi="Arial"/>
          <w:sz w:val="18"/>
          <w:szCs w:val="18"/>
          <w:u w:val="single" w:color="auto"/>
          <w:color w:val="auto"/>
        </w:rPr>
        <w:t>Performance Share</w:t>
      </w:r>
      <w:r>
        <w:rPr>
          <w:rFonts w:ascii="Arial" w:cs="Arial" w:eastAsia="Arial" w:hAnsi="Arial"/>
          <w:sz w:val="18"/>
          <w:szCs w:val="18"/>
          <w:color w:val="auto"/>
        </w:rPr>
        <w:t xml:space="preserve">” each mean an Award granted to an Employee pursuant to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herein.</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2.36 “</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shall mean, with respect to a Participant, any “family member” of the Participant, as defined in the General Instructions to Form S-8 Registration Statement under the Securities Act (or any successor form thereto), or to any other transferee specifically approved by the Committee after taking into account Applicable Law, but excluding any third-party financial institutions.</w:t>
      </w:r>
    </w:p>
    <w:p>
      <w:pPr>
        <w:spacing w:after="0" w:line="16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Person</w:t>
      </w:r>
      <w:r>
        <w:rPr>
          <w:rFonts w:ascii="Arial" w:cs="Arial" w:eastAsia="Arial" w:hAnsi="Arial"/>
          <w:sz w:val="18"/>
          <w:szCs w:val="18"/>
          <w:color w:val="auto"/>
        </w:rPr>
        <w:t>” has the meaning ascribed to such term in Section 3(a)(9) of the Exchange Act and used in Sections 13(d) and 14(d) thereof, including a “group” as defined in Section 13(d) thereof.</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Plan</w:t>
      </w:r>
      <w:r>
        <w:rPr>
          <w:rFonts w:ascii="Arial" w:cs="Arial" w:eastAsia="Arial" w:hAnsi="Arial"/>
          <w:sz w:val="18"/>
          <w:szCs w:val="18"/>
          <w:color w:val="auto"/>
        </w:rPr>
        <w:t>” has the meaning set forth in Section 1.1.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P10 Holdings, Inc. 2018 Stock Incentive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Restricted Stock</w:t>
      </w:r>
      <w:r>
        <w:rPr>
          <w:rFonts w:ascii="Arial" w:cs="Arial" w:eastAsia="Arial" w:hAnsi="Arial"/>
          <w:sz w:val="18"/>
          <w:szCs w:val="18"/>
          <w:color w:val="auto"/>
        </w:rPr>
        <w:t xml:space="preserve">” means Stock awarded to a Participant pursuant to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as to which the Restriction Period has not lapsed.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xml:space="preserve">” means an Award granted pursuant to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as to which the Restriction Period has not lapsed.</w:t>
      </w:r>
    </w:p>
    <w:p>
      <w:pPr>
        <w:spacing w:after="0" w:line="225"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Restriction Period</w:t>
      </w:r>
      <w:r>
        <w:rPr>
          <w:rFonts w:ascii="Arial" w:cs="Arial" w:eastAsia="Arial" w:hAnsi="Arial"/>
          <w:sz w:val="18"/>
          <w:szCs w:val="18"/>
          <w:color w:val="auto"/>
        </w:rPr>
        <w:t xml:space="preserve">” means the period when Restricted Stock or Restricted Stock Units are subject to a “substantial risk of forfeiture” within the meaning of Section 83 of the Code (based on the passage of time, the achievement of performance goals, or upon the occurrence of other events as determined by the Committee, in its discretion), as provided in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Stock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Stock</w:t>
      </w:r>
      <w:r>
        <w:rPr>
          <w:rFonts w:ascii="Arial" w:cs="Arial" w:eastAsia="Arial" w:hAnsi="Arial"/>
          <w:sz w:val="18"/>
          <w:szCs w:val="18"/>
          <w:color w:val="auto"/>
        </w:rPr>
        <w:t>” means the common stock of the Company, par value $0.001 per share.</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xml:space="preserve">” means a right granted pursuant to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to receive an amount payable in cash or Shares equal to the excess of (a) the Fair Market Value of a specified number of Shares on the date the SAR is exercised over (b) the Fair Market Value of such Shares on the date the SAR was granted as set forth in the applicable Award Agreement.</w:t>
      </w:r>
    </w:p>
    <w:p>
      <w:pPr>
        <w:spacing w:after="0" w:line="184"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2.47 “</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partnership, venture, unincorporated association or other entity in which the Company holds, directly or indirectly, a fifty percent (50%) or greater ownership interest, provided, however, that with respect to an Incentive Stock Option, a Subsidiary must be a corporation. The Committee may, at its sole discretion, designate, on such terms and conditions as the Committee shall determine, any other corporation, partnership, limited liability company, venture, or other entity a Subsidiary for purposes of this Plan.</w:t>
      </w:r>
    </w:p>
    <w:p>
      <w:pPr>
        <w:spacing w:after="0" w:line="17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Ten Percent Owner</w:t>
      </w:r>
      <w:r>
        <w:rPr>
          <w:rFonts w:ascii="Arial" w:cs="Arial" w:eastAsia="Arial" w:hAnsi="Arial"/>
          <w:sz w:val="18"/>
          <w:szCs w:val="18"/>
          <w:color w:val="auto"/>
        </w:rPr>
        <w:t>” means a person who owns, or is deemed within the meaning of Section 424(d) of the Code to own, stock possessing more than 10% of the total combined voting power of all classes of stock of the Company (or any parent or subsidiary corporations of the Company, as defined in Sections 424(e) and (f), respectively, of the Code). Whether a person is a Ten Percent Owner shall be determined with respect to an Option based on the facts existing immediately prior to the grant date of the Option.</w:t>
      </w:r>
    </w:p>
    <w:p>
      <w:pPr>
        <w:spacing w:after="0" w:line="18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2.49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or a similar reference means the event where the Employee is no longer an Employee of the Company or of any Subsidiary, including but not limited to where the employing company ceases to be a Subsidiary. With respect to any Participant who is not an Employee, “Termination of Employment” shall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301" w:lineRule="auto"/>
        <w:rPr>
          <w:sz w:val="20"/>
          <w:szCs w:val="20"/>
          <w:color w:val="auto"/>
        </w:rPr>
      </w:pPr>
      <w:r>
        <w:rPr>
          <w:rFonts w:ascii="Arial" w:cs="Arial" w:eastAsia="Arial" w:hAnsi="Arial"/>
          <w:sz w:val="16"/>
          <w:szCs w:val="16"/>
          <w:color w:val="auto"/>
        </w:rPr>
        <w:t>mean cessation of the performance of services. With respect to any Award that provides “non-qualified deferred compensation” within the meaning of Section 409A of the Code, “Termination of Employment” shall mean a “separation from service” as defined under Section 409A of the Code. Military or sick leave or other bona fide leave shall not be deemed a termination of employment, provided that it does not exceed the longer of three (3) months or the period during which the absent Participant’s reemployment rights, if any, are guaranteed by statute or by contract.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2.50 “</w:t>
      </w:r>
      <w:r>
        <w:rPr>
          <w:rFonts w:ascii="Arial" w:cs="Arial" w:eastAsia="Arial" w:hAnsi="Arial"/>
          <w:sz w:val="16"/>
          <w:szCs w:val="16"/>
          <w:u w:val="single" w:color="auto"/>
          <w:color w:val="auto"/>
        </w:rPr>
        <w:t>Treasury Regulation</w:t>
      </w:r>
      <w:r>
        <w:rPr>
          <w:rFonts w:ascii="Arial" w:cs="Arial" w:eastAsia="Arial" w:hAnsi="Arial"/>
          <w:sz w:val="16"/>
          <w:szCs w:val="16"/>
          <w:color w:val="auto"/>
        </w:rPr>
        <w:t>” or “</w:t>
      </w:r>
      <w:r>
        <w:rPr>
          <w:rFonts w:ascii="Arial" w:cs="Arial" w:eastAsia="Arial" w:hAnsi="Arial"/>
          <w:sz w:val="16"/>
          <w:szCs w:val="16"/>
          <w:u w:val="single" w:color="auto"/>
          <w:color w:val="auto"/>
        </w:rPr>
        <w:t>Treas. Reg.</w:t>
      </w:r>
      <w:r>
        <w:rPr>
          <w:rFonts w:ascii="Arial" w:cs="Arial" w:eastAsia="Arial" w:hAnsi="Arial"/>
          <w:sz w:val="16"/>
          <w:szCs w:val="16"/>
          <w:color w:val="auto"/>
        </w:rPr>
        <w:t>” means any regulation promulgated under the Code, as such regulation may be amended from to time.</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2.51 “Withholding Taxes” has the meaning set forth in Section 12.1.</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Administration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The Committee</w:t>
      </w:r>
      <w:r>
        <w:rPr>
          <w:rFonts w:ascii="Arial" w:cs="Arial" w:eastAsia="Arial" w:hAnsi="Arial"/>
          <w:sz w:val="17"/>
          <w:szCs w:val="17"/>
          <w:color w:val="auto"/>
        </w:rPr>
        <w:t>. Except as otherwise provided herein, the Plan shall be administered by the Compensation Committee of the Board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Unless otherwise determined by the Board, the Committee shall consist solely of two or more members of the Board each of whom is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“non-employee director” within the meaning of Rule 16b-3 of the Exchange Act, and (b) an “independent director” under the rules of the NYSE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any similar rule or listing requirement that may be applicable to the Company from time to time); provided, that any action taken by the Committee shall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 valid and effective, whether or not members of the Committee at the time of such action are later determined not to have satisfied the requirements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for membership set forth in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or otherwise provided in any charter of the Committee. Notwithstanding the foregoing: (a) the full Board,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acting by a majority of its members in office or by designation to a Committee, shall conduct the general administration of the Plan with respect to all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Awards granted to Non-Employee Directors and for purposes of such Awards the term “Committee” as used in this Plan shall be deemed to refer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Board and (b) the Committee may delegate its authority hereunder to the extent permitted by </w:t>
      </w:r>
      <w:r>
        <w:rPr>
          <w:rFonts w:ascii="Arial" w:cs="Arial" w:eastAsia="Arial" w:hAnsi="Arial"/>
          <w:sz w:val="16"/>
          <w:szCs w:val="16"/>
          <w:u w:val="single" w:color="auto"/>
          <w:color w:val="auto"/>
        </w:rPr>
        <w:t>Section 3.4</w:t>
      </w:r>
      <w:r>
        <w:rPr>
          <w:rFonts w:ascii="Arial" w:cs="Arial" w:eastAsia="Arial" w:hAnsi="Arial"/>
          <w:sz w:val="16"/>
          <w:szCs w:val="16"/>
          <w:color w:val="auto"/>
        </w:rPr>
        <w:t>. In its sole discretion, the Board may at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time and from time to time exercise any and all rights and duties of the Committee under the Plan except with respect to matters which under</w:t>
      </w:r>
    </w:p>
    <w:p>
      <w:pPr>
        <w:spacing w:after="0" w:line="2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Rule 16b-3 under the Exchange Act, or any regulations or rules issued thereunder, are required to be determined in the sole discretion of the Committee. Except as may otherwise be provided in any charter of the Committee, appointment of Committee members shall be effective upon acceptance of appointment; Committee members may resign at any time by delivering written notice to the Board; and vacancies in the Committee may only be filled by the Board.</w:t>
      </w:r>
    </w:p>
    <w:p>
      <w:pPr>
        <w:spacing w:after="0" w:line="193"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Authority of the Committee</w:t>
      </w:r>
      <w:r>
        <w:rPr>
          <w:rFonts w:ascii="Arial" w:cs="Arial" w:eastAsia="Arial" w:hAnsi="Arial"/>
          <w:sz w:val="16"/>
          <w:szCs w:val="16"/>
          <w:color w:val="auto"/>
        </w:rPr>
        <w:t>. Subject to the general purposes, terms and conditions of this Plan and Applicable Law, and to the direction of the Board, the Committee shall have complete control over the administration of the Plan and shall have full authority to (a) exercise all of the powers granted to it under the Plan, (b) construe, interpret and implement the Plan, grant terms and grant notices, and all Award Agreements, (c) prescribe, amend and rescind rules and regulations relating to the Plan, including rules governing its own operations, (d) make all determinations necessary or advisable in administering the Plan, (e) correct any defect, supply any omission and reconcile any inconsistency in the Plan, (f) amend the Plan to reflect changes in Applicable Law (whether or not the rights of the holder of any Award are adversely affected, unless otherwise provided by the Committee),</w:t>
      </w:r>
    </w:p>
    <w:p>
      <w:pPr>
        <w:spacing w:after="0" w:line="4" w:lineRule="exact"/>
        <w:rPr>
          <w:sz w:val="20"/>
          <w:szCs w:val="20"/>
          <w:color w:val="auto"/>
        </w:rPr>
      </w:pPr>
    </w:p>
    <w:p>
      <w:pPr>
        <w:ind w:left="120" w:right="120" w:hanging="4"/>
        <w:spacing w:after="0" w:line="281" w:lineRule="auto"/>
        <w:tabs>
          <w:tab w:leader="none" w:pos="3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grant Awards and determine who shall receive Awards, when such Awards shall be granted and the terms and conditions of such Awards, including, but not limited to, conditioning the exercise, vesting, payout or other term of condition of an Award on the achievement of Performance Goals,</w:t>
      </w:r>
    </w:p>
    <w:p>
      <w:pPr>
        <w:spacing w:after="0" w:line="1" w:lineRule="exact"/>
        <w:rPr>
          <w:rFonts w:ascii="Arial" w:cs="Arial" w:eastAsia="Arial" w:hAnsi="Arial"/>
          <w:sz w:val="16"/>
          <w:szCs w:val="16"/>
          <w:color w:val="auto"/>
        </w:rPr>
      </w:pPr>
    </w:p>
    <w:p>
      <w:pPr>
        <w:ind w:left="120" w:right="20" w:hanging="4"/>
        <w:spacing w:after="0" w:line="273" w:lineRule="auto"/>
        <w:tabs>
          <w:tab w:leader="none" w:pos="3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unless otherwise provided by the Committee, amend any outstanding Award in any respect, not materially adverse to the Participant, including, without limitation, to (i) accelerate the time or times at which the Award becomes vested, unrestricted or may be exercised (and, in connection with such acceleration, the Committee may provide that any Shares acquired pursuant to such Award shall be restricted Shares, which are subject to vesting, transfer, forfeiture or repayment provisions similar to those in the Participant’s underlying Award), (ii) accelerate the time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or times at which Shares are delivered under the Award (and, without limitation on the Committee’s rights, in connection with such acceleration, the Committee may provide that any shares of Stock delivered pursuant to such Award shall be Restricted Shares, which are subject to vesting, transfer, forfeiture or repayment provisions similar to those in the Participant’s underlying Award), or (iii) waive or amend any goals, restrictions or conditions applicable to such Award, or impose new goals, restrictions and (a) determine at any time whether, to what extent and under what circumstances and method or methods (i) Awards may be (A) settled in cash, Shares, other securities, other Awards or other property (in which event, the Committee may specify what other effects such settlement will have on the Participant’s Award), (B) exercised or (C) canceled, forfeited or suspended, (b) Shares, other securities, cash, other Awards or other property and other amounts payable with respect to an Award may be deferred either automatically or at the election of the Participant or of the Committee, or (c) Awards may be settled by the Company or any of its Subsidiaries or any of its or their designees.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Award may be made under the Plan after the tenth (10</w:t>
      </w:r>
      <w:r>
        <w:rPr>
          <w:rFonts w:ascii="Arial" w:cs="Arial" w:eastAsia="Arial" w:hAnsi="Arial"/>
          <w:sz w:val="26"/>
          <w:szCs w:val="26"/>
          <w:color w:val="auto"/>
          <w:vertAlign w:val="superscript"/>
        </w:rPr>
        <w:t>th</w:t>
      </w:r>
      <w:r>
        <w:rPr>
          <w:rFonts w:ascii="Arial" w:cs="Arial" w:eastAsia="Arial" w:hAnsi="Arial"/>
          <w:sz w:val="18"/>
          <w:szCs w:val="18"/>
          <w:color w:val="auto"/>
        </w:rPr>
        <w:t>) anniversary of the Effective Date.</w:t>
      </w:r>
    </w:p>
    <w:p>
      <w:pPr>
        <w:spacing w:after="0" w:line="133"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Committee Decisions Final</w:t>
      </w:r>
      <w:r>
        <w:rPr>
          <w:rFonts w:ascii="Arial" w:cs="Arial" w:eastAsia="Arial" w:hAnsi="Arial"/>
          <w:sz w:val="17"/>
          <w:szCs w:val="17"/>
          <w:color w:val="auto"/>
        </w:rPr>
        <w:t>. The act or determination of a majority of the Committee shall be the act or determination of the Committee and any decision reduced to writing and signed by all of the members of the Committee shall be fully effective as if it had been made by a majority at a meeting duly held. The Committee may employ attorneys, consultants, accountants, agents, and other persons, any of whom may be an Employee, and the Committee, the Company, and its officers and Directors shall be entitled to rely upon the advice, opinions, or valuations of any such persons. All actions taken and all interpretations and determinations made by the Committee pursuant to the provisions of the Plan and all related orders or resolutions shall be final and binding upon the Participants, the Company, and all other interested persons, including but not limited to the Company, its stockholders, Employees, Participants, and their estates and beneficiaries.</w:t>
      </w:r>
    </w:p>
    <w:p>
      <w:pPr>
        <w:spacing w:after="0" w:line="17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xml:space="preserve">. The Board or Committee may from time to time delegate to a committee of one or more members of the Board or one or more officers of the Company the authority to grant or amend Awards or to take other administrative actions pursuant to this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provided, however,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provided, further, that any delegation of administrative authority shall only be permitted to the extent it is permissible under the Company’s Certificate of Incorporation, Bylaws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shall serve in such capacity at the pleasure of the Board or the Committee, as applicable, and the Board or the Committee may abolish any committee at any time and re-vest in itself any previously delegated authority</w:t>
      </w:r>
    </w:p>
    <w:p>
      <w:pPr>
        <w:spacing w:after="0" w:line="16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Indemnification</w:t>
      </w:r>
      <w:r>
        <w:rPr>
          <w:rFonts w:ascii="Arial" w:cs="Arial" w:eastAsia="Arial" w:hAnsi="Arial"/>
          <w:sz w:val="17"/>
          <w:szCs w:val="17"/>
          <w:color w:val="auto"/>
        </w:rPr>
        <w:t>.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Shares Subject to the Plan</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Number of Shares</w:t>
      </w:r>
      <w:r>
        <w:rPr>
          <w:rFonts w:ascii="Arial" w:cs="Arial" w:eastAsia="Arial" w:hAnsi="Arial"/>
          <w:sz w:val="17"/>
          <w:szCs w:val="17"/>
          <w:color w:val="auto"/>
        </w:rPr>
        <w:t xml:space="preserve">. Subject to adjustment as provided in </w:t>
      </w:r>
      <w:r>
        <w:rPr>
          <w:rFonts w:ascii="Arial" w:cs="Arial" w:eastAsia="Arial" w:hAnsi="Arial"/>
          <w:sz w:val="17"/>
          <w:szCs w:val="17"/>
          <w:u w:val="single" w:color="auto"/>
          <w:color w:val="auto"/>
        </w:rPr>
        <w:t>Sections 4.2</w:t>
      </w:r>
      <w:r>
        <w:rPr>
          <w:rFonts w:ascii="Arial" w:cs="Arial" w:eastAsia="Arial" w:hAnsi="Arial"/>
          <w:sz w:val="17"/>
          <w:szCs w:val="17"/>
          <w:color w:val="auto"/>
        </w:rPr>
        <w:t xml:space="preserve"> and 4.3, the aggregate number of Shares of Stock which may be issued or transferred pursuant to Awards under the Plan shall be the sum of 12,000,000 shares plus the number of shares available for grant under the Prior Plan as of the Effective Date. Notwithstanding the foregoing, in order that the applicable regulations under the Code relating to Incentive Stock Options be satisfied, the maximum number of shares of Stock that may be delivered upon exercise of Incentive Stock Options shall be 9,750,000, as adjusted under </w:t>
      </w:r>
      <w:r>
        <w:rPr>
          <w:rFonts w:ascii="Arial" w:cs="Arial" w:eastAsia="Arial" w:hAnsi="Arial"/>
          <w:sz w:val="17"/>
          <w:szCs w:val="17"/>
          <w:u w:val="single" w:color="auto"/>
          <w:color w:val="auto"/>
        </w:rPr>
        <w:t>Sections 4.2</w:t>
      </w:r>
      <w:r>
        <w:rPr>
          <w:rFonts w:ascii="Arial" w:cs="Arial" w:eastAsia="Arial" w:hAnsi="Arial"/>
          <w:sz w:val="17"/>
          <w:szCs w:val="17"/>
          <w:color w:val="auto"/>
        </w:rPr>
        <w:t xml:space="preserve"> and 4.3. Shares of Stock issued pursuant to the Plan may be either authorized but unissued Shares or Shares held by the Company in its treasury. Upon effectiveness of the Plan, no further awards shall be granted under a Prior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3859530</wp:posOffset>
            </wp:positionH>
            <wp:positionV relativeFrom="paragraph">
              <wp:posOffset>-725805</wp:posOffset>
            </wp:positionV>
            <wp:extent cx="1714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1114425</wp:posOffset>
            </wp:positionH>
            <wp:positionV relativeFrom="paragraph">
              <wp:posOffset>-177165</wp:posOffset>
            </wp:positionV>
            <wp:extent cx="1714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5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 Accounting</w:t>
      </w:r>
      <w:r>
        <w:rPr>
          <w:rFonts w:ascii="Arial" w:cs="Arial" w:eastAsia="Arial" w:hAnsi="Arial"/>
          <w:sz w:val="18"/>
          <w:szCs w:val="18"/>
          <w:color w:val="auto"/>
        </w:rPr>
        <w:t>. Without limiting the discretion of the Committee under this section, the following rules will apply for purposes of the determination of the number of Shares available for grant under the Plan or compliance with the foregoing limits:</w:t>
      </w:r>
    </w:p>
    <w:p>
      <w:pPr>
        <w:spacing w:after="0" w:line="170" w:lineRule="exact"/>
        <w:rPr>
          <w:sz w:val="20"/>
          <w:szCs w:val="20"/>
          <w:color w:val="auto"/>
        </w:rPr>
      </w:pPr>
    </w:p>
    <w:p>
      <w:pPr>
        <w:jc w:val="both"/>
        <w:ind w:left="120" w:firstLine="987"/>
        <w:spacing w:after="0" w:line="259" w:lineRule="auto"/>
        <w:tabs>
          <w:tab w:leader="none" w:pos="13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If an outstanding Award for any reason expires or is terminated or canceled without having been exercised or settled in full, or if Shares acquired pursuant to an Award subject to forfeiture are forfeited under the terms of the Plan or the relevant Award, the Shares allocable to the terminated portion of such Award or such forfeited Shares shall again be available for issuance under the Plan. This </w:t>
      </w:r>
      <w:r>
        <w:rPr>
          <w:rFonts w:ascii="Arial" w:cs="Arial" w:eastAsia="Arial" w:hAnsi="Arial"/>
          <w:sz w:val="18"/>
          <w:szCs w:val="18"/>
          <w:u w:val="single" w:color="auto"/>
          <w:color w:val="auto"/>
        </w:rPr>
        <w:t>subsection 4.2(a)</w:t>
      </w:r>
      <w:r>
        <w:rPr>
          <w:rFonts w:ascii="Arial" w:cs="Arial" w:eastAsia="Arial" w:hAnsi="Arial"/>
          <w:sz w:val="18"/>
          <w:szCs w:val="18"/>
          <w:color w:val="auto"/>
        </w:rPr>
        <w:t xml:space="preserve"> shall also apply to awards granted under the Prior Plan, which are outstanding as of the Effective Date.</w:t>
      </w:r>
    </w:p>
    <w:p>
      <w:pPr>
        <w:spacing w:after="0" w:line="186" w:lineRule="exact"/>
        <w:rPr>
          <w:rFonts w:ascii="Arial" w:cs="Arial" w:eastAsia="Arial" w:hAnsi="Arial"/>
          <w:sz w:val="18"/>
          <w:szCs w:val="18"/>
          <w:color w:val="auto"/>
        </w:rPr>
      </w:pPr>
    </w:p>
    <w:p>
      <w:pPr>
        <w:ind w:left="120" w:right="140" w:firstLine="987"/>
        <w:spacing w:after="0" w:line="277" w:lineRule="auto"/>
        <w:tabs>
          <w:tab w:leader="none" w:pos="13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shall not be deemed to have been issued pursuant to the Plan (or the Prior Plan) with respect to any portion of an Award that is settled in cash, other than an Option.</w:t>
      </w:r>
    </w:p>
    <w:p>
      <w:pPr>
        <w:spacing w:after="0" w:line="170" w:lineRule="exact"/>
        <w:rPr>
          <w:rFonts w:ascii="Arial" w:cs="Arial" w:eastAsia="Arial" w:hAnsi="Arial"/>
          <w:sz w:val="18"/>
          <w:szCs w:val="18"/>
          <w:color w:val="auto"/>
        </w:rPr>
      </w:pPr>
    </w:p>
    <w:p>
      <w:pPr>
        <w:ind w:left="120" w:right="20" w:firstLine="987"/>
        <w:spacing w:after="0" w:line="293" w:lineRule="auto"/>
        <w:tabs>
          <w:tab w:leader="none" w:pos="1356"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event that withholding tax liabilities arising from a full-value Award (i.e., an award other than an Option or SAR) or, after the Effective Date, arising from a full-value award under the Prior Plan, are satisfied by the delivery or withholding of shares, the shares so tendered or withheld shall be added to the Plan’s reserve. Notwithstanding anything to the contrary contained herein, shares subject to an Award shall not again be made available for issuance or delivery under the Plan if such shares are (i) shares tendered in payment of an Option; (ii) shares delivered or withheld by the Company to satisfy any tax withholding obligation with respect to an Option or SAR; (iii) shares covered by a stock-settled Stock Appreciation Right that were not issued upon the settlement of the SAR; or (iv) shares purchased on the open market with Option proceeds.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Adjustments in Authorized Plan Shares and Outstanding Awards</w:t>
      </w:r>
      <w:r>
        <w:rPr>
          <w:rFonts w:ascii="Arial" w:cs="Arial" w:eastAsia="Arial" w:hAnsi="Arial"/>
          <w:sz w:val="16"/>
          <w:szCs w:val="16"/>
          <w:color w:val="auto"/>
        </w:rPr>
        <w:t>. In the event of any merger, reorganization, consolidation, recapitalization,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separation, split-up, spin-off, liquidation, Share combination, Stock split, Stock dividend, an extraordinary cash distribution on Stock, a corporate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separation or other reorganization or liquidation or other change in the corporate or capital structure of the Company affecting the Shares, an adjustment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shall be made in a manner consistent with Sections 422 and 424(h)(3) of the Code for Incentive Stock Options and in a manner consistent with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409A of the Code for Non-Qualified Stock Options and Stock Appreciation Rights and in the number and class of and/or price of Shares subject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outstanding Awards granted under the Plan, and/or the number of outstanding Options, Stock Appreciation Rights, Shares of Restricted Stock,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Performance Shares (and Restricted Stock Units, Performance Stock Units and other Awards whose value is based on a number of Shares) constituting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outstanding Awards, as may be determined to be appropriate and equitable by the Committee, in its sole discretion, to prevent dilution or enlargement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rights. The Committee shall also adjust any available share reserve accordingly. The Committee may make adjustments in the terms and conditions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the criteria included in Awards in recognition of unusual or nonrecurring events (including, without limitation, the events described in this Section)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affecting the Company or the financial statements of the Company or of changes in Applicable Laws, regulations, or accounting principles, whenever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Committee determines that such adjustments are appropriate in order to prevent dilution or enlargement of the benefits or potential benefits intended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be made available under the Plan.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 xml:space="preserve">Adjustments under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shall be consistent with Section 409A of the Code and adjustments pursuant to determination of the Committee shall be conclusive and binding on all Participants under the Plan.</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Limitation on Number of Shares Granted to Non-Employee Directors</w:t>
      </w:r>
      <w:r>
        <w:rPr>
          <w:rFonts w:ascii="Arial" w:cs="Arial" w:eastAsia="Arial" w:hAnsi="Arial"/>
          <w:sz w:val="16"/>
          <w:szCs w:val="16"/>
          <w:color w:val="auto"/>
        </w:rPr>
        <w:t>. The maximum number of Shares subject to Awards granted during a single fiscal year to any Non-Employee Director, taken together with any cash fees paid during the fiscal year to the Non-Employee Director, in respect of such Director’s service as a member of the Board during such year (including service as a member or chair of any committees of the Board), shall not exceed $500,000 in total value (calculating the value of any such Awards based on the grant date Fair Market Value of such Awards for financial reporting purposes). The independent members of the Board may make exceptions to this limit for a non-executive chair of the Board, provided that the Non-Employee Director receiving such additional compensation may not participate in the decision to award such compensation.</w:t>
      </w: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Eligibility and Participation</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Eligibility and Participation</w:t>
      </w:r>
      <w:r>
        <w:rPr>
          <w:rFonts w:ascii="Arial" w:cs="Arial" w:eastAsia="Arial" w:hAnsi="Arial"/>
          <w:sz w:val="17"/>
          <w:szCs w:val="17"/>
          <w:color w:val="auto"/>
        </w:rPr>
        <w:t>. Subject to the provisions of the Plan, the Committee may, from time to time, select from all Eligible Persons, those to whom Awards shall be granted and shall determine, in its sole discretion, the nature of, any and all terms permissible by law, and the amount of each Award. In making this determination, the Committee may consider any factors it deems relevant, including without limitation, the office or position held by a Participant or the Participant’s relationship to the Company, the Participant’s degree of responsibility for and contribution to the growth and success of the Company or any Subsidiary or Affiliate, the Participant’s length of service, promotions and potential. No individual shall have the right to be selected to receive an Award under this Plan, or, having been so selected, to be selected to receive a future Award. In addition,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w:t>
      </w:r>
    </w:p>
    <w:p>
      <w:pPr>
        <w:spacing w:after="0" w:line="18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Foreign Participants</w:t>
      </w:r>
      <w:r>
        <w:rPr>
          <w:rFonts w:ascii="Arial" w:cs="Arial" w:eastAsia="Arial" w:hAnsi="Arial"/>
          <w:sz w:val="16"/>
          <w:szCs w:val="16"/>
          <w:color w:val="auto"/>
        </w:rPr>
        <w:t xml:space="preserve">. In order to assure the viability of Awards granted to Participants employed in foreign countries, the Committee may provide for such special terms as it may consider necessary or appropriate to accommodate differences in local law, tax policy, or custom. Moreover, the Committee may approve such supplements to, or amendments, restatements, or alternative versions of, the Plan as it may consider necessary or appropriate for such purposes without thereby affecting the terms of the Plan as in effect for any other purpose; provided, however, that no such supplements, amendments, restatements, or alternative versions shall increase the share limitations contained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of the Plan.</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Options</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Options</w:t>
      </w:r>
      <w:r>
        <w:rPr>
          <w:rFonts w:ascii="Arial" w:cs="Arial" w:eastAsia="Arial" w:hAnsi="Arial"/>
          <w:sz w:val="18"/>
          <w:szCs w:val="18"/>
          <w:color w:val="auto"/>
        </w:rPr>
        <w:t xml:space="preserve">. Subject to the terms and provisions of the Plan, Options may be granted to Participants in such number, and upon such terms and conditions, and at any time and from time to time as shall be determined by the Committee, in its sole discretion, subject to the limitations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the following terms and conditions:</w:t>
      </w:r>
    </w:p>
    <w:p>
      <w:pPr>
        <w:spacing w:after="0" w:line="184" w:lineRule="exact"/>
        <w:rPr>
          <w:sz w:val="20"/>
          <w:szCs w:val="20"/>
          <w:color w:val="auto"/>
        </w:rPr>
      </w:pPr>
    </w:p>
    <w:p>
      <w:pPr>
        <w:ind w:left="120" w:right="200" w:firstLine="987"/>
        <w:spacing w:after="0" w:line="257" w:lineRule="auto"/>
        <w:tabs>
          <w:tab w:leader="none" w:pos="135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Award Agreement</w:t>
      </w:r>
      <w:r>
        <w:rPr>
          <w:rFonts w:ascii="Arial" w:cs="Arial" w:eastAsia="Arial" w:hAnsi="Arial"/>
          <w:sz w:val="18"/>
          <w:szCs w:val="18"/>
          <w:color w:val="auto"/>
        </w:rPr>
        <w:t>. Each Option grant shall be evidenced by an Award Agreement that shall specify the terms and conditions of the Option, including the Exercise Price, the maximum duration of the Option, the number of Shares to which the Option pertains, the conditions upon which an Option shall become vested and exercisable, and such other provisions as the Committee shall determine which are not inconsistent with the terms of the Plan. The Award Agreement also shall specify whether the Option is intended to be an Incentive Stock Option or a Non-Qualified Stock Option.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72" w:lineRule="auto"/>
        <w:tabs>
          <w:tab w:leader="none" w:pos="1366"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Exercise Period</w:t>
      </w:r>
      <w:r>
        <w:rPr>
          <w:rFonts w:ascii="Arial" w:cs="Arial" w:eastAsia="Arial" w:hAnsi="Arial"/>
          <w:sz w:val="16"/>
          <w:szCs w:val="16"/>
          <w:color w:val="auto"/>
        </w:rPr>
        <w:t>. Unless a shorter period is otherwise provided by the Committee at the time of grant, each Option will expire on the tenth (10</w:t>
      </w:r>
      <w:r>
        <w:rPr>
          <w:rFonts w:ascii="Arial" w:cs="Arial" w:eastAsia="Arial" w:hAnsi="Arial"/>
          <w:sz w:val="23"/>
          <w:szCs w:val="23"/>
          <w:color w:val="auto"/>
          <w:vertAlign w:val="superscript"/>
        </w:rPr>
        <w:t>th</w:t>
      </w:r>
      <w:r>
        <w:rPr>
          <w:rFonts w:ascii="Arial" w:cs="Arial" w:eastAsia="Arial" w:hAnsi="Arial"/>
          <w:sz w:val="16"/>
          <w:szCs w:val="16"/>
          <w:color w:val="auto"/>
        </w:rPr>
        <w:t>) anniversary date of its grant or on the fifth (5</w:t>
      </w:r>
      <w:r>
        <w:rPr>
          <w:rFonts w:ascii="Arial" w:cs="Arial" w:eastAsia="Arial" w:hAnsi="Arial"/>
          <w:sz w:val="23"/>
          <w:szCs w:val="23"/>
          <w:color w:val="auto"/>
          <w:vertAlign w:val="superscript"/>
        </w:rPr>
        <w:t>th</w:t>
      </w:r>
      <w:r>
        <w:rPr>
          <w:rFonts w:ascii="Arial" w:cs="Arial" w:eastAsia="Arial" w:hAnsi="Arial"/>
          <w:sz w:val="16"/>
          <w:szCs w:val="16"/>
          <w:color w:val="auto"/>
        </w:rPr>
        <w:t>) anniversary of its grant date if the Participant is a Ten Percent Owner. Notwithstanding the foregoing, in the event that on the last business day of the term of an Option (x) the exercise of which is prohibited by Applicable Law or (y) Shares may not be purchased or sold by certain Employees or Directors of the Company due to a “black-out period” of a Company policy or a “lock-up” agreement undertaken in connection with an issuance of securities by the Company, the Committee may provide that the term of the Option shall be extended but not beyond a period of thirty (30) days following the end of the legal prohibition, black-out period or lock-up agreement and provided further that no extension will be made if the grant price of such Option at the date the initial term would otherwise expire is above the Fair Market Value.</w:t>
      </w:r>
    </w:p>
    <w:p>
      <w:pPr>
        <w:spacing w:after="0" w:line="177" w:lineRule="exact"/>
        <w:rPr>
          <w:rFonts w:ascii="Arial" w:cs="Arial" w:eastAsia="Arial" w:hAnsi="Arial"/>
          <w:sz w:val="16"/>
          <w:szCs w:val="16"/>
          <w:color w:val="auto"/>
        </w:rPr>
      </w:pPr>
    </w:p>
    <w:p>
      <w:pPr>
        <w:jc w:val="both"/>
        <w:ind w:left="120" w:right="40" w:firstLine="987"/>
        <w:spacing w:after="0" w:line="259" w:lineRule="auto"/>
        <w:tabs>
          <w:tab w:leader="none" w:pos="135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Unless a greater Exercise Price is determined by the Committee, the Exercise Price for each Option awarded under this Plan shall be equal to one hundred percent (100%) of the Fair Market Value of a Share on the date the Option is granted. Notwithstanding the foregoing, the Committee may determine the Exercise Price for a substitute Award, provided such Exercise Price does not violate Applicable Law (including, but not limited to, Section 409A of the Code).</w:t>
      </w:r>
    </w:p>
    <w:p>
      <w:pPr>
        <w:spacing w:after="0" w:line="186" w:lineRule="exact"/>
        <w:rPr>
          <w:rFonts w:ascii="Arial" w:cs="Arial" w:eastAsia="Arial" w:hAnsi="Arial"/>
          <w:sz w:val="18"/>
          <w:szCs w:val="18"/>
          <w:color w:val="auto"/>
        </w:rPr>
      </w:pPr>
    </w:p>
    <w:p>
      <w:pPr>
        <w:ind w:left="120" w:right="200" w:firstLine="987"/>
        <w:spacing w:after="0" w:line="308" w:lineRule="auto"/>
        <w:tabs>
          <w:tab w:leader="none" w:pos="136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Vesting of Options</w:t>
      </w:r>
      <w:r>
        <w:rPr>
          <w:rFonts w:ascii="Arial" w:cs="Arial" w:eastAsia="Arial" w:hAnsi="Arial"/>
          <w:sz w:val="17"/>
          <w:szCs w:val="17"/>
          <w:color w:val="auto"/>
        </w:rPr>
        <w:t>. A grant of Options shall vest at such times and under such terms and conditions as determined by the Committee including, without limitation, suspension of a Participant’s vesting during all or a portion of a Participant’s leave of absence.</w:t>
      </w:r>
    </w:p>
    <w:p>
      <w:pPr>
        <w:spacing w:after="0" w:line="14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Limitations on Incentive Stock Options</w:t>
      </w:r>
      <w:r>
        <w:rPr>
          <w:rFonts w:ascii="Arial" w:cs="Arial" w:eastAsia="Arial" w:hAnsi="Arial"/>
          <w:sz w:val="18"/>
          <w:szCs w:val="18"/>
          <w:color w:val="auto"/>
        </w:rPr>
        <w:t xml:space="preserve">. In addition to the general requirements of </w:t>
      </w:r>
      <w:r>
        <w:rPr>
          <w:rFonts w:ascii="Arial" w:cs="Arial" w:eastAsia="Arial" w:hAnsi="Arial"/>
          <w:sz w:val="18"/>
          <w:szCs w:val="18"/>
          <w:u w:val="single" w:color="auto"/>
          <w:color w:val="auto"/>
        </w:rPr>
        <w:t>Article 6</w:t>
      </w:r>
      <w:r>
        <w:rPr>
          <w:rFonts w:ascii="Arial" w:cs="Arial" w:eastAsia="Arial" w:hAnsi="Arial"/>
          <w:sz w:val="18"/>
          <w:szCs w:val="18"/>
          <w:color w:val="auto"/>
        </w:rPr>
        <w:t>, the terms of any Incentive Stock Option (“</w:t>
      </w:r>
      <w:r>
        <w:rPr>
          <w:rFonts w:ascii="Arial" w:cs="Arial" w:eastAsia="Arial" w:hAnsi="Arial"/>
          <w:sz w:val="18"/>
          <w:szCs w:val="18"/>
          <w:u w:val="single" w:color="auto"/>
          <w:color w:val="auto"/>
        </w:rPr>
        <w:t>ISO</w:t>
      </w:r>
      <w:r>
        <w:rPr>
          <w:rFonts w:ascii="Arial" w:cs="Arial" w:eastAsia="Arial" w:hAnsi="Arial"/>
          <w:sz w:val="18"/>
          <w:szCs w:val="18"/>
          <w:color w:val="auto"/>
        </w:rPr>
        <w:t xml:space="preserve">”) granted pursuant to the Plan must comply with the provisions of this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70" w:lineRule="exact"/>
        <w:rPr>
          <w:sz w:val="20"/>
          <w:szCs w:val="20"/>
          <w:color w:val="auto"/>
        </w:rPr>
      </w:pPr>
    </w:p>
    <w:p>
      <w:pPr>
        <w:jc w:val="both"/>
        <w:ind w:left="120" w:right="20" w:firstLine="987"/>
        <w:spacing w:after="0" w:line="301" w:lineRule="auto"/>
        <w:tabs>
          <w:tab w:leader="none" w:pos="1356"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ISO Eligibility</w:t>
      </w:r>
      <w:r>
        <w:rPr>
          <w:rFonts w:ascii="Arial" w:cs="Arial" w:eastAsia="Arial" w:hAnsi="Arial"/>
          <w:sz w:val="16"/>
          <w:szCs w:val="16"/>
          <w:color w:val="auto"/>
        </w:rPr>
        <w:t>. ISOs may be granted only to Employees of the Company or of any parent or subsidiary corporation (as permitted under Sections 422 and 424 of the Code). No ISO Award may be made pursuant to this Plan after the tenth (10th) anniversary of the Effective Date. ISOs shall not be granted until such time as stockholders approve this Plan. This Plan will be deemed to be approved by stockholders if it receives the affirmative vote of a majority of the votes cast at a meeting duly held in accordance with the applicable provisions of the Company’s Bylaws.</w:t>
      </w:r>
    </w:p>
    <w:p>
      <w:pPr>
        <w:spacing w:after="0" w:line="157" w:lineRule="exact"/>
        <w:rPr>
          <w:rFonts w:ascii="Arial" w:cs="Arial" w:eastAsia="Arial" w:hAnsi="Arial"/>
          <w:sz w:val="16"/>
          <w:szCs w:val="16"/>
          <w:color w:val="auto"/>
        </w:rPr>
      </w:pPr>
    </w:p>
    <w:p>
      <w:pPr>
        <w:ind w:left="120" w:right="60" w:firstLine="987"/>
        <w:spacing w:after="0" w:line="279" w:lineRule="auto"/>
        <w:tabs>
          <w:tab w:leader="none" w:pos="1366"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ISO Individual Dollar Limitation</w:t>
      </w:r>
      <w:r>
        <w:rPr>
          <w:rFonts w:ascii="Arial" w:cs="Arial" w:eastAsia="Arial" w:hAnsi="Arial"/>
          <w:sz w:val="17"/>
          <w:szCs w:val="17"/>
          <w:color w:val="auto"/>
        </w:rPr>
        <w:t>. The aggregate Fair Market Value (determined as of the date the Option is granted) of all Shares with respect to which Incentive Stock Options are first exercisable by a Participant in any calendar year may not exceed one hundred thousand dollars ($100,000.00) or such other limitation as imposed by Section 422(d) of the Code. To the extent that Incentive Stock Options are first exercisable by a Participant in excess of such limitation, the excess shall be considered Non-Qualified Stock Options.</w:t>
      </w:r>
    </w:p>
    <w:p>
      <w:pPr>
        <w:spacing w:after="0" w:line="171" w:lineRule="exact"/>
        <w:rPr>
          <w:rFonts w:ascii="Arial" w:cs="Arial" w:eastAsia="Arial" w:hAnsi="Arial"/>
          <w:sz w:val="17"/>
          <w:szCs w:val="17"/>
          <w:color w:val="auto"/>
        </w:rPr>
      </w:pPr>
    </w:p>
    <w:p>
      <w:pPr>
        <w:ind w:left="1360" w:hanging="253"/>
        <w:spacing w:after="0"/>
        <w:tabs>
          <w:tab w:leader="none" w:pos="136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ISO Expiration</w:t>
      </w:r>
      <w:r>
        <w:rPr>
          <w:rFonts w:ascii="Arial" w:cs="Arial" w:eastAsia="Arial" w:hAnsi="Arial"/>
          <w:sz w:val="16"/>
          <w:szCs w:val="16"/>
          <w:color w:val="auto"/>
        </w:rPr>
        <w:t>. An ISO will expire and may not be exercised to any extent by anyone after the first to occur of the following events:</w:t>
      </w:r>
    </w:p>
    <w:p>
      <w:pPr>
        <w:spacing w:after="0" w:line="248" w:lineRule="exact"/>
        <w:rPr>
          <w:rFonts w:ascii="Arial" w:cs="Arial" w:eastAsia="Arial" w:hAnsi="Arial"/>
          <w:sz w:val="16"/>
          <w:szCs w:val="16"/>
          <w:color w:val="auto"/>
        </w:rPr>
      </w:pPr>
    </w:p>
    <w:p>
      <w:pPr>
        <w:ind w:left="1760" w:hanging="212"/>
        <w:spacing w:after="0"/>
        <w:tabs>
          <w:tab w:leader="none" w:pos="1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Ten (10) years from the date of grant, unless an earlier time is set in the Award Agreement;</w:t>
      </w:r>
    </w:p>
    <w:p>
      <w:pPr>
        <w:spacing w:after="0" w:line="225" w:lineRule="exact"/>
        <w:rPr>
          <w:rFonts w:ascii="Arial" w:cs="Arial" w:eastAsia="Arial" w:hAnsi="Arial"/>
          <w:sz w:val="18"/>
          <w:szCs w:val="18"/>
          <w:color w:val="auto"/>
        </w:rPr>
      </w:pPr>
    </w:p>
    <w:p>
      <w:pPr>
        <w:ind w:left="120" w:right="360" w:firstLine="1428"/>
        <w:spacing w:after="0" w:line="308" w:lineRule="auto"/>
        <w:tabs>
          <w:tab w:leader="none" w:pos="1817"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Three (3) months after the date of the Participant’s Termination of Employment other than on account of Disability or death. Whether a Participant continues to be an employee shall be determined in accordance with Treas. Reg. Section 1.421-1(h)(2); and</w:t>
      </w:r>
    </w:p>
    <w:p>
      <w:pPr>
        <w:spacing w:after="0" w:line="146" w:lineRule="exact"/>
        <w:rPr>
          <w:rFonts w:ascii="Arial" w:cs="Arial" w:eastAsia="Arial" w:hAnsi="Arial"/>
          <w:sz w:val="17"/>
          <w:szCs w:val="17"/>
          <w:color w:val="auto"/>
        </w:rPr>
      </w:pPr>
    </w:p>
    <w:p>
      <w:pPr>
        <w:ind w:left="120" w:right="160" w:firstLine="1428"/>
        <w:spacing w:after="0" w:line="257" w:lineRule="auto"/>
        <w:tabs>
          <w:tab w:leader="none" w:pos="1867" w:val="left"/>
        </w:tabs>
        <w:numPr>
          <w:ilvl w:val="1"/>
          <w:numId w:val="27"/>
        </w:numPr>
        <w:rPr>
          <w:rFonts w:ascii="Arial" w:cs="Arial" w:eastAsia="Arial" w:hAnsi="Arial"/>
          <w:sz w:val="18"/>
          <w:szCs w:val="18"/>
          <w:color w:val="auto"/>
        </w:rPr>
      </w:pPr>
      <w:r>
        <w:rPr>
          <w:rFonts w:ascii="Arial" w:cs="Arial" w:eastAsia="Arial" w:hAnsi="Arial"/>
          <w:sz w:val="18"/>
          <w:szCs w:val="18"/>
          <w:color w:val="auto"/>
        </w:rPr>
        <w:t>One (1) year after the date of the Participant’s Termination of Employment on account of Disability or death. Upon the Participant’s Disability or death, any ISOs exercisable at the Participant’s Disability or death may be exercised by the Participant’s legal representative or representatives, by the person or persons entitled to do so pursuant to the Participant’s last will and testament, or, if the Participant fails to make testamentary disposition of such ISO or dies intestate, by the person or persons entitled to receive the ISO pursuant to the Applicable Laws of descent and distribution.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Any ISO that remains exercisable pursuant to a Participant’s agreement with the Company following Termination of Employment and is unexercised more than one (1) year following Termination of Employment by reason of death or Disability or more than three (3) months following Termination of Employment for any reason other than death or Disability will thereafter be deemed to be a Non-Qualified Stock Option.</w:t>
      </w:r>
    </w:p>
    <w:p>
      <w:pPr>
        <w:spacing w:after="0" w:line="149" w:lineRule="exact"/>
        <w:rPr>
          <w:sz w:val="20"/>
          <w:szCs w:val="20"/>
          <w:color w:val="auto"/>
        </w:rPr>
      </w:pPr>
    </w:p>
    <w:p>
      <w:pPr>
        <w:ind w:left="120" w:right="260" w:firstLine="987"/>
        <w:spacing w:after="0" w:line="275" w:lineRule="auto"/>
        <w:tabs>
          <w:tab w:leader="none" w:pos="136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Ten Percent Owners.</w:t>
      </w:r>
      <w:r>
        <w:rPr>
          <w:rFonts w:ascii="Arial" w:cs="Arial" w:eastAsia="Arial" w:hAnsi="Arial"/>
          <w:sz w:val="18"/>
          <w:szCs w:val="18"/>
          <w:color w:val="auto"/>
        </w:rPr>
        <w:t xml:space="preserve"> In the case of an ISO granted to a Ten Percent Owner, such ISO shall be granted at an exercise price that is not less than one hundred and ten percent (110%) of Fair Market Value on the date of grant and, unless a shorter period is otherwise provided by the Committee at the time of grant, each ISO will expire on the fifth (5</w:t>
      </w:r>
      <w:r>
        <w:rPr>
          <w:rFonts w:ascii="Arial" w:cs="Arial" w:eastAsia="Arial" w:hAnsi="Arial"/>
          <w:sz w:val="26"/>
          <w:szCs w:val="26"/>
          <w:color w:val="auto"/>
          <w:vertAlign w:val="superscript"/>
        </w:rPr>
        <w:t>th</w:t>
      </w:r>
      <w:r>
        <w:rPr>
          <w:rFonts w:ascii="Arial" w:cs="Arial" w:eastAsia="Arial" w:hAnsi="Arial"/>
          <w:sz w:val="18"/>
          <w:szCs w:val="18"/>
          <w:color w:val="auto"/>
        </w:rPr>
        <w:t>) anniversary of its grant date.</w:t>
      </w:r>
    </w:p>
    <w:p>
      <w:pPr>
        <w:spacing w:after="0" w:line="47" w:lineRule="exact"/>
        <w:rPr>
          <w:rFonts w:ascii="Arial" w:cs="Arial" w:eastAsia="Arial" w:hAnsi="Arial"/>
          <w:sz w:val="18"/>
          <w:szCs w:val="18"/>
          <w:color w:val="auto"/>
        </w:rPr>
      </w:pPr>
    </w:p>
    <w:p>
      <w:pPr>
        <w:jc w:val="both"/>
        <w:ind w:left="120" w:right="80" w:firstLine="987"/>
        <w:spacing w:after="0" w:line="259" w:lineRule="auto"/>
        <w:tabs>
          <w:tab w:leader="none" w:pos="135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Notification of Disposition</w:t>
      </w:r>
      <w:r>
        <w:rPr>
          <w:rFonts w:ascii="Arial" w:cs="Arial" w:eastAsia="Arial" w:hAnsi="Arial"/>
          <w:sz w:val="18"/>
          <w:szCs w:val="18"/>
          <w:color w:val="auto"/>
        </w:rPr>
        <w:t>. If a Participant disposes of Shares acquired upon exercise of an ISO within two (2) years from the date the Option is granted or within one (1) year after the issuance of such Shares to the Participant, the Participant shall notify the Company of such disposition and provide information regarding the date of disposition, sale price, number of Shares disposed of, and any other information relating thereto that the Company may reasonably request.</w:t>
      </w:r>
    </w:p>
    <w:p>
      <w:pPr>
        <w:spacing w:after="0" w:line="186" w:lineRule="exact"/>
        <w:rPr>
          <w:rFonts w:ascii="Arial" w:cs="Arial" w:eastAsia="Arial" w:hAnsi="Arial"/>
          <w:sz w:val="18"/>
          <w:szCs w:val="18"/>
          <w:color w:val="auto"/>
        </w:rPr>
      </w:pPr>
    </w:p>
    <w:p>
      <w:pPr>
        <w:ind w:left="1340" w:hanging="233"/>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During a Participant’s lifetime, an Incentive Stock Option may be exercised only by the Participant.</w:t>
      </w:r>
    </w:p>
    <w:p>
      <w:pPr>
        <w:spacing w:after="0" w:line="225" w:lineRule="exact"/>
        <w:rPr>
          <w:rFonts w:ascii="Arial" w:cs="Arial" w:eastAsia="Arial" w:hAnsi="Arial"/>
          <w:sz w:val="18"/>
          <w:szCs w:val="18"/>
          <w:color w:val="auto"/>
        </w:rPr>
      </w:pPr>
    </w:p>
    <w:p>
      <w:pPr>
        <w:ind w:left="120" w:firstLine="987"/>
        <w:spacing w:after="0" w:line="259" w:lineRule="auto"/>
        <w:tabs>
          <w:tab w:leader="none" w:pos="136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Failure to Meet ISO Requirements</w:t>
      </w:r>
      <w:r>
        <w:rPr>
          <w:rFonts w:ascii="Arial" w:cs="Arial" w:eastAsia="Arial" w:hAnsi="Arial"/>
          <w:sz w:val="18"/>
          <w:szCs w:val="18"/>
          <w:color w:val="auto"/>
        </w:rPr>
        <w:t>. If an Option is intended to be an Incentive Stock Option, and if, for any reason, such Option (or any portion thereof) shall not qualify as an Incentive Stock Option, then, to the extent of such nonqualification, such Option (or portion thereof) shall be regarded as a Non-Qualified Stock Option appropriately granted under the Plan; provided that such Option (or portion thereof) otherwise complies with the Plan’s requirements relating to Non-Qualified Stock Options.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Exercise of Options</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57" w:lineRule="auto"/>
        <w:tabs>
          <w:tab w:leader="none" w:pos="13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Options granted under the Plan shall be exercisable at such times and be subject to such restrictions and conditions as the Committee shall in each instance approve, which need not be the same for each grant or for each Participant. Exercises of Options may be effected only on days and during the hours the NYSE is open for regular trading. The Company may change or limit the times or days Options may be exercised. If an Option expires on a day or at a time when exercises are not permitted, then the Options may be exercised no later than the immediately preceding date and time that the Options were exercisable.</w:t>
      </w:r>
    </w:p>
    <w:p>
      <w:pPr>
        <w:spacing w:after="0" w:line="187" w:lineRule="exact"/>
        <w:rPr>
          <w:rFonts w:ascii="Arial" w:cs="Arial" w:eastAsia="Arial" w:hAnsi="Arial"/>
          <w:sz w:val="18"/>
          <w:szCs w:val="18"/>
          <w:color w:val="auto"/>
        </w:rPr>
      </w:pPr>
    </w:p>
    <w:p>
      <w:pPr>
        <w:ind w:left="120" w:firstLine="987"/>
        <w:spacing w:after="0" w:line="296" w:lineRule="auto"/>
        <w:tabs>
          <w:tab w:leader="none" w:pos="1366"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Option shall be exercised by providing notice to the designated agent selected by the Company (if no such agent has been designated, then to the Company), in the manner and form determined by the Company, which notice shall be irrevocable, setting forth the exact number of Shares with respect to which the Option is being exercised and including with such notice payment of the Exercise Price, as applicable. When an Option has been transferred, the Company or its designated agent may require appropriate documentation that the person or persons exercising the Option, if other than the Participant, has the right to exercise the Option. No Option may be exercised with respect to a fraction of a Share.</w:t>
      </w:r>
    </w:p>
    <w:p>
      <w:pPr>
        <w:spacing w:after="0" w:line="16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Unless otherwise provided by the Committee in the applicable Award Agreement, the following limitations on the exercise of Options shall apply upon Termination of Employment:</w:t>
      </w:r>
    </w:p>
    <w:p>
      <w:pPr>
        <w:spacing w:after="0" w:line="170" w:lineRule="exact"/>
        <w:rPr>
          <w:sz w:val="20"/>
          <w:szCs w:val="20"/>
          <w:color w:val="auto"/>
        </w:rPr>
      </w:pPr>
    </w:p>
    <w:p>
      <w:pPr>
        <w:jc w:val="both"/>
        <w:ind w:left="120" w:right="240" w:firstLine="987"/>
        <w:spacing w:after="0" w:line="301" w:lineRule="auto"/>
        <w:tabs>
          <w:tab w:leader="none" w:pos="135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Termination by Death or Disability</w:t>
      </w:r>
      <w:r>
        <w:rPr>
          <w:rFonts w:ascii="Arial" w:cs="Arial" w:eastAsia="Arial" w:hAnsi="Arial"/>
          <w:sz w:val="16"/>
          <w:szCs w:val="16"/>
          <w:color w:val="auto"/>
        </w:rPr>
        <w:t>. In the event of the Participant’s Termination of Employment by reason of death or Disability, all outstanding Options granted to such Participant which are vested and exercisable as of the effective date of Termination of Employment by reason of death or Disability may be exercised, if at all, no more than one (1) year from such date of Termination of Employment, unless the Options, by their terms, expire earlier. All unvested Options granted to such Participant shall immediately become forfeited.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87"/>
        <w:spacing w:after="0" w:line="255" w:lineRule="auto"/>
        <w:tabs>
          <w:tab w:leader="none" w:pos="136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Involuntary Termination Without Cause</w:t>
      </w:r>
      <w:r>
        <w:rPr>
          <w:rFonts w:ascii="Arial" w:cs="Arial" w:eastAsia="Arial" w:hAnsi="Arial"/>
          <w:sz w:val="18"/>
          <w:szCs w:val="18"/>
          <w:color w:val="auto"/>
        </w:rPr>
        <w:t>. If a Participant’s Termination of Employment is by involuntary termination without Cause, all Options held by such Participant that are vested and exercisable at the time of the Participant’s Termination of Employment may be exercised by the Participant at any time within a period of ninety (90) days from the date of such Termination of Employment, but in no event beyond the expiration of the stated term of such Options. All Options held by the Participant which are not vested on or before the effective date of Termination of Employment shall immediately be forfeited to the Company (and the Shares subject to such forfeited Options shall once again become available for issuance under the Plan).</w:t>
      </w:r>
    </w:p>
    <w:p>
      <w:pPr>
        <w:spacing w:after="0" w:line="192" w:lineRule="exact"/>
        <w:rPr>
          <w:rFonts w:ascii="Arial" w:cs="Arial" w:eastAsia="Arial" w:hAnsi="Arial"/>
          <w:sz w:val="18"/>
          <w:szCs w:val="18"/>
          <w:color w:val="auto"/>
        </w:rPr>
      </w:pPr>
    </w:p>
    <w:p>
      <w:pPr>
        <w:ind w:left="1360" w:hanging="253"/>
        <w:spacing w:after="0"/>
        <w:tabs>
          <w:tab w:leader="none" w:pos="136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Voluntary Termination</w:t>
      </w:r>
      <w:r>
        <w:rPr>
          <w:rFonts w:ascii="Arial" w:cs="Arial" w:eastAsia="Arial" w:hAnsi="Arial"/>
          <w:sz w:val="17"/>
          <w:szCs w:val="17"/>
          <w:color w:val="auto"/>
        </w:rPr>
        <w:t>. If a Participant’s Termination of Employment is voluntary (other than a voluntary termination described</w:t>
      </w:r>
    </w:p>
    <w:p>
      <w:pPr>
        <w:spacing w:after="0" w:line="35"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u w:val="single" w:color="auto"/>
          <w:color w:val="auto"/>
        </w:rPr>
        <w:t>Section 6.4(d)</w:t>
      </w:r>
      <w:r>
        <w:rPr>
          <w:rFonts w:ascii="Arial" w:cs="Arial" w:eastAsia="Arial" w:hAnsi="Arial"/>
          <w:sz w:val="18"/>
          <w:szCs w:val="18"/>
          <w:color w:val="auto"/>
        </w:rPr>
        <w:t>), all Options held by such Participant that are vested and exercisable at the time of the Participant’s Termination of Employment may be exercised by the Participant at any time within a period of ninety (90) days from the date of such Termination of Employment, but in no event beyond the expiration of the stated terms of such Options. All Options held by the Participant which are not vested on or before the effective date of Termination of Employment shall immediately be forfeited to the Company (and the Shares subject to such forfeited Options shall once again become available for issuance under the Plan).</w:t>
      </w:r>
    </w:p>
    <w:p>
      <w:pPr>
        <w:spacing w:after="0" w:line="191" w:lineRule="exact"/>
        <w:rPr>
          <w:sz w:val="20"/>
          <w:szCs w:val="20"/>
          <w:color w:val="auto"/>
        </w:rPr>
      </w:pPr>
    </w:p>
    <w:p>
      <w:pPr>
        <w:ind w:left="120" w:right="40" w:firstLine="987"/>
        <w:spacing w:after="0" w:line="301" w:lineRule="auto"/>
        <w:tabs>
          <w:tab w:leader="none" w:pos="136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xml:space="preserve">. If the Participant’s Termination of Employment (i) is by the Company for Cause or (ii) is a voluntary Termination (as provided in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above) after the occurrence of an event that would be grounds for Termination of Employment for Cause, all outstanding Options held by the Participant shall immediately be forfeited to the Company and no additional exercise period shall be allowed, regardless of the vested status of the Options (and the Shares subject to such forfeited Options shall once again become available for issuance under the Plan).</w:t>
      </w:r>
    </w:p>
    <w:p>
      <w:pPr>
        <w:spacing w:after="0" w:line="157" w:lineRule="exact"/>
        <w:rPr>
          <w:rFonts w:ascii="Arial" w:cs="Arial" w:eastAsia="Arial" w:hAnsi="Arial"/>
          <w:sz w:val="16"/>
          <w:szCs w:val="16"/>
          <w:color w:val="auto"/>
        </w:rPr>
      </w:pPr>
    </w:p>
    <w:p>
      <w:pPr>
        <w:ind w:left="120" w:right="220" w:firstLine="987"/>
        <w:spacing w:after="0" w:line="259" w:lineRule="auto"/>
        <w:tabs>
          <w:tab w:leader="none" w:pos="135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Other Terms and Conditions</w:t>
      </w:r>
      <w:r>
        <w:rPr>
          <w:rFonts w:ascii="Arial" w:cs="Arial" w:eastAsia="Arial" w:hAnsi="Arial"/>
          <w:sz w:val="18"/>
          <w:szCs w:val="18"/>
          <w:color w:val="auto"/>
        </w:rPr>
        <w:t>. A Participant holding an Option is not eligible to receive dividends or Dividend Equivalents. Notwithstanding the foregoing, the Committee may, in its sole discretion, establish different, or waive, terms and conditions pertaining to the effect of Termination of Employment on Options, whether or not the Options are outstanding, but no such modification shall be materially adverse to the Participant.</w:t>
      </w:r>
    </w:p>
    <w:p>
      <w:pPr>
        <w:spacing w:after="0" w:line="18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w:t>
      </w:r>
      <w:r>
        <w:rPr>
          <w:rFonts w:ascii="Arial" w:cs="Arial" w:eastAsia="Arial" w:hAnsi="Arial"/>
          <w:sz w:val="18"/>
          <w:szCs w:val="18"/>
          <w:color w:val="auto"/>
        </w:rPr>
        <w:t>. The Committee shall determine the methods by which payments by any Participant with respect to any Awards granted under the Plan may be paid and the form of payment. Unless otherwise determined by the Committee, the Exercise Price shall be paid in full at the time of exercise. No Shares shall be issued or transferred until full payment has been received or the next business day thereafter, as determined by the Company. The Committee may, from time to time, determine or modify the method or methods of exercising Options or the manner in which the Exercise Price is to be paid. Unless otherwise provided by the Committee in full or in part, to the extent permitted by Applicable Law, payment may be made by any of the following:</w:t>
      </w:r>
    </w:p>
    <w:p>
      <w:pPr>
        <w:spacing w:after="0" w:line="192" w:lineRule="exact"/>
        <w:rPr>
          <w:sz w:val="20"/>
          <w:szCs w:val="20"/>
          <w:color w:val="auto"/>
        </w:rPr>
      </w:pPr>
    </w:p>
    <w:p>
      <w:pPr>
        <w:ind w:left="1360" w:hanging="253"/>
        <w:spacing w:after="0"/>
        <w:tabs>
          <w:tab w:leader="none" w:pos="1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or certified or bank check;</w:t>
      </w:r>
    </w:p>
    <w:p>
      <w:pPr>
        <w:spacing w:after="0" w:line="225" w:lineRule="exact"/>
        <w:rPr>
          <w:rFonts w:ascii="Arial" w:cs="Arial" w:eastAsia="Arial" w:hAnsi="Arial"/>
          <w:sz w:val="18"/>
          <w:szCs w:val="18"/>
          <w:color w:val="auto"/>
        </w:rPr>
      </w:pPr>
    </w:p>
    <w:p>
      <w:pPr>
        <w:ind w:left="120" w:right="560" w:firstLine="987"/>
        <w:spacing w:after="0" w:line="308" w:lineRule="auto"/>
        <w:tabs>
          <w:tab w:leader="none" w:pos="1366"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delivery of Shares owned by the Participant duly endorsed for transfer to the Company, with a Fair Market Value of such Shares delivered on the date of delivery equal to the Exercise Price (or portion thereof) due for the number of Shares being acquired;</w:t>
      </w:r>
    </w:p>
    <w:p>
      <w:pPr>
        <w:spacing w:after="0" w:line="146" w:lineRule="exact"/>
        <w:rPr>
          <w:rFonts w:ascii="Arial" w:cs="Arial" w:eastAsia="Arial" w:hAnsi="Arial"/>
          <w:sz w:val="17"/>
          <w:szCs w:val="17"/>
          <w:color w:val="auto"/>
        </w:rPr>
      </w:pPr>
    </w:p>
    <w:p>
      <w:pPr>
        <w:ind w:left="120" w:firstLine="987"/>
        <w:spacing w:after="0" w:line="273" w:lineRule="auto"/>
        <w:tabs>
          <w:tab w:leader="none" w:pos="13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the Company has designated a stockbroker to act as the Company’s agent to process Option exercises, an Option may be exercised by issuing an exercise notice together with instructions to such stockbroker irrevocably instructing the stockbroker: (i) to immediately sell (which shall include an exercise notice that becomes effective upon execution of a sale order) a sufficient portion of the Shares to be received from the Option exercise to pay the Exercise Price of the Options being exercised and the required tax withholding, and (ii) to deliver on the settlement date the portion of the proceeds of the sale equal to the Exercise Price and tax withholding to the Company. In the event the stockbroker sells any Shares on behalf of a Participant, the stockbroker shall be acting solely as the agent of the Participant, and the Company disclaims any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40"/>
          </w:cols>
          <w:pgMar w:left="320" w:top="459"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responsibility for the actions of the stockbroker in making any such sales. However, if the Participant is an Insider, then the instruction to the stock broker to sell in the preceding sentence is intended to comply with the requirements of Rule 10b5-1(c)(1)(i)(B) of the Exchange Act to the extent permitted by law. No Shares shall be issued until the settlement date and until the proceeds (equal to the Exercise Price and tax withholding) are paid to the Company;</w:t>
      </w:r>
    </w:p>
    <w:p>
      <w:pPr>
        <w:spacing w:after="0" w:line="187" w:lineRule="exact"/>
        <w:rPr>
          <w:sz w:val="20"/>
          <w:szCs w:val="20"/>
          <w:color w:val="auto"/>
        </w:rPr>
      </w:pPr>
    </w:p>
    <w:p>
      <w:pPr>
        <w:ind w:left="120" w:right="120" w:firstLine="987"/>
        <w:spacing w:after="0" w:line="287" w:lineRule="auto"/>
        <w:tabs>
          <w:tab w:leader="none" w:pos="1366" w:val="left"/>
        </w:tabs>
        <w:numPr>
          <w:ilvl w:val="1"/>
          <w:numId w:val="34"/>
        </w:numPr>
        <w:rPr>
          <w:rFonts w:ascii="Arial" w:cs="Arial" w:eastAsia="Arial" w:hAnsi="Arial"/>
          <w:sz w:val="16"/>
          <w:szCs w:val="16"/>
          <w:color w:val="auto"/>
        </w:rPr>
      </w:pPr>
      <w:r>
        <w:rPr>
          <w:rFonts w:ascii="Arial" w:cs="Arial" w:eastAsia="Arial" w:hAnsi="Arial"/>
          <w:sz w:val="16"/>
          <w:szCs w:val="16"/>
          <w:color w:val="auto"/>
        </w:rPr>
        <w:t>at any time, the Committee may, in addition to or in lieu of the foregoing, provide that an Option may be “stock settled,” which shall mean upon exercise of an Option, the Company may fully satisfy its obligation under the Option by delivering that number of shares of Stock found by taking the difference between (i) the Fair Market Value of the Stock on the exercise date, multiplied by the number of Options being exercised and</w:t>
      </w:r>
    </w:p>
    <w:p>
      <w:pPr>
        <w:spacing w:after="0" w:line="2" w:lineRule="exact"/>
        <w:rPr>
          <w:rFonts w:ascii="Arial" w:cs="Arial" w:eastAsia="Arial" w:hAnsi="Arial"/>
          <w:sz w:val="16"/>
          <w:szCs w:val="16"/>
          <w:color w:val="auto"/>
        </w:rPr>
      </w:pPr>
    </w:p>
    <w:p>
      <w:pPr>
        <w:ind w:left="380" w:hanging="264"/>
        <w:spacing w:after="0"/>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total Exercise Price of the Options being exercised, and dividing such difference by the Fair Market Value of the Stock on the exercise date; or</w:t>
      </w:r>
    </w:p>
    <w:p>
      <w:pPr>
        <w:spacing w:after="0" w:line="233" w:lineRule="exact"/>
        <w:rPr>
          <w:rFonts w:ascii="Arial" w:cs="Arial" w:eastAsia="Arial" w:hAnsi="Arial"/>
          <w:sz w:val="16"/>
          <w:szCs w:val="16"/>
          <w:color w:val="auto"/>
        </w:rPr>
      </w:pPr>
    </w:p>
    <w:p>
      <w:pPr>
        <w:ind w:left="1360" w:hanging="253"/>
        <w:spacing w:after="0"/>
        <w:tabs>
          <w:tab w:leader="none" w:pos="13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combination of the foregoing methods.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Notwithstanding any other provision of the Plan to the contrary, no Participant who is a Director or an “executive officer” of the Company shall be permitted to pay the Exercise Price of an Option in any method which would violate Section 13(h) of the Exchange Act.</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Stock Appreciation Rights</w:t>
      </w:r>
    </w:p>
    <w:p>
      <w:pPr>
        <w:spacing w:after="0" w:line="22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Grant of SARs</w:t>
      </w:r>
      <w:r>
        <w:rPr>
          <w:rFonts w:ascii="Arial" w:cs="Arial" w:eastAsia="Arial" w:hAnsi="Arial"/>
          <w:sz w:val="17"/>
          <w:szCs w:val="17"/>
          <w:color w:val="auto"/>
        </w:rPr>
        <w:t>. Any Participant selected by the Committee may be granted one or more SARs. SARs may be granted alone or in tandem with Options. Each SAR shall be evidenced by an Award Agreement that shall specify the exercise price, the term of the SAR, and such other provisions as the Committee shall determine. With respect to SARs granted in tandem with Options, the exercise of either such Options or such SARs shall result in the simultaneous cancellation of the same number of tandem SARs or Options, as the case may be.</w:t>
      </w:r>
    </w:p>
    <w:p>
      <w:pPr>
        <w:spacing w:after="0" w:line="17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covered by a SAR granted pursuant to the Plan shall be equal to or greater than Fair Market Value on the date the SAR was granted.</w:t>
      </w:r>
    </w:p>
    <w:p>
      <w:pPr>
        <w:spacing w:after="0" w:line="170"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Term</w:t>
      </w:r>
      <w:r>
        <w:rPr>
          <w:rFonts w:ascii="Arial" w:cs="Arial" w:eastAsia="Arial" w:hAnsi="Arial"/>
          <w:sz w:val="17"/>
          <w:szCs w:val="17"/>
          <w:color w:val="auto"/>
        </w:rPr>
        <w:t>. The term of each SAR shall be determined by the Committee in its sole discretion, but in no event shall the term exceed ten (10) years from the date of grant. Notwithstanding the foregoing, in the event that on the last business day of the term of a SAR (x) the exercise of which is prohibited by Applicable Law or (y) Shares may not be purchased or sold by certain Employees or Directors of the Company due to</w:t>
      </w:r>
    </w:p>
    <w:p>
      <w:pPr>
        <w:ind w:left="120" w:right="320"/>
        <w:spacing w:after="0" w:line="253" w:lineRule="auto"/>
        <w:rPr>
          <w:sz w:val="20"/>
          <w:szCs w:val="20"/>
          <w:color w:val="auto"/>
        </w:rPr>
      </w:pPr>
      <w:r>
        <w:rPr>
          <w:rFonts w:ascii="Arial" w:cs="Arial" w:eastAsia="Arial" w:hAnsi="Arial"/>
          <w:sz w:val="18"/>
          <w:szCs w:val="18"/>
          <w:color w:val="auto"/>
        </w:rPr>
        <w:t>a “black-out period” of a Company policy or a “lock-up” agreement undertaken in connection with an issuance of securities by the Company, the Committee may provide that the term of the SAR shall be extended but not beyond a period of thirty (30) days following the end of the legal prohibition, black-out period or lock-up agreement and provided further that no extension will be made if the grant price of such SAR at the date the initial term would otherwise expire is above the Fair Market Value.</w:t>
      </w:r>
    </w:p>
    <w:p>
      <w:pPr>
        <w:spacing w:after="0" w:line="193"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Payment</w:t>
      </w:r>
      <w:r>
        <w:rPr>
          <w:rFonts w:ascii="Arial" w:cs="Arial" w:eastAsia="Arial" w:hAnsi="Arial"/>
          <w:sz w:val="18"/>
          <w:szCs w:val="18"/>
          <w:color w:val="auto"/>
        </w:rPr>
        <w:t>. SARs may be settled in the form of cash, shares of Stock or a combination of cash and shares of Stock, as determined by the Committee.</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Other Provisions</w:t>
      </w:r>
      <w:r>
        <w:rPr>
          <w:rFonts w:ascii="Arial" w:cs="Arial" w:eastAsia="Arial" w:hAnsi="Arial"/>
          <w:sz w:val="18"/>
          <w:szCs w:val="18"/>
          <w:color w:val="auto"/>
        </w:rPr>
        <w:t xml:space="preserve">. Except as the Committee may deem inappropriate or inapplicable in the circumstances, SARs shall be subject to terms and conditions substantially similar to those applicable to Non-Qualified Options as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including, but not limited to, the ineligibility to receive dividends or Dividend Equivalents.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Grant of Restricted Stock</w:t>
      </w:r>
      <w:r>
        <w:rPr>
          <w:rFonts w:ascii="Arial" w:cs="Arial" w:eastAsia="Arial" w:hAnsi="Arial"/>
          <w:sz w:val="16"/>
          <w:szCs w:val="16"/>
          <w:color w:val="auto"/>
        </w:rPr>
        <w:t>. Subject to the terms and provisions of the Plan, the Committee, at any time and from time to time, may grant shares of Restricted Stock to Eligible Persons in such amounts and upon such terms and conditions as the Committee shall determine. In addition to any other terms and conditions imposed by the Committee, vesting of Restricted Stock may be conditioned upon the achievement of Performance Goals.</w:t>
      </w:r>
    </w:p>
    <w:p>
      <w:pPr>
        <w:spacing w:after="0" w:line="14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Restricted Stock Agreement</w:t>
      </w:r>
      <w:r>
        <w:rPr>
          <w:rFonts w:ascii="Arial" w:cs="Arial" w:eastAsia="Arial" w:hAnsi="Arial"/>
          <w:sz w:val="16"/>
          <w:szCs w:val="16"/>
          <w:color w:val="auto"/>
        </w:rPr>
        <w:t>. The Committee may require, as a condition to receiving a Restricted Stock Award, that the Participant enter into a Restricted Stock Award Agreement, setting forth the terms and conditions of the Award. In lieu of a Restricted Stock Award Agreement, the Committee may provide the terms and conditions of an Award in a notice to the Participant of the Award, on the Stock certificate representing the Restricted Stock, in the resolution approving the Award, or in such other manner as it deems appropriate. If certificates representing the Restricted Stock are registered in the name of the Participant, any certificates so issued shall be printed with an appropriate legend referring to the terms, conditions, and restrictions applicable to such Award as determined or authorized in the sole discretion of the Committee. Shares recorded in book-entry form shall be recorded with a notation referring to the terms, conditions, and restrictions applicable to such Award as determined or authorized in the sole discretion of the Committee. The Committee may require that the stock certificates or book-entry registrations evidencing shares of Restricted Stock be held in custody by a designated escrow agent (which may but need not be the Company) until the restrictions thereon shall have lapsed, and that the Participant deliver a stock power, endorsed in blank, relating to the Stock covered by such Award.</w:t>
      </w:r>
    </w:p>
    <w:p>
      <w:pPr>
        <w:spacing w:after="0" w:line="16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Restrictions</w:t>
      </w:r>
      <w:r>
        <w:rPr>
          <w:rFonts w:ascii="Arial" w:cs="Arial" w:eastAsia="Arial" w:hAnsi="Arial"/>
          <w:sz w:val="16"/>
          <w:szCs w:val="16"/>
          <w:color w:val="auto"/>
        </w:rPr>
        <w:t>. The Restricted Stock shall be subject to such vesting terms, including the achievement of Performance Goals, as may be determined by the Committee. Unless otherwise provided by the Committee, to the extent Restricted Stock is subject to any condition to vesting, if such condition or conditions are not satisfied by the time the period for achieving such condition has expired, such Restricted Stock shall be forfeited. The Committee may impose such other conditions and/or restrictions on any shares of Restricted Stock granted pursuant to the Plan as it may deem advisable including but not limited to a requirement that Participants pay a stipulated purchase price for each share of Restricted Stock and/or restrictions under Applicable Law. The Committee may also grant Restricted Stock without any terms or conditions in the form of vested Stock Awards.</w:t>
      </w:r>
    </w:p>
    <w:p>
      <w:pPr>
        <w:spacing w:after="0" w:line="16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Removal of Restrictions</w:t>
      </w:r>
      <w:r>
        <w:rPr>
          <w:rFonts w:ascii="Arial" w:cs="Arial" w:eastAsia="Arial" w:hAnsi="Arial"/>
          <w:sz w:val="18"/>
          <w:szCs w:val="18"/>
          <w:color w:val="auto"/>
        </w:rPr>
        <w:t xml:space="preserve">. Except as otherwise provided in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or otherwise provided in the grant thereof, Shares of Restricted Stock covered by each Restricted Stock grant made under the Plan shall become freely transferable by the Participant after completion of all conditions to vesting, if any. However, the Committee, in its sole discretion, shall have the right to waive all or part of the restrictions and conditions with regard to all or part of the shares held by any Participant at any time.</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Voting Rights, Dividends and Other Distributions</w:t>
      </w:r>
      <w:r>
        <w:rPr>
          <w:rFonts w:ascii="Arial" w:cs="Arial" w:eastAsia="Arial" w:hAnsi="Arial"/>
          <w:sz w:val="17"/>
          <w:szCs w:val="17"/>
          <w:color w:val="auto"/>
        </w:rPr>
        <w:t xml:space="preserve">. Participants holding shares of Restricted Stock granted hereunder may exercise full voting rights and, subject to the provisions of this </w:t>
      </w:r>
      <w:r>
        <w:rPr>
          <w:rFonts w:ascii="Arial" w:cs="Arial" w:eastAsia="Arial" w:hAnsi="Arial"/>
          <w:sz w:val="17"/>
          <w:szCs w:val="17"/>
          <w:u w:val="single" w:color="auto"/>
          <w:color w:val="auto"/>
        </w:rPr>
        <w:t>Section 8.5</w:t>
      </w:r>
      <w:r>
        <w:rPr>
          <w:rFonts w:ascii="Arial" w:cs="Arial" w:eastAsia="Arial" w:hAnsi="Arial"/>
          <w:sz w:val="17"/>
          <w:szCs w:val="17"/>
          <w:color w:val="auto"/>
        </w:rPr>
        <w:t>, may receive all dividends and distributions paid with respect to such Shares. If any such dividends or distributions are paid in Shares, the Shares shall automatically be subject to the same restrictions and conditions as the Restricted Stock with respect to which they were paid. In addition, with respect to a share of Restricted Stock, dividends shall only be paid out to the extent that the Share of Restricted Stock vests. Any cash dividends and stock dividends with respect to the 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shares of Stock having a Fair Market Value equal to the amount of such dividends, if applicable, upon the release of restrictions on such share and, if such share is forfeited, the Participant shall have no right to such dividends.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Termination of Employment Due to Death or Disability</w:t>
      </w:r>
      <w:r>
        <w:rPr>
          <w:rFonts w:ascii="Arial" w:cs="Arial" w:eastAsia="Arial" w:hAnsi="Arial"/>
          <w:sz w:val="16"/>
          <w:szCs w:val="16"/>
          <w:color w:val="auto"/>
        </w:rPr>
        <w:t>. In the event of the Participant’s Termination of Employment by reason of death or Disability, unless otherwise determined by the Committee, all restrictions imposed on outstanding Shares of Restricted Stock held by the Participant shall immediately lapse and the Restricted Stock shall immediately become fully vested as of the date of Termination of Employment.</w:t>
      </w:r>
    </w:p>
    <w:p>
      <w:pPr>
        <w:spacing w:after="0" w:line="14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Termination of Employment for Other Reasons</w:t>
      </w:r>
      <w:r>
        <w:rPr>
          <w:rFonts w:ascii="Arial" w:cs="Arial" w:eastAsia="Arial" w:hAnsi="Arial"/>
          <w:sz w:val="16"/>
          <w:szCs w:val="16"/>
          <w:color w:val="auto"/>
        </w:rPr>
        <w:t xml:space="preserve">. Unless otherwise provided by the Committee, in the event of the Participant’s Termination of Employment for any reason other than those specifically set forth in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herein, subject to </w:t>
      </w:r>
      <w:r>
        <w:rPr>
          <w:rFonts w:ascii="Arial" w:cs="Arial" w:eastAsia="Arial" w:hAnsi="Arial"/>
          <w:sz w:val="16"/>
          <w:szCs w:val="16"/>
          <w:u w:val="single" w:color="auto"/>
          <w:color w:val="auto"/>
        </w:rPr>
        <w:t>Section 10.2</w:t>
      </w:r>
      <w:r>
        <w:rPr>
          <w:rFonts w:ascii="Arial" w:cs="Arial" w:eastAsia="Arial" w:hAnsi="Arial"/>
          <w:sz w:val="16"/>
          <w:szCs w:val="16"/>
          <w:color w:val="auto"/>
        </w:rPr>
        <w:t>, all shares of Restricted Stock held by the Participant which are not vested as of the effective date of Termination of Employment shall immediately be forfeited and returned to the Company.</w:t>
      </w:r>
    </w:p>
    <w:p>
      <w:pPr>
        <w:spacing w:after="0" w:line="14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The Committee may provide in an Award Agreement that the Award of Restricted Stock is conditioned upon the Participant making or refraining from making an election with respect to the Award under Section 83(b) of the Code. If a Participant makes an election pursuant to Section 83(b) of the Code concerning a Restricted Stock Award, the Participant shall be required to file a copy of such election with the Company within thirty (30) days following the date of grant.</w:t>
      </w:r>
    </w:p>
    <w:p>
      <w:pPr>
        <w:spacing w:after="0" w:line="18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u w:val="single" w:color="auto"/>
          <w:color w:val="auto"/>
        </w:rPr>
        <w:t>Restricted Stock Units</w:t>
      </w:r>
      <w:r>
        <w:rPr>
          <w:rFonts w:ascii="Arial" w:cs="Arial" w:eastAsia="Arial" w:hAnsi="Arial"/>
          <w:sz w:val="16"/>
          <w:szCs w:val="16"/>
          <w:color w:val="auto"/>
        </w:rPr>
        <w:t xml:space="preserve">. In lieu of or in addition to Restricted Stock, the Committee may grant Restricted Stock Units under such terms and conditions as shall be determined by the Committee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Restricted Stock Units shall be subject to the same terms and conditions under this Plan as Restricted Stock except as otherwise provided in this Plan or as otherwise provided by the Committee. Except as otherwise provided by the Committee, the award shall be settled and paid out promptly upon vesting (to the extent permitted by Section 409A of the Code), and the Participant holding such Restricted Stock Units shall receive, as determined by the Committee, Shares (or cash equal to the Fair Market Value of the number of Shares as of the date the Award becomes payable) equal to the number of such Restricted Stock Units. Restricted Stock Units shall not be transferable, shall have no voting rights, and, unless otherwise determined by the Committee, shall not receive dividends or Dividend Equivalents (which in any event shall only be paid out to the extent that the Restricted Stock Units vest). Upon a Participant’s Termination of Employment due to death or Disability, the Committee will determine whether there should be any acceleration of vesting.</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9</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Other Types of Awards</w:t>
      </w:r>
    </w:p>
    <w:p>
      <w:pPr>
        <w:spacing w:after="0" w:line="22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Performance Share Awards</w:t>
      </w:r>
      <w:r>
        <w:rPr>
          <w:rFonts w:ascii="Arial" w:cs="Arial" w:eastAsia="Arial" w:hAnsi="Arial"/>
          <w:sz w:val="17"/>
          <w:szCs w:val="17"/>
          <w:color w:val="auto"/>
        </w:rPr>
        <w:t>. Any Participant selected by the Committee may be granted one or more Performance Share awards which shall be denominated in a number of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17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Performance Stock Units</w:t>
      </w:r>
      <w:r>
        <w:rPr>
          <w:rFonts w:ascii="Arial" w:cs="Arial" w:eastAsia="Arial" w:hAnsi="Arial"/>
          <w:sz w:val="17"/>
          <w:szCs w:val="17"/>
          <w:color w:val="auto"/>
        </w:rPr>
        <w:t>. Any Participant selected by the Committee may be granted one or more Performance Stock Unit awards which shall be denominated in units of value including dollar value of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17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Any Participant selected by the Committee may be granted Dividend Equivalents based on the dividends declared on the Shares that are subject to any Award, to be credited as of dividend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color w:val="auto"/>
        </w:rPr>
        <w:t>payment dates, during the period between the date the Award is granted and the date the Award is exercised, vests or expires, as determined by the Committee. Such Dividend Equivalents shall be converted to cash or additional shares of Stock by such formula and at such time and subject to such limitations as may be determined by the Committee, in a matter consistent with the rules of Section 409A of the Code; provided that, to the extent Shares subject to an Award are subject to vesting conditions, any Dividend Equivalents relating to such Shares shall be subject to the same vesting conditions.</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Deferred Stock</w:t>
      </w:r>
      <w:r>
        <w:rPr>
          <w:rFonts w:ascii="Arial" w:cs="Arial" w:eastAsia="Arial" w:hAnsi="Arial"/>
          <w:sz w:val="17"/>
          <w:szCs w:val="17"/>
          <w:color w:val="auto"/>
        </w:rPr>
        <w:t>. Any Participant selected by the Committee may be granted an award of Deferred Stock in the manner determined from time to time by the Committee. The number of shares of Deferred Stock shall be determined by the Committee and may be linked to the Performance Goals or other specific performance criteria determined to be appropriate by the Committee, in each case on a specified date or dates or over any period or periods determined by the Committee. Stock underlying a Deferred Stock Award will not be issued until the Deferred Stock Award has vested, pursuant to a vesting schedule or performance criteria set by the Committee. Unless otherwise provided by the Committee, a Participant awarded Deferred Stock shall have no rights as a Company stockholder with respect to such Deferred Stock until such time as the Deferred Stock Award has vested and the Stock underlying the Deferred Stock Award has been issued.</w:t>
      </w:r>
    </w:p>
    <w:p>
      <w:pPr>
        <w:spacing w:after="0" w:line="17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Other Stock-Based Awards</w:t>
      </w:r>
      <w:r>
        <w:rPr>
          <w:rFonts w:ascii="Arial" w:cs="Arial" w:eastAsia="Arial" w:hAnsi="Arial"/>
          <w:sz w:val="17"/>
          <w:szCs w:val="17"/>
          <w:color w:val="auto"/>
        </w:rPr>
        <w:t>. Any Participant selected by the Committee may be granted one or more Awards that provide Participants with shares of Stock or the right to purchase shares of Stock or that have a value derived from the value of, or an exercise or conversion privilege at a price related to, or that are otherwise payable in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Performance Bonus Awards</w:t>
      </w:r>
      <w:r>
        <w:rPr>
          <w:rFonts w:ascii="Arial" w:cs="Arial" w:eastAsia="Arial" w:hAnsi="Arial"/>
          <w:sz w:val="16"/>
          <w:szCs w:val="16"/>
          <w:color w:val="auto"/>
        </w:rPr>
        <w:t>. Any Participant selected by the Committee may be granted one or more Awards in the form of a cash bonus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Bonus Award</w:t>
      </w:r>
      <w:r>
        <w:rPr>
          <w:rFonts w:ascii="Arial" w:cs="Arial" w:eastAsia="Arial" w:hAnsi="Arial"/>
          <w:sz w:val="16"/>
          <w:szCs w:val="16"/>
          <w:color w:val="auto"/>
        </w:rPr>
        <w:t>”) payable upon the attainment of Performance Goals that are established by the Committee, in each case on a specified date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 dates or over any period or periods determined by the Committee.</w:t>
      </w:r>
    </w:p>
    <w:p>
      <w:pPr>
        <w:spacing w:after="0" w:line="211"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Term</w:t>
      </w:r>
      <w:r>
        <w:rPr>
          <w:rFonts w:ascii="Arial" w:cs="Arial" w:eastAsia="Arial" w:hAnsi="Arial"/>
          <w:sz w:val="17"/>
          <w:szCs w:val="17"/>
          <w:color w:val="auto"/>
        </w:rPr>
        <w:t>. Except as otherwise provided herein, the term of any Award of Performance Shares, Performance Stock Units, Dividend Equivalents, Deferred Stock, Other Stock-Based Award and Performance Bonus Award shall be set by the Committee in its discretion.</w:t>
      </w:r>
    </w:p>
    <w:p>
      <w:pPr>
        <w:spacing w:after="0" w:line="146"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Exercise or Purchase Price</w:t>
      </w:r>
      <w:r>
        <w:rPr>
          <w:rFonts w:ascii="Arial" w:cs="Arial" w:eastAsia="Arial" w:hAnsi="Arial"/>
          <w:sz w:val="17"/>
          <w:szCs w:val="17"/>
          <w:color w:val="auto"/>
        </w:rPr>
        <w:t>. The Committee may establish the exercise or purchase price, if any, of any Award of Performance Shares, Performance Stock Units, Deferred Stock, Other Stock-Based Award and Performance Bonus Award; provided, however, that such price shall not be less than the Fair Market Value of a share of Stock on the date of grant, unless otherwise permitted by Applicable Law.</w:t>
      </w:r>
    </w:p>
    <w:p>
      <w:pPr>
        <w:spacing w:after="0" w:line="165"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Exercise Upon Termination of Employment or Service</w:t>
      </w:r>
      <w:r>
        <w:rPr>
          <w:rFonts w:ascii="Arial" w:cs="Arial" w:eastAsia="Arial" w:hAnsi="Arial"/>
          <w:sz w:val="16"/>
          <w:szCs w:val="16"/>
          <w:color w:val="auto"/>
        </w:rPr>
        <w:t>. An Award of Performance Shares, Performance Stock Units, Deferred Stock, Other Stock-Based Awards and Performance Bonus Awards shall only be exercisable or payable while the Participant is an Employee, Consultant</w:t>
      </w:r>
    </w:p>
    <w:p>
      <w:pPr>
        <w:ind w:left="120" w:right="40"/>
        <w:spacing w:after="0" w:line="273" w:lineRule="auto"/>
        <w:rPr>
          <w:sz w:val="20"/>
          <w:szCs w:val="20"/>
          <w:color w:val="auto"/>
        </w:rPr>
      </w:pPr>
      <w:r>
        <w:rPr>
          <w:rFonts w:ascii="Arial" w:cs="Arial" w:eastAsia="Arial" w:hAnsi="Arial"/>
          <w:sz w:val="17"/>
          <w:szCs w:val="17"/>
          <w:color w:val="auto"/>
        </w:rPr>
        <w:t xml:space="preserve">or Non-Employee Director, as applicable; provided, however, that the Committee in its sole and absolute discretion may provide that an Award of Performance Shares, Performance Stock Units, Deferred Stock, Stock Appreciation Rights, Other Stock-Based Award and Performance Bonus Award may be exercised or paid subsequent to a Termination of Employment without Cause. In the event of the Termination of Employment of a Participant by the Company for Cause, all Awards under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shall be forfeited by the Participant to the Company.</w:t>
      </w:r>
    </w:p>
    <w:p>
      <w:pPr>
        <w:spacing w:after="0" w:line="1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Form of Payment</w:t>
      </w:r>
      <w:r>
        <w:rPr>
          <w:rFonts w:ascii="Arial" w:cs="Arial" w:eastAsia="Arial" w:hAnsi="Arial"/>
          <w:sz w:val="18"/>
          <w:szCs w:val="18"/>
          <w:color w:val="auto"/>
        </w:rPr>
        <w:t xml:space="preserve">. Payments with respect to any Awards granted under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shall be made in cash, in Stock or a combination of both, as determined by the Committee.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40"/>
          </w:cols>
          <w:pgMar w:left="320" w:top="459"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Award Agreement</w:t>
      </w:r>
      <w:r>
        <w:rPr>
          <w:rFonts w:ascii="Arial" w:cs="Arial" w:eastAsia="Arial" w:hAnsi="Arial"/>
          <w:sz w:val="18"/>
          <w:szCs w:val="18"/>
          <w:color w:val="auto"/>
        </w:rPr>
        <w:t xml:space="preserve">. All Awards under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shall be subject to such additional terms and conditions as determined by the Committee and shall be evidenced by a written Award Agreement.</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10</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Change in Control</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Vesting Upon Change in Control</w:t>
      </w:r>
      <w:r>
        <w:rPr>
          <w:rFonts w:ascii="Arial" w:cs="Arial" w:eastAsia="Arial" w:hAnsi="Arial"/>
          <w:sz w:val="18"/>
          <w:szCs w:val="18"/>
          <w:color w:val="auto"/>
        </w:rPr>
        <w:t xml:space="preserve">. For the avoidance of doubt, the Committee may not accelerate the vesting and exercisability (as applicable) of any outstanding Awards, in whole or in part, solely upon the occurrence of a Change in Control except as provided in this </w:t>
      </w:r>
      <w:r>
        <w:rPr>
          <w:rFonts w:ascii="Arial" w:cs="Arial" w:eastAsia="Arial" w:hAnsi="Arial"/>
          <w:sz w:val="18"/>
          <w:szCs w:val="18"/>
          <w:u w:val="single" w:color="auto"/>
          <w:color w:val="auto"/>
        </w:rPr>
        <w:t>Section 10.1</w:t>
      </w:r>
      <w:r>
        <w:rPr>
          <w:rFonts w:ascii="Arial" w:cs="Arial" w:eastAsia="Arial" w:hAnsi="Arial"/>
          <w:sz w:val="18"/>
          <w:szCs w:val="18"/>
          <w:color w:val="auto"/>
        </w:rPr>
        <w:t>. In the event of a Change in Control after the date of the adoption of the Plan, then:</w:t>
      </w:r>
    </w:p>
    <w:p>
      <w:pPr>
        <w:spacing w:after="0" w:line="184" w:lineRule="exact"/>
        <w:rPr>
          <w:sz w:val="20"/>
          <w:szCs w:val="20"/>
          <w:color w:val="auto"/>
        </w:rPr>
      </w:pPr>
    </w:p>
    <w:p>
      <w:pPr>
        <w:ind w:left="120" w:firstLine="987"/>
        <w:spacing w:after="0" w:line="272" w:lineRule="auto"/>
        <w:tabs>
          <w:tab w:leader="none" w:pos="135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the extent an outstanding Award subject solely to time-based vesting is not assumed or replaced by a comparable Award referencing shares of the capital stock of the successor corporation or its “parent corporation” (as defined in Section 424(e) of the Code) or “subsidiary corporation” (as defined in Section 424(f) of the Code) which is publicly traded on a national stock exchange or quotation system, as determined by the Committee in its sole discretion, with appropriate adjustments as to the number and kinds of shares and the exercise prices, if applicable, then any outstanding Award subject solely to time-based vesting then held by Participants that is unexercisable, unvested or still subject to restrictions or forfeiture shall, in each case as specified by the Committee in the applicable Award Agreement or otherwise, be deemed exercisable or otherwise vested, as the case may be, as of immediately prior to such Change in Control;</w:t>
      </w:r>
    </w:p>
    <w:p>
      <w:pPr>
        <w:spacing w:after="0" w:line="177" w:lineRule="exact"/>
        <w:rPr>
          <w:rFonts w:ascii="Arial" w:cs="Arial" w:eastAsia="Arial" w:hAnsi="Arial"/>
          <w:sz w:val="17"/>
          <w:szCs w:val="17"/>
          <w:color w:val="auto"/>
        </w:rPr>
      </w:pPr>
    </w:p>
    <w:p>
      <w:pPr>
        <w:ind w:left="120" w:firstLine="987"/>
        <w:spacing w:after="0" w:line="287" w:lineRule="auto"/>
        <w:tabs>
          <w:tab w:leader="none" w:pos="1366"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stock-denominated performance-based Awards outstanding as of the date such Change in Control is determined to have occurred shall be converted into, as applicable, time-based restricted stock of the successor corporation or its “parent corporation” (as defined in Section 424(e) of the Code) or “subsidiary corporation” (as defined in Section 424(f) of the Code) or time-based restricted stock units based on the capital stock of the successor corporation or its “parent corporation” (as defined in Section 424(e) of the Code) or “subsidiary corporation” (as defined in Section 424(f) of the Code) and, if, during the 12-month period following the date of such Change in Control, the Participant’s employment is terminated by such successor (or an affiliate thereof) without Cause or by the Participant for Good Reason, such Awards, to the extent then outstanding, shall fully vest. With respect to performance-based Awards that are outstanding as of the date of such Change in Control and are not converted to a time-based Award, any deferral or other restriction shall lapse and such Awards shall be settled in cash as promptly as is practicable (unless otherwise required by Section 409A of the Code and the applicable terms of the Awards). In either case, unless otherwise determined by the Committee in an Award Agreement or otherwise, the value of the performance-based Awards as of the date of the Change in Control shall be determined assuming target performance has been achieved, except that the value shall be determined based on actual performance as of such date if (i) more than half of the performance period has elapsed as of such date and (ii) actual performance is determinable as of such date; and</w:t>
      </w:r>
    </w:p>
    <w:p>
      <w:pPr>
        <w:spacing w:after="0" w:line="167" w:lineRule="exact"/>
        <w:rPr>
          <w:rFonts w:ascii="Arial" w:cs="Arial" w:eastAsia="Arial" w:hAnsi="Arial"/>
          <w:sz w:val="16"/>
          <w:szCs w:val="16"/>
          <w:color w:val="auto"/>
        </w:rPr>
      </w:pPr>
    </w:p>
    <w:p>
      <w:pPr>
        <w:ind w:left="120" w:right="40" w:firstLine="987"/>
        <w:spacing w:after="0" w:line="263" w:lineRule="auto"/>
        <w:tabs>
          <w:tab w:leader="none" w:pos="13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Each outstanding Award that is assumed in connection with a Change in Control, or is otherwise to continue in effect subsequent to the Change in Control, will be appropriately adjusted, immediately after the Change in Control, as to the number and class of securities and other relevant terms in accordance with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84"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Termination of Employment Upon Change in Control</w:t>
      </w:r>
      <w:r>
        <w:rPr>
          <w:rFonts w:ascii="Arial" w:cs="Arial" w:eastAsia="Arial" w:hAnsi="Arial"/>
          <w:sz w:val="16"/>
          <w:szCs w:val="16"/>
          <w:color w:val="auto"/>
        </w:rPr>
        <w:t xml:space="preserve">. Notwithstanding any other provision of the Plan to the contrary, and except as may otherwise be provided in any applicable Award Agreement or other written agreement entered into between the Company or Affiliate and a Participant, upon (i) a Participant’s involuntary Termination of Employment without Cause on or within one (1) year following a Change in Control, or (ii) a Participant’s Termination of Employment for Good Reason (including the Termination of Employment of the Participant if he or she is employed by an Affiliate at the time the Company sells or otherwise divests itself of such Affiliate), all outstanding Awards shall immediately become fully vested and exercisable;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Restricted Stock Units shall be settled in accordance with the terms of the grant without regard to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Change in Control unless the Change in Control constitutes a “change in control event” within the meaning of Section 409A of the Code and such Termination of Employment occurs within one (1) year following such Change in Control, in which case the Restricted Stock Units shall be settled and paid out with such Termination of Employment.</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Cancellation and Termination of Awards</w:t>
      </w:r>
      <w:r>
        <w:rPr>
          <w:rFonts w:ascii="Arial" w:cs="Arial" w:eastAsia="Arial" w:hAnsi="Arial"/>
          <w:sz w:val="16"/>
          <w:szCs w:val="16"/>
          <w:color w:val="auto"/>
        </w:rPr>
        <w:t>. The Committee may, in connection with any merger, consolidation, share exchange or other transaction entered into by the Company in good faith, determine that any outstanding Awards granted under the Plan, whether or not vested, will be canceled and terminated and that in connection with such cancellation and termination the holder of such Award may receive for each Share subject to such Award a cash payment (or the delivery of shares of stock, other securities or a combination of cash, stock and securities equivalent to such cash payment) equal to the difference, if any, between the amount determined by the Committee to be the Fair Market Value of the Stock and the purchase price per Share (if any) under the Award multiplied by the number of Shares subject to such Award; provided that if such product is zero or less or to the extent that the Award is not then exercisable, the Award will be canceled and terminated without payment therefor.</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11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Amendment, Modification, and Termination</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Amendment, Modification, and Termination of Plan</w:t>
      </w:r>
      <w:r>
        <w:rPr>
          <w:rFonts w:ascii="Arial" w:cs="Arial" w:eastAsia="Arial" w:hAnsi="Arial"/>
          <w:sz w:val="16"/>
          <w:szCs w:val="16"/>
          <w:color w:val="auto"/>
        </w:rPr>
        <w:t xml:space="preserve">. At any time and from time to time, the Board may amend, modify, alter, suspend, discontinue or terminate the Plan, in whole or in part, without stockholder approval; provided, however, that (a) to the extent necessary and desirable to comply with any Applicable Law, regulation, or stock exchange rule, the Company shall obtain stockholder approval of any Plan amendment in such a manner and to such a degree as required, and (b) to the extent the Company is listed on the NYSE, stockholder approval is required for any amendment to the Plan that (i) increases the number of shares available under the Plan (other than any automatic increase as provided by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any adjustment as provided by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or the number of shares available for issuance as ISOs, or (ii) permits the Committee to grant Options with an Exercise Price that is below Fair Market Value on the date of grant (except as otherwise provided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(iii) permits the Committee to extend the exercise period for an Option beyond ten (10) years from the date of grant (except as otherwise provided in </w:t>
      </w:r>
      <w:r>
        <w:rPr>
          <w:rFonts w:ascii="Arial" w:cs="Arial" w:eastAsia="Arial" w:hAnsi="Arial"/>
          <w:sz w:val="16"/>
          <w:szCs w:val="16"/>
          <w:u w:val="single" w:color="auto"/>
          <w:color w:val="auto"/>
        </w:rPr>
        <w:t>Section 6.1</w:t>
      </w:r>
      <w:r>
        <w:rPr>
          <w:rFonts w:ascii="Arial" w:cs="Arial" w:eastAsia="Arial" w:hAnsi="Arial"/>
          <w:sz w:val="16"/>
          <w:szCs w:val="16"/>
          <w:color w:val="auto"/>
        </w:rPr>
        <w:t>), or (iv) results in a material increase in benefits or a change in eligibility requirements, or (v) changes the granting corporation or (vi) changes the type of stock.</w:t>
      </w:r>
    </w:p>
    <w:p>
      <w:pPr>
        <w:spacing w:after="0" w:line="166"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Amendment of Awards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4.3</w:t>
      </w:r>
      <w:r>
        <w:rPr>
          <w:rFonts w:ascii="Arial" w:cs="Arial" w:eastAsia="Arial" w:hAnsi="Arial"/>
          <w:sz w:val="18"/>
          <w:szCs w:val="18"/>
          <w:color w:val="auto"/>
        </w:rPr>
        <w:t>, at any time and from time to time, the Committee may amend the terms of any one or more outstanding Awards, provided that the Award as amended is consistent with the terms of the Plan or if necessary or advisable for the purpose of conforming the Plan or an Award Agreement to any present or future law relating to plans of this or similar nature (including, without limitation, Section 409A), and to the administrative regulations and rulings promulgated thereunder.</w:t>
      </w:r>
    </w:p>
    <w:p>
      <w:pPr>
        <w:spacing w:after="0" w:line="18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Awards Previously Granted</w:t>
      </w:r>
      <w:r>
        <w:rPr>
          <w:rFonts w:ascii="Arial" w:cs="Arial" w:eastAsia="Arial" w:hAnsi="Arial"/>
          <w:sz w:val="16"/>
          <w:szCs w:val="16"/>
          <w:color w:val="auto"/>
        </w:rPr>
        <w:t>. No termination, amendment, or modification of the Plan or any Award shall adversely affect in any material way any Award previously granted under the Plan, without the written consent of the Participant holding such Award; provided, however, that any such modification made for the purpose of complying with Section 409A of the Code may be made by the Company without the consent of any Participant.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Repricing and Backdating Prohibited</w:t>
      </w:r>
      <w:r>
        <w:rPr>
          <w:rFonts w:ascii="Arial" w:cs="Arial" w:eastAsia="Arial" w:hAnsi="Arial"/>
          <w:sz w:val="18"/>
          <w:szCs w:val="18"/>
          <w:color w:val="auto"/>
        </w:rPr>
        <w:t>. Notwithstanding anything in this Plan to the contrary, except as provided</w:t>
      </w:r>
    </w:p>
    <w:p>
      <w:pPr>
        <w:spacing w:after="0" w:line="23" w:lineRule="exact"/>
        <w:rPr>
          <w:sz w:val="20"/>
          <w:szCs w:val="20"/>
          <w:color w:val="auto"/>
        </w:rPr>
      </w:pPr>
    </w:p>
    <w:p>
      <w:pPr>
        <w:ind w:left="120" w:right="40"/>
        <w:spacing w:after="0" w:line="302" w:lineRule="auto"/>
        <w:rPr>
          <w:sz w:val="20"/>
          <w:szCs w:val="20"/>
          <w:color w:val="auto"/>
        </w:rPr>
      </w:pPr>
      <w:r>
        <w:rPr>
          <w:rFonts w:ascii="Arial" w:cs="Arial" w:eastAsia="Arial" w:hAnsi="Arial"/>
          <w:sz w:val="16"/>
          <w:szCs w:val="16"/>
          <w:color w:val="auto"/>
        </w:rPr>
        <w:t xml:space="preserve">under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11.2</w:t>
      </w:r>
      <w:r>
        <w:rPr>
          <w:rFonts w:ascii="Arial" w:cs="Arial" w:eastAsia="Arial" w:hAnsi="Arial"/>
          <w:sz w:val="16"/>
          <w:szCs w:val="16"/>
          <w:color w:val="auto"/>
        </w:rPr>
        <w:t>, neither the Committee nor any other person may (i) amend the terms of outstanding Options or SARs to reduce the exercise or grant price of such outstanding Options or SARs; (ii) cancel outstanding Options or SARs in exchange for Options or SARs with an exercise or grant price that is less than the exercise price of the original Options or SARs; or (iii) cancel outstanding Options or SARs with an</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exercise or grant price above the current Share price in exchange for cash or other securities. In addition, the Committee may not make a grant of an Option or SAR with a grant date that is effective prior to the date the Committee takes action to approve such Award.</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12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Withholding</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Tax Withholding</w:t>
      </w:r>
      <w:r>
        <w:rPr>
          <w:rFonts w:ascii="Arial" w:cs="Arial" w:eastAsia="Arial" w:hAnsi="Arial"/>
          <w:sz w:val="18"/>
          <w:szCs w:val="18"/>
          <w:color w:val="auto"/>
        </w:rPr>
        <w:t>. Unless otherwise provided by the Committee, the Company shall deduct or withhold any amount needed to satisfy any foreign, federal, state, or local tax (including but not limited to the Participant’s employment tax obligations) required by law to be withheld with respect to any taxable event arising or as a result of this Plan (“</w:t>
      </w:r>
      <w:r>
        <w:rPr>
          <w:rFonts w:ascii="Arial" w:cs="Arial" w:eastAsia="Arial" w:hAnsi="Arial"/>
          <w:sz w:val="18"/>
          <w:szCs w:val="18"/>
          <w:u w:val="single" w:color="auto"/>
          <w:color w:val="auto"/>
        </w:rPr>
        <w:t>Withholding Taxes</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Share Withholding</w:t>
      </w:r>
      <w:r>
        <w:rPr>
          <w:rFonts w:ascii="Arial" w:cs="Arial" w:eastAsia="Arial" w:hAnsi="Arial"/>
          <w:sz w:val="17"/>
          <w:szCs w:val="17"/>
          <w:color w:val="auto"/>
        </w:rPr>
        <w:t>. Unless otherwise provided by the Committee, upon the exercise of Options, the lapse of restrictions on Restricted Stock, the vesting of Restricted Stock Units the distribution of Performance Shares in the form of Stock, or any other taxable event hereunder involving the transfer of Stock to a Participant, the Company shall withhold Stock equal in value, using the Fair Market Value on the date determined by the Company to be used to value the Stock for tax purposes, to the Withholding Taxes applicable to such transaction.</w:t>
      </w:r>
    </w:p>
    <w:p>
      <w:pPr>
        <w:spacing w:after="0" w:line="171"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 xml:space="preserve">Unless otherwise determined by the Committee, when the method of payment for the Exercise Price is from the sale by a stockbroker pursuant to </w:t>
      </w:r>
      <w:r>
        <w:rPr>
          <w:rFonts w:ascii="Arial" w:cs="Arial" w:eastAsia="Arial" w:hAnsi="Arial"/>
          <w:sz w:val="16"/>
          <w:szCs w:val="16"/>
          <w:u w:val="single" w:color="auto"/>
          <w:color w:val="auto"/>
        </w:rPr>
        <w:t>Section 6.5(c)</w:t>
      </w:r>
      <w:r>
        <w:rPr>
          <w:rFonts w:ascii="Arial" w:cs="Arial" w:eastAsia="Arial" w:hAnsi="Arial"/>
          <w:sz w:val="16"/>
          <w:szCs w:val="16"/>
          <w:color w:val="auto"/>
        </w:rPr>
        <w:t>, herein, of the Stock acquired through the Option exercise, then the tax withholding shall be satisfied out of the proceeds. For administrative purposes in determining the amount of taxes due, the sale price of such Stock shall be deemed to be the Fair Market Value of the Stock.</w:t>
      </w:r>
    </w:p>
    <w:p>
      <w:pPr>
        <w:spacing w:after="0" w:line="14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If permitted by the Committee, prior to the end of any Performance Period a Participant may elect to have a greater amount of Stock withheld from the distribution of Performance Shares to pay withholding taxes; provided, however, the Committee may prohibit or limit any individual election or all such elections at any time.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Alternatively, or in combination with the foregoing, the Committee may require Withholding Taxes to be paid in cash by the Participant or by the sale of a portion of the Stock being distributed in connection with an Award, or by a combination thereof.</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withholding of taxes is intended to comply with the requirements of Rule 10b5-1(c)(1)(i)(B) of the Exchange Act to the extent permitted by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law.</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13</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General Provisions Applicable to Awards</w:t>
      </w:r>
    </w:p>
    <w:p>
      <w:pPr>
        <w:spacing w:after="0" w:line="225"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Minimum Vesting Requirement</w:t>
      </w:r>
      <w:r>
        <w:rPr>
          <w:rFonts w:ascii="Arial" w:cs="Arial" w:eastAsia="Arial" w:hAnsi="Arial"/>
          <w:sz w:val="16"/>
          <w:szCs w:val="16"/>
          <w:color w:val="auto"/>
        </w:rPr>
        <w:t xml:space="preserve">. Notwithstanding any other provision of the Plan to the contrary, Awards granted under the Plan (other than cash-based awards) shall vest no earlier than the first anniversary of the date on which the Award is granted;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following Awards shall not be subject to the foregoing minimum vesting requirement: any (i) substitute Awards granted in connection with awards that are assumed, converted or substituted pursuant to a merger, acquisition or similar transaction entered into by the Company or any of its Subsidiaries, (ii) Shares delivered in lieu of fully vested cash obligations, (iii) Awards to Non-Employee Directors that vest on the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Plan pursuant</w:t>
      </w:r>
    </w:p>
    <w:p>
      <w:pPr>
        <w:spacing w:after="0" w:line="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(subject to adjustment under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foregoing restriction does not apply to the Committee’s discretion to provide for accelerated exercisability or vesting of any Award, including in cases of retirement, death, Disability or a Change in Control, in the terms of the Award Agreement or otherwise.</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00"/>
          </w:cols>
          <w:pgMar w:left="320" w:top="459" w:right="4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Form of Payment</w:t>
      </w:r>
      <w:r>
        <w:rPr>
          <w:rFonts w:ascii="Arial" w:cs="Arial" w:eastAsia="Arial" w:hAnsi="Arial"/>
          <w:sz w:val="18"/>
          <w:szCs w:val="18"/>
          <w:color w:val="auto"/>
        </w:rPr>
        <w:t>. Subject to the provisions of this Plan, the Award Agreement and any Applicable Law, payments or transfers to be made by the Company or any Affiliate on the grant, exercise, or settlement of any Award may be made in such form as determined by the Committee including, without limitation, cash, Stock, other Awards, other property, or any combination thereof, and may be made in a single payment or transfer, in installments, or any combination thereof, in each case determined by rules adopted by the Committee.</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Treatment of Dividends and Dividend Equivalents on Unvested Awards</w:t>
      </w:r>
      <w:r>
        <w:rPr>
          <w:rFonts w:ascii="Arial" w:cs="Arial" w:eastAsia="Arial" w:hAnsi="Arial"/>
          <w:sz w:val="18"/>
          <w:szCs w:val="18"/>
          <w:color w:val="auto"/>
        </w:rPr>
        <w:t>. Notwithstanding any other provision of the Plan to the contrary, with respect to any Award that provides for or includes a right to dividends or Dividend Equivalents, if dividends are declared during the period that an equity Award is outstanding, such dividends (or Dividend Equivalents) shall either (a) not be paid or credited with respect to such Award or (b) be accumulated but remain subject to vesting requirement(s) to the same extent as the applicable Award and shall only be paid at the time or times such vesting requirement(s) are satisfied.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Limits on Transfer</w:t>
      </w:r>
      <w:r>
        <w:rPr>
          <w:rFonts w:ascii="Arial" w:cs="Arial" w:eastAsia="Arial" w:hAnsi="Arial"/>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13.4(b)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100" w:firstLine="1428"/>
        <w:spacing w:after="0" w:line="263" w:lineRule="auto"/>
        <w:tabs>
          <w:tab w:leader="none" w:pos="1767"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 Award may be sold, transferred, pledged, assigned, or otherwise alienated or hypothecated, other than by will or the laws of descent and distribution or pursuant to a domestic relations order, unless and until such Award has been exercised, or the Shares underlying such Award have been issues, and all restrictions applicable to such Shares have lapsed;</w:t>
      </w:r>
    </w:p>
    <w:p>
      <w:pPr>
        <w:spacing w:after="0" w:line="183" w:lineRule="exact"/>
        <w:rPr>
          <w:rFonts w:ascii="Arial" w:cs="Arial" w:eastAsia="Arial" w:hAnsi="Arial"/>
          <w:sz w:val="18"/>
          <w:szCs w:val="18"/>
          <w:color w:val="auto"/>
        </w:rPr>
      </w:pPr>
    </w:p>
    <w:p>
      <w:pPr>
        <w:ind w:left="120" w:right="160" w:firstLine="1428"/>
        <w:spacing w:after="0" w:line="284" w:lineRule="auto"/>
        <w:tabs>
          <w:tab w:leader="none" w:pos="1817"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no Award or interest or right therein shall be liable for or otherwise subject to the debts, contracts or engagements of the Participant or the Participant’s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w:t>
      </w:r>
      <w:r>
        <w:rPr>
          <w:rFonts w:ascii="Arial" w:cs="Arial" w:eastAsia="Arial" w:hAnsi="Arial"/>
          <w:sz w:val="16"/>
          <w:szCs w:val="16"/>
          <w:u w:val="single" w:color="auto"/>
          <w:color w:val="auto"/>
        </w:rPr>
        <w:t>Section 13.4(a)</w:t>
      </w:r>
    </w:p>
    <w:p>
      <w:pPr>
        <w:spacing w:after="0" w:line="4"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and</w:t>
      </w:r>
    </w:p>
    <w:p>
      <w:pPr>
        <w:spacing w:after="0" w:line="210" w:lineRule="exact"/>
        <w:rPr>
          <w:rFonts w:ascii="Arial" w:cs="Arial" w:eastAsia="Arial" w:hAnsi="Arial"/>
          <w:sz w:val="16"/>
          <w:szCs w:val="16"/>
          <w:color w:val="auto"/>
        </w:rPr>
      </w:pPr>
    </w:p>
    <w:p>
      <w:pPr>
        <w:jc w:val="both"/>
        <w:ind w:left="120" w:right="180" w:firstLine="1428"/>
        <w:spacing w:after="0" w:line="257" w:lineRule="auto"/>
        <w:tabs>
          <w:tab w:leader="none" w:pos="186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during a Participant’s lifetime, only the Participant or the Participant’s guardian or legal representative may exercise an Award (or any portion thereof) granted to him or her under the Plan, unless it has been disposed of pursuant to a domestic relations order. After a Participant’s death, any exercisable portion of an Award may, prior to the time when such portion becomes unexercisable under the Plan or the applicable Award Agreement, be exercised by such Participant’s personal representative or by any person empowered to do so under the deceased Participant’s will or under the then Applicable Laws of descent and distribution.</w:t>
      </w:r>
    </w:p>
    <w:p>
      <w:pPr>
        <w:spacing w:after="0" w:line="187" w:lineRule="exact"/>
        <w:rPr>
          <w:rFonts w:ascii="Arial" w:cs="Arial" w:eastAsia="Arial" w:hAnsi="Arial"/>
          <w:sz w:val="18"/>
          <w:szCs w:val="18"/>
          <w:color w:val="auto"/>
        </w:rPr>
      </w:pPr>
    </w:p>
    <w:p>
      <w:pPr>
        <w:ind w:left="120" w:right="60" w:firstLine="987"/>
        <w:spacing w:after="0" w:line="291" w:lineRule="auto"/>
        <w:tabs>
          <w:tab w:leader="none" w:pos="1366"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13.4(a)</w:t>
      </w:r>
      <w:r>
        <w:rPr>
          <w:rFonts w:ascii="Arial" w:cs="Arial" w:eastAsia="Arial" w:hAnsi="Arial"/>
          <w:sz w:val="16"/>
          <w:szCs w:val="16"/>
          <w:color w:val="auto"/>
        </w:rPr>
        <w:t>, the Committee, in its sole discretion, may determine to permit a Participant or a Permitted Transferee of such Participant to transfer an Award other than an Incentive Stock Option (unless such Incentive Stock Option is intended to become</w:t>
      </w:r>
    </w:p>
    <w:p>
      <w:pPr>
        <w:ind w:left="120" w:right="40"/>
        <w:spacing w:after="0" w:line="268" w:lineRule="auto"/>
        <w:rPr>
          <w:rFonts w:ascii="Arial" w:cs="Arial" w:eastAsia="Arial" w:hAnsi="Arial"/>
          <w:sz w:val="16"/>
          <w:szCs w:val="16"/>
          <w:color w:val="auto"/>
        </w:rPr>
      </w:pPr>
      <w:r>
        <w:rPr>
          <w:rFonts w:ascii="Arial" w:cs="Arial" w:eastAsia="Arial" w:hAnsi="Arial"/>
          <w:sz w:val="17"/>
          <w:szCs w:val="17"/>
          <w:color w:val="auto"/>
        </w:rPr>
        <w:t>a Non-Qualified Stock Option) to any one or more Permitted Transferees of such Participant without consideration,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Committee, pursuant to a domestic relations order;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and (iii) the Participant (or transferring Permitted Transferee) and the receiving Permitted Transferee shall execute any and all documents requested by the Committee, including, without limitation documents to (A) confirm the status of the transferee as a Permitted Transferee, (B) satisfy any requirements for an exemption for the transfer under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40"/>
          </w:cols>
          <w:pgMar w:left="320" w:top="459"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 xml:space="preserve">Applicable Law and (C) evidence the transfer. In addition, and further notwithstanding </w:t>
      </w:r>
      <w:r>
        <w:rPr>
          <w:rFonts w:ascii="Arial" w:cs="Arial" w:eastAsia="Arial" w:hAnsi="Arial"/>
          <w:sz w:val="16"/>
          <w:szCs w:val="16"/>
          <w:u w:val="single" w:color="auto"/>
          <w:color w:val="auto"/>
        </w:rPr>
        <w:t>Section 13.4(a)</w:t>
      </w:r>
      <w:r>
        <w:rPr>
          <w:rFonts w:ascii="Arial" w:cs="Arial" w:eastAsia="Arial" w:hAnsi="Arial"/>
          <w:sz w:val="16"/>
          <w:szCs w:val="16"/>
          <w:color w:val="auto"/>
        </w:rPr>
        <w:t>, hereof, the Committee,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spacing w:after="0" w:line="14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Beneficiaries</w:t>
      </w:r>
      <w:r>
        <w:rPr>
          <w:rFonts w:ascii="Arial" w:cs="Arial" w:eastAsia="Arial" w:hAnsi="Arial"/>
          <w:sz w:val="17"/>
          <w:szCs w:val="17"/>
          <w:color w:val="auto"/>
        </w:rPr>
        <w:t xml:space="preserve">. Notwithstanding </w:t>
      </w:r>
      <w:r>
        <w:rPr>
          <w:rFonts w:ascii="Arial" w:cs="Arial" w:eastAsia="Arial" w:hAnsi="Arial"/>
          <w:sz w:val="17"/>
          <w:szCs w:val="17"/>
          <w:u w:val="single" w:color="auto"/>
          <w:color w:val="auto"/>
        </w:rPr>
        <w:t>Section 13.4</w:t>
      </w:r>
      <w:r>
        <w:rPr>
          <w:rFonts w:ascii="Arial" w:cs="Arial" w:eastAsia="Arial" w:hAnsi="Arial"/>
          <w:sz w:val="17"/>
          <w:szCs w:val="17"/>
          <w:color w:val="auto"/>
        </w:rPr>
        <w:t>, if provided in the applicable Award Agreement,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fifty percent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18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u w:val="single" w:color="auto"/>
          <w:color w:val="auto"/>
        </w:rPr>
        <w:t>Forfeiture Events/Representations</w:t>
      </w:r>
      <w:r>
        <w:rPr>
          <w:rFonts w:ascii="Arial" w:cs="Arial" w:eastAsia="Arial" w:hAnsi="Arial"/>
          <w:sz w:val="16"/>
          <w:szCs w:val="16"/>
          <w:color w:val="auto"/>
        </w:rPr>
        <w:t>. The Committee may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service for Cause, violation of material Company policies, breach of noncompetition, confidentiality or other restrictive covenants that may apply to the Participant, or other conduct by the Participant that is detrimental to the business or reputation of the Company. The Committee may also specify in an Award Agreement that the Participant’s rights, payments and benefits with respect to an Award shall be conditioned upon the Participant making a representation regarding compliance with noncompetition, confidentiality or other restrictive covenants that may apply to the Participant and providing that the Participant’s rights, payments and benefits with respect to an Award shall be subject to reduction, cancellation, forfeiture or recoupment on account of a breach of such representation. In addition and without limitation of the foregoing, any amounts paid hereunder shall be subject to recoupment in accordance with The Dodd–Frank Wall Street Reform and Consumer Protection Act and any implementing regulations thereunder, any “clawback” policy adopted by the Company or as is otherwise required by applicable law or stock exchange listing condition.</w:t>
      </w:r>
    </w:p>
    <w:p>
      <w:pPr>
        <w:spacing w:after="0" w:line="17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Awards under the Plan shall be subject to the Company’s clawback policy, as in effect from time to time. If there shall be no such clawback policy in effect, (1) awards under the Plan and any Shares issued pursuant to Awards under the Plan (and any gains thereon) shall be subject to recovery or “clawback” by the Company if and to the extent that the vesting of such Awards was determined or calculated based on materially inaccurate financial statements or any other material inaccurate performance metric criteria; or (2) if the Company or its Subsidiaries terminate a Participant’s service relationship due to the Participant’s gross negligence or willful misconduct, or determine there are grounds for such a termination (whether or not such actions also constitute “cause” under an Award Agreement), any Awards under the Plan, whether or not vested, as well as any shares of Stock issued pursuant to Awards under this Plan (and any gains thereon) shall be subject to forfeiture, recovery and “clawback.” Notwithstanding anything to the contrary contained herein, if a Participant has engaged in any detrimental activity (including noncompliance with restrictive covenants), as determined by the Committee, the Committee may, in its sole discretion, provide for cancellation of any or all of such Participant’s outstanding Awards and/or forfeiture by the Participant of any gain realized in respect of Awards, and repayment of any such gain promptly to the Company.</w:t>
      </w:r>
    </w:p>
    <w:p>
      <w:pPr>
        <w:spacing w:after="0" w:line="16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shall be issued or delivered pursuant to the Plan or any Award. The Committee shall determine whether cash, Awards, or other property shall be issued or paid in lieu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00"/>
          </w:cols>
          <w:pgMar w:left="320" w:top="459"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fractional Shares or whether such fractional Shares or any rights thereto shall be forfeited or otherwise eliminated.</w:t>
      </w:r>
    </w:p>
    <w:p>
      <w:pPr>
        <w:spacing w:after="0" w:line="225"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u w:val="single" w:color="auto"/>
          <w:color w:val="auto"/>
        </w:rPr>
        <w:t>Reservation of Stock</w:t>
      </w:r>
      <w:r>
        <w:rPr>
          <w:rFonts w:ascii="Arial" w:cs="Arial" w:eastAsia="Arial" w:hAnsi="Arial"/>
          <w:sz w:val="17"/>
          <w:szCs w:val="17"/>
          <w:color w:val="auto"/>
        </w:rPr>
        <w:t>. The Company shall at all times during the term of the Plan and any outstanding Awards granted hereunder reserve or otherwise keep available such number of Shares of Stock as will be sufficient to satisfy the requirements of the Plan (if then in effect) and the Awards and shall pay all fees and expenses necessarily incurred by the Company in connection therewith.</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Reimbursement of Company for Unearned or Ill-gotten Gains</w:t>
      </w:r>
      <w:r>
        <w:rPr>
          <w:rFonts w:ascii="Arial" w:cs="Arial" w:eastAsia="Arial" w:hAnsi="Arial"/>
          <w:sz w:val="16"/>
          <w:szCs w:val="16"/>
          <w:color w:val="auto"/>
        </w:rPr>
        <w:t>. Unless otherwise specifically provided in an Award Agreement, and 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extent permitted by Applicable Law, if the Company is required to prepare an accounting restatement due to the material noncompliance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with any financial reporting requirement under the securities laws, the Committee may, without obtaining the approval or consent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Company’s shareholders or of any Participant, require that any Participant who personally engaged in one of more acts of fraud or misconduct that have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caused or partially caused the need for such restatement or any current or former chief executive officer, chief financial officer, or executive officer,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regardless of their conduct, to reimburse the Company in a manner consistent with Section 409A of the Code, if the Award constitutes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“Non-Qualified Deferred Compensation,” for all or any portion of any Awards granted or settled under this Plan (with each such case being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Reimbursement</w:t>
      </w:r>
      <w:r>
        <w:rPr>
          <w:rFonts w:ascii="Arial" w:cs="Arial" w:eastAsia="Arial" w:hAnsi="Arial"/>
          <w:sz w:val="16"/>
          <w:szCs w:val="16"/>
          <w:color w:val="auto"/>
        </w:rPr>
        <w:t>”), or the Committee may require the termination or rescission of, or the recapture associated with, any Award, in excess of the amount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Participant would have received under the accounting restatement.</w:t>
      </w:r>
    </w:p>
    <w:p>
      <w:pPr>
        <w:spacing w:after="0" w:line="211"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 xml:space="preserve">13.10 </w:t>
      </w:r>
      <w:r>
        <w:rPr>
          <w:rFonts w:ascii="Arial" w:cs="Arial" w:eastAsia="Arial" w:hAnsi="Arial"/>
          <w:sz w:val="16"/>
          <w:szCs w:val="16"/>
          <w:u w:val="single" w:color="auto"/>
          <w:color w:val="auto"/>
        </w:rPr>
        <w:t>Delay in Payment</w:t>
      </w:r>
      <w:r>
        <w:rPr>
          <w:rFonts w:ascii="Arial" w:cs="Arial" w:eastAsia="Arial" w:hAnsi="Arial"/>
          <w:sz w:val="16"/>
          <w:szCs w:val="16"/>
          <w:color w:val="auto"/>
        </w:rPr>
        <w:t>. To the extent required in order to avoid the imposition of any interest and/or additional tax under Section 409A(a)(1)(B) of the Code, any amount that is considered deferred compensation under the Plan or Award Agreement and that is required to be postponed pursuant to Section 409A of the Code, following the a Participant’s Termination of Employment shall be delayed for six (6) months if a Participant is deemed to be a “specified employee” as defined in Section 409A(a)(2)(i)(B) of the Code; provided that, if the Participant dies during the postponement period prior to the payment of the postponed amount, the amounts withheld on account of Section 409A of the Code shall be paid to the executor or administrator of the decedent’s estate within 60 days following the date of his death. A “</w:t>
      </w:r>
      <w:r>
        <w:rPr>
          <w:rFonts w:ascii="Arial" w:cs="Arial" w:eastAsia="Arial" w:hAnsi="Arial"/>
          <w:sz w:val="16"/>
          <w:szCs w:val="16"/>
          <w:u w:val="single" w:color="auto"/>
          <w:color w:val="auto"/>
        </w:rPr>
        <w:t>Specified Employee</w:t>
      </w:r>
      <w:r>
        <w:rPr>
          <w:rFonts w:ascii="Arial" w:cs="Arial" w:eastAsia="Arial" w:hAnsi="Arial"/>
          <w:sz w:val="16"/>
          <w:szCs w:val="16"/>
          <w:color w:val="auto"/>
        </w:rPr>
        <w:t>” means any Participant who is a “key employee” (as defined in Section 416(i) of the Code without regard to paragraph (5) thereof), as determined by the Company in accordance with its uniform policy with respect to all arrangements subject to Section 409A of the Code, based upon the twelve (12) month period ending on each December 31st (the “</w:t>
      </w:r>
      <w:r>
        <w:rPr>
          <w:rFonts w:ascii="Arial" w:cs="Arial" w:eastAsia="Arial" w:hAnsi="Arial"/>
          <w:sz w:val="16"/>
          <w:szCs w:val="16"/>
          <w:u w:val="single" w:color="auto"/>
          <w:color w:val="auto"/>
        </w:rPr>
        <w:t>Identification Period</w:t>
      </w:r>
      <w:r>
        <w:rPr>
          <w:rFonts w:ascii="Arial" w:cs="Arial" w:eastAsia="Arial" w:hAnsi="Arial"/>
          <w:sz w:val="16"/>
          <w:szCs w:val="16"/>
          <w:color w:val="auto"/>
        </w:rPr>
        <w:t>”). All Participants who are determined to be key employees under Section 416(i) of the Code (without regard to paragraph</w:t>
      </w:r>
    </w:p>
    <w:p>
      <w:pPr>
        <w:spacing w:after="0" w:line="6" w:lineRule="exact"/>
        <w:rPr>
          <w:sz w:val="20"/>
          <w:szCs w:val="20"/>
          <w:color w:val="auto"/>
        </w:rPr>
      </w:pPr>
    </w:p>
    <w:p>
      <w:pPr>
        <w:ind w:left="120" w:right="220" w:hanging="4"/>
        <w:spacing w:after="0" w:line="260" w:lineRule="auto"/>
        <w:tabs>
          <w:tab w:leader="none" w:pos="3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thereof) during the identification period shall be treated as Specified Employees for purposes of the Plan during the twelve (12) month period that begins on the first day of the 4th month following the close of such identification period.</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Article 14</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Successors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Article 15</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Substitute Awards in Corporate Transactions</w:t>
      </w:r>
      <w:r>
        <w:rPr>
          <w:rFonts w:ascii="Arial" w:cs="Arial" w:eastAsia="Arial" w:hAnsi="Arial"/>
          <w:sz w:val="18"/>
          <w:szCs w:val="18"/>
          <w:color w:val="auto"/>
        </w:rPr>
        <w:t>. Nothing contained in the Plan shall be construed to limit the right of the Committee to grant Awards under the Plan in connection with the acquisition, whether by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080"/>
          </w:cols>
          <w:pgMar w:left="320" w:top="459" w:right="4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 xml:space="preserve">purchase, merger, consolidation or other corporate transaction, of the business or assets of any corporation or other entity. Without limiting the foregoing, the Committee may grant Awards under the Plan to an employee or director of another corporation who becomes an Eligible Person by reason of any such corporate transaction in substitution for awards previously granted by such corporation or entity to such person. The terms and conditions of the substitute Awards may vary from the terms and conditions that would otherwise be required by the Plan solely to the extent the Committee deems necessary for such purpose. Any shares of Stock subject to these substitute Awards shall not be counted against the share reserve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of the Plan.</w:t>
      </w:r>
    </w:p>
    <w:p>
      <w:pPr>
        <w:spacing w:after="0" w:line="19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u w:val="single" w:color="auto"/>
          <w:color w:val="auto"/>
        </w:rPr>
        <w:t>409A Compliance</w:t>
      </w:r>
      <w:r>
        <w:rPr>
          <w:rFonts w:ascii="Arial" w:cs="Arial" w:eastAsia="Arial" w:hAnsi="Arial"/>
          <w:sz w:val="16"/>
          <w:szCs w:val="16"/>
          <w:color w:val="auto"/>
        </w:rPr>
        <w:t>. It is intended that all Awards issued under the Plan be in a form and administered in a manner that will comply with the requirements of Section 409A of the Code, or the requirements of an exception to Section 409A of the Code, and the Award Agreement and this Plan will be construed and administered in a manner that is consistent with and gives effect to such intent. The Committee is authorized to adopt rules or regulations deemed necessary or appropriate to qualify for an exception from or to comply with the requirements of Section 409A of the Code. With respect to an Award that constitutes a deferral of compensation subject to Section 409A of the Code: (a) if any amount is payable under such Award upon a termination of service, a termination of service will be treated as having occurred only at such time the Participant has experienced a “separation from service” as such term is defined for purposes of Section 409A of the Code; (b) if any amount is payable under such Award upon a disability, a disability will be treated as having occurred only at such time the Participant has experienced a “disability” as such term is defined for purposes of Section 409A of the Code; (c) if any amount is payable under such Award on account of the occurrence of a Change in Control, a Change in Control will be treated as having occurred only at such time a “change in the ownership or effective control of the corporation or in the ownership of a substantial portion of the assets of the corporation” has occurred as such terms are defined for purposes of Section 409A of the Code, (d) if any amount becomes payable under such Award on account of a Participant’s separation from service at such time as the Participant is a “specified employee” within the meaning of Section 409A of the Code, then no payment shall be made, except as permitted under Section 409A of the Code, prior to the first business day after the earlier of (i) the date that is six months after the date of the Participant’s separation from service or (ii) the Participant’s death, (e) any right to receive any installment payments under this Plan shall be treated as a right to receive a series of separate payments and, accordingly, each installment payment hereunder shall at all times be considered a separate and distinct payment, and (f) no amendment to or payment under such Award will be made except and only to the extent permitted under Section 409A of the Code.</w:t>
      </w:r>
    </w:p>
    <w:p>
      <w:pPr>
        <w:spacing w:after="0" w:line="17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Notwithstanding the foregoing, the tax treatment of the benefits provided under the Plan or any Award Agreement is not warranted or guaranteed, and in no event shall the Company be liable for all or any portion of any taxes, penalties, interest or other expenses that may be incurred by the Participant on account of non-compliance with Section 409A of the Code.</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u w:val="single" w:color="auto"/>
          <w:color w:val="auto"/>
        </w:rPr>
        <w:t>Section 16(b) of the Exchange Act</w:t>
      </w:r>
      <w:r>
        <w:rPr>
          <w:rFonts w:ascii="Arial" w:cs="Arial" w:eastAsia="Arial" w:hAnsi="Arial"/>
          <w:sz w:val="17"/>
          <w:szCs w:val="17"/>
          <w:color w:val="auto"/>
        </w:rPr>
        <w:t>. All elections and transactions under the Plan by persons subject to Section 16 of the Exchange Act involving shares of Stock are intended to comply with any applicable exemptive condition under Rule 16b-3. The Committee may, in its sole discretion, establish and adopt written administrative guidelines, designed to facilitate compliance with Section 16(b) of the Exchange Act, as it may deem necessary or proper for the administration and operation of the Plan and the transaction of business thereunder.</w:t>
      </w:r>
    </w:p>
    <w:p>
      <w:pPr>
        <w:spacing w:after="0" w:line="17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u w:val="single" w:color="auto"/>
          <w:color w:val="auto"/>
        </w:rPr>
        <w:t>Unfunded Status of the Plan</w:t>
      </w:r>
      <w:r>
        <w:rPr>
          <w:rFonts w:ascii="Arial" w:cs="Arial" w:eastAsia="Arial" w:hAnsi="Arial"/>
          <w:sz w:val="18"/>
          <w:szCs w:val="18"/>
          <w:color w:val="auto"/>
        </w:rPr>
        <w:t>. The Plan is intended to constitute an “unfunded” plan for incentive compensation, and the Plan is not intended to constitute a plan subject to the provisions of ERISA.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Stock or payments with respect to Options, Stock Appreciation Rights and other Awards hereunder, provided, however, that the existence of such trusts or other arrangements is consistent with the unfunded status of the Plan.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Neither the adoption of the Plan by the Board nor the submission of the Plan to the stockholders of the Company shall be construed as creating any limitations on the power of the Board to adopt such other incentive arrangements as it may deem desirable, including without limitation, the granting of stock options and restricted stock other than under the Plan, and such arrangements may be either applicable generally or only in specific cases.</w:t>
      </w:r>
    </w:p>
    <w:p>
      <w:pPr>
        <w:spacing w:after="0" w:line="18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The Company shall be under no obligation to issue any shares covered by any Award unless the shares to be issued pursuant to Awards granted under the Plan have been effectively registered under the Securities Act, or the Participant shall have made such written representations to the Company (upon which the Company believes it may reasonably rely) as the Company may deem necessary or appropriate for purposes of confirming that the issuance of such shares will be exempt from the registration requirements of that Act and any applicable state securities laws and otherwise in compliance with all applicable laws, rules and regulations, including but not limited to that the Participant is acquiring the shares for his or her own account for the purpose of investment and not with a view to, or for sale in connection with, the distribution of any such shares.</w:t>
      </w:r>
    </w:p>
    <w:p>
      <w:pPr>
        <w:spacing w:after="0" w:line="195"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 xml:space="preserve">15.7 </w:t>
      </w:r>
      <w:r>
        <w:rPr>
          <w:rFonts w:ascii="Arial" w:cs="Arial" w:eastAsia="Arial" w:hAnsi="Arial"/>
          <w:sz w:val="16"/>
          <w:szCs w:val="16"/>
          <w:u w:val="single" w:color="auto"/>
          <w:color w:val="auto"/>
        </w:rPr>
        <w:t>Registration</w:t>
      </w:r>
      <w:r>
        <w:rPr>
          <w:rFonts w:ascii="Arial" w:cs="Arial" w:eastAsia="Arial" w:hAnsi="Arial"/>
          <w:sz w:val="16"/>
          <w:szCs w:val="16"/>
          <w:color w:val="auto"/>
        </w:rPr>
        <w:t xml:space="preserve">. If the Company shall deem it necessary or desirable to register under the Securities Act or other applicable statutes any Shares of Stock issued or to be issued pursuant to Awards granted under the Plan, or to qualify any such Shares of Stock for exemption from the Securities Act or other applicable statutes, then the Company shall take such action at its own expense. The Company may require from each recipient of an Award, or each holder of Shares of Stock acquired pursuant to the Plan, such information in writing for use in any registration statement, prospectus, preliminary prospectus or offering circular as is reasonably necessary for that purpose and may require reasonable indemnity to the Company and its officers and directors from that holder against all losses, claims, damage and liabilities arising from use of the information so furnished and caused by any untrue statement of any material fact therein or caused by the omission to state a material fact required to be stated therein or necessary to make the statements therein not misleading in the light of the circumstances under which they were made. In addition, the Company may require of any such person that he or she agree that, without the prior written consent of the Company or the managing underwriter in any public offering of Shares of Stock, he or she will not sell, make any short sale of, loan, grant any option for the purchase of, pledge or otherwise encumber, or otherwise dispose of, any shares of Stock during the 180 day period commencing on the effective date of the registration statement relating to the underwritten public offering of securities. Without limiting the generality of the foregoing provisions of this </w:t>
      </w:r>
      <w:r>
        <w:rPr>
          <w:rFonts w:ascii="Arial" w:cs="Arial" w:eastAsia="Arial" w:hAnsi="Arial"/>
          <w:sz w:val="16"/>
          <w:szCs w:val="16"/>
          <w:u w:val="single" w:color="auto"/>
          <w:color w:val="auto"/>
        </w:rPr>
        <w:t>Section 15.7</w:t>
      </w:r>
      <w:r>
        <w:rPr>
          <w:rFonts w:ascii="Arial" w:cs="Arial" w:eastAsia="Arial" w:hAnsi="Arial"/>
          <w:sz w:val="16"/>
          <w:szCs w:val="16"/>
          <w:color w:val="auto"/>
        </w:rPr>
        <w:t>, if in connection with any underwritten public offering of securities of the Company the managing underwriter of such offering requires that the Company’s directors and officers enter into a lock-up agreement containing provisions that are more restrictive than the provisions set forth in the preceding sentence, then (a) each holder of shares of Stock acquired pursuant to the Plan (regardless of whether such person has complied or complies with the provisions of clause (b) below) shall be bound by, and shall be deemed to have agreed to, the same lock-up terms as those to which the Company’s directors and officers are required to adhere; and (b) at the request of the Company or such managing underwriter, each such person shall execute and deliver a lock-up agreement in form and substance equivalent to that which is required to be executed by the Company’s directors and officers.</w:t>
      </w:r>
    </w:p>
    <w:p>
      <w:pPr>
        <w:spacing w:after="0" w:line="17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15.8 </w:t>
      </w:r>
      <w:r>
        <w:rPr>
          <w:rFonts w:ascii="Arial" w:cs="Arial" w:eastAsia="Arial" w:hAnsi="Arial"/>
          <w:sz w:val="17"/>
          <w:szCs w:val="17"/>
          <w:u w:val="single" w:color="auto"/>
          <w:color w:val="auto"/>
        </w:rPr>
        <w:t>Placement of Legends; Stop Orders; etc</w:t>
      </w:r>
      <w:r>
        <w:rPr>
          <w:rFonts w:ascii="Arial" w:cs="Arial" w:eastAsia="Arial" w:hAnsi="Arial"/>
          <w:sz w:val="17"/>
          <w:szCs w:val="17"/>
          <w:color w:val="auto"/>
        </w:rPr>
        <w:t xml:space="preserve">. Each share of Stock to be issued pursuant to Awards granted under the Plan may bear a reference to the investment representation made in accordance with </w:t>
      </w:r>
      <w:r>
        <w:rPr>
          <w:rFonts w:ascii="Arial" w:cs="Arial" w:eastAsia="Arial" w:hAnsi="Arial"/>
          <w:sz w:val="17"/>
          <w:szCs w:val="17"/>
          <w:u w:val="single" w:color="auto"/>
          <w:color w:val="auto"/>
        </w:rPr>
        <w:t>Section 15.6</w:t>
      </w:r>
      <w:r>
        <w:rPr>
          <w:rFonts w:ascii="Arial" w:cs="Arial" w:eastAsia="Arial" w:hAnsi="Arial"/>
          <w:sz w:val="17"/>
          <w:szCs w:val="17"/>
          <w:color w:val="auto"/>
        </w:rPr>
        <w:t xml:space="preserve"> in addition to any other applicable restriction under the Plan, the terms of the Award and to the fact that no registration statement has been filed with the Securities and Exchange Commission in respect to such shares of Stock. All shares of Stock or other securities delivered under the Plan shall be subject to such stock transfer orders and other restrictions as the Committee may deem advisable under the rules, regulations, and other requirements of any stock exchange upon which the Stock is then listed, and any applicable federal or state securities law, and the Committee may cause a legend or legends to be put on any certificates or recorded in connection with book-entry accounts representing the shares to make appropriate reference to such restrictions.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u w:val="single" w:color="auto"/>
          <w:color w:val="auto"/>
        </w:rPr>
        <w:t>Uncertificated Shares</w:t>
      </w:r>
      <w:r>
        <w:rPr>
          <w:rFonts w:ascii="Arial" w:cs="Arial" w:eastAsia="Arial" w:hAnsi="Arial"/>
          <w:sz w:val="18"/>
          <w:szCs w:val="18"/>
          <w:color w:val="auto"/>
        </w:rPr>
        <w:t>. To the extent that the Plan provides for issuance of certificates to reflect the transfer of Shares, the transfer of such Shares may be effected on a noncertificated basis, to the extent not prohibited by Applicable Law.</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u w:val="single" w:color="auto"/>
          <w:color w:val="auto"/>
        </w:rPr>
        <w:t>Limitation of Rights in Stock</w:t>
      </w:r>
      <w:r>
        <w:rPr>
          <w:rFonts w:ascii="Arial" w:cs="Arial" w:eastAsia="Arial" w:hAnsi="Arial"/>
          <w:sz w:val="18"/>
          <w:szCs w:val="18"/>
          <w:color w:val="auto"/>
        </w:rPr>
        <w:t>. A Participant shall not be deemed for any purpose to be a stockholder of the Company with respect to any of the Shares of Stock subject to an Award, unless and until Shares shall have been issued therefor and delivered to the Participant or his agent. Any Stock to be issued pursuant to Awards granted under the Plan shall be subject to all restrictions upon the transfer thereof which may be now or hereafter imposed by the Certificate of Incorporation and the Bylaws of the Company.</w:t>
      </w:r>
    </w:p>
    <w:p>
      <w:pPr>
        <w:spacing w:after="0" w:line="18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 xml:space="preserve">15.11 </w:t>
      </w:r>
      <w:r>
        <w:rPr>
          <w:rFonts w:ascii="Arial" w:cs="Arial" w:eastAsia="Arial" w:hAnsi="Arial"/>
          <w:sz w:val="17"/>
          <w:szCs w:val="17"/>
          <w:u w:val="single" w:color="auto"/>
          <w:color w:val="auto"/>
        </w:rPr>
        <w:t>Employment Not Guaranteed</w:t>
      </w:r>
      <w:r>
        <w:rPr>
          <w:rFonts w:ascii="Arial" w:cs="Arial" w:eastAsia="Arial" w:hAnsi="Arial"/>
          <w:sz w:val="17"/>
          <w:szCs w:val="17"/>
          <w:color w:val="auto"/>
        </w:rPr>
        <w:t>. Nothing in the Plan shall interfere with or limit in any way the right of the Company (or any Affiliate) to terminate any Participant’s Employment at any time, nor confer upon any Participant any right to continue in the employ of the Company (or any Affiliate), subject to the terms of any separate employment or consulting agreement or provision of law or corporate articles or by-laws to the contrary, at any time to terminate such employment or consulting agreement or to increase or decrease, or otherwise adjust, the other terms and conditions of the recipient’s employment or other association with the Company and its Affiliates.</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 xml:space="preserve">15.12 </w:t>
      </w:r>
      <w:r>
        <w:rPr>
          <w:rFonts w:ascii="Arial" w:cs="Arial" w:eastAsia="Arial" w:hAnsi="Arial"/>
          <w:sz w:val="18"/>
          <w:szCs w:val="18"/>
          <w:u w:val="single" w:color="auto"/>
          <w:color w:val="auto"/>
        </w:rPr>
        <w:t>Other Compensation Arrangements</w:t>
      </w:r>
      <w:r>
        <w:rPr>
          <w:rFonts w:ascii="Arial" w:cs="Arial" w:eastAsia="Arial" w:hAnsi="Arial"/>
          <w:sz w:val="18"/>
          <w:szCs w:val="18"/>
          <w:color w:val="auto"/>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 xml:space="preserve">15.13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u w:val="single" w:color="auto"/>
          <w:color w:val="auto"/>
        </w:rPr>
        <w:t>Plan Headings</w:t>
      </w:r>
      <w:r>
        <w:rPr>
          <w:rFonts w:ascii="Arial" w:cs="Arial" w:eastAsia="Arial" w:hAnsi="Arial"/>
          <w:sz w:val="18"/>
          <w:szCs w:val="18"/>
          <w:color w:val="auto"/>
        </w:rPr>
        <w:t>. The headings in the Plan are for purposes of convenience only and are not intended to define or limit the construction of the provisions thereof.</w:t>
      </w:r>
    </w:p>
    <w:p>
      <w:pPr>
        <w:spacing w:after="0" w:line="170"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 xml:space="preserve">15.15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4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 xml:space="preserve">15.16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The granting of Awards and the issuance of Shares under the Plan shall be subject to Applicable Law and to such approvals by any governmental agencies or national securities exchanges as may be required.</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 xml:space="preserve">15.17 </w:t>
      </w:r>
      <w:r>
        <w:rPr>
          <w:rFonts w:ascii="Arial" w:cs="Arial" w:eastAsia="Arial" w:hAnsi="Arial"/>
          <w:sz w:val="18"/>
          <w:szCs w:val="18"/>
          <w:u w:val="single" w:color="auto"/>
          <w:color w:val="auto"/>
        </w:rPr>
        <w:t>Errors</w:t>
      </w:r>
      <w:r>
        <w:rPr>
          <w:rFonts w:ascii="Arial" w:cs="Arial" w:eastAsia="Arial" w:hAnsi="Arial"/>
          <w:sz w:val="18"/>
          <w:szCs w:val="18"/>
          <w:color w:val="auto"/>
        </w:rPr>
        <w:t>. At any time the Company may correct any error made under the Plan without prejudice to the Company. Such corrections may include, among other things, changing or revoking an issuance of an Award.</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15.18 </w:t>
      </w:r>
      <w:r>
        <w:rPr>
          <w:rFonts w:ascii="Arial" w:cs="Arial" w:eastAsia="Arial" w:hAnsi="Arial"/>
          <w:sz w:val="17"/>
          <w:szCs w:val="17"/>
          <w:u w:val="single" w:color="auto"/>
          <w:color w:val="auto"/>
        </w:rPr>
        <w:t>Elections and Notices</w:t>
      </w:r>
      <w:r>
        <w:rPr>
          <w:rFonts w:ascii="Arial" w:cs="Arial" w:eastAsia="Arial" w:hAnsi="Arial"/>
          <w:sz w:val="17"/>
          <w:szCs w:val="17"/>
          <w:color w:val="auto"/>
        </w:rPr>
        <w:t>. Notwithstanding anything to the contrary contained in this Plan, all elections and notices of every kind shall be made on forms prepared by the Company, secretary or assistant secretary, or their respective delegates or shall be made in such other manner as permitted or required by the Company, secretary or assistant secretary, or their respective delegates, including but not limited to elections or notices through electronic means, over the Internet or otherwise. An election shall be deemed made when received by the Company (or its designated agent, but only in cases where the designated agent has been appointed for the purpose of receiving such election), which may waive any defects in form. The Company may limit the time an election may be made in advance of any deadline.</w:t>
      </w:r>
    </w:p>
    <w:p>
      <w:pPr>
        <w:spacing w:after="0" w:line="17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Where any notice or filing required or permitted to be given to the Company under the Plan, it shall be delivered to the principal office of the Company, directed to the attention of the Chief Financial Officer of the Company or his or her successor. Such notice shall be deemed given on the date of delivery.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080"/>
          </w:cols>
          <w:pgMar w:left="320" w:top="459" w:right="4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Notice to the Participant shall be deemed given when mailed (or sent by telecopy) to the Participant’s work or home address as shown on the records of the Company or, at the option of the Company, to the Participant’s e-mail address as shown on the records of the Company.</w:t>
      </w:r>
    </w:p>
    <w:p>
      <w:pPr>
        <w:spacing w:after="0" w:line="124"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It is the Participant’s responsibility to ensure that the Participant’s addresses are kept up to date on the records of the Company. In the case of notices affecting multiple Participants, the notices may be given by general distribution at the Participants’ work locations.</w:t>
      </w:r>
    </w:p>
    <w:p>
      <w:pPr>
        <w:spacing w:after="0" w:line="14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15.19 </w:t>
      </w:r>
      <w:r>
        <w:rPr>
          <w:rFonts w:ascii="Arial" w:cs="Arial" w:eastAsia="Arial" w:hAnsi="Arial"/>
          <w:sz w:val="18"/>
          <w:szCs w:val="18"/>
          <w:u w:val="single" w:color="auto"/>
          <w:color w:val="auto"/>
        </w:rPr>
        <w:t>Governing Law</w:t>
      </w:r>
      <w:r>
        <w:rPr>
          <w:rFonts w:ascii="Arial" w:cs="Arial" w:eastAsia="Arial" w:hAnsi="Arial"/>
          <w:sz w:val="18"/>
          <w:szCs w:val="18"/>
          <w:color w:val="auto"/>
        </w:rPr>
        <w:t>. To the extent not preempted by Federal law, the Plan, and all awards and agreements hereunder, and any and all disputes in connection therewith, shall be governed by and construed in accordance with the substantive laws of the State of Delaware, without regard to conflict or choice of law principles which might otherwise refer the construction, interpretation or enforceability of this Plan to the substantive law of another jurisdiction.</w:t>
      </w:r>
    </w:p>
    <w:p>
      <w:pPr>
        <w:spacing w:after="0" w:line="18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 xml:space="preserve">15.20 </w:t>
      </w:r>
      <w:r>
        <w:rPr>
          <w:rFonts w:ascii="Arial" w:cs="Arial" w:eastAsia="Arial" w:hAnsi="Arial"/>
          <w:sz w:val="16"/>
          <w:szCs w:val="16"/>
          <w:u w:val="single" w:color="auto"/>
          <w:color w:val="auto"/>
        </w:rPr>
        <w:t>Venue</w:t>
      </w:r>
      <w:r>
        <w:rPr>
          <w:rFonts w:ascii="Arial" w:cs="Arial" w:eastAsia="Arial" w:hAnsi="Arial"/>
          <w:sz w:val="16"/>
          <w:szCs w:val="16"/>
          <w:color w:val="auto"/>
        </w:rPr>
        <w:t xml:space="preserve">. The Company and the Participant to whom an Award under this Plan is granted, for themselves and their successors and assigns, irrevocably submit to the exclusive and sole jurisdiction and venue of the state or federal courts of Delaware with respect to any and all disputes arising out of or relating to this Plan, the subject matter of this Plan or any awards under this Plan, including but not limited to any disputes arising out of or relating to the interpretation and enforceability of any awards or the terms and conditions of this Plan. To achieve certainty regarding the appropriate forum in which to prosecute and defend actions arising out of or relating to this Plan, and to ensure consistency in application and interpretation of the Governing Law to the Plan, the parties agree that (a) sole and exclusive appropriate venue for any such action shall be an appropriate federal or state court in Delaware, and no other, (b) all claims with respect to any such action shall be heard and determined exclusively in such Delaware court, and no other, (c) such Delaware court shall have sole and exclusive jurisdiction over the person of such parties and over the subject matter of any dispute relating hereto and (d) that the parties waive any and all objections and defenses to bringing any such action before such Delaware court, including but not limited to those relating to lack of personal jurisdiction, improper venue or </w:t>
      </w:r>
      <w:r>
        <w:rPr>
          <w:rFonts w:ascii="Arial" w:cs="Arial" w:eastAsia="Arial" w:hAnsi="Arial"/>
          <w:sz w:val="16"/>
          <w:szCs w:val="16"/>
          <w:i w:val="1"/>
          <w:iCs w:val="1"/>
          <w:color w:val="auto"/>
        </w:rPr>
        <w:t>forum non conveniens</w:t>
      </w:r>
      <w:r>
        <w:rPr>
          <w:rFonts w:ascii="Arial" w:cs="Arial" w:eastAsia="Arial" w:hAnsi="Arial"/>
          <w:sz w:val="16"/>
          <w:szCs w:val="16"/>
          <w:color w:val="auto"/>
        </w:rPr>
        <w:t>.</w:t>
      </w:r>
    </w:p>
    <w:p>
      <w:pPr>
        <w:spacing w:after="0" w:line="16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 xml:space="preserve">15.21 </w:t>
      </w:r>
      <w:r>
        <w:rPr>
          <w:rFonts w:ascii="Arial" w:cs="Arial" w:eastAsia="Arial" w:hAnsi="Arial"/>
          <w:sz w:val="18"/>
          <w:szCs w:val="18"/>
          <w:u w:val="single" w:color="auto"/>
          <w:color w:val="auto"/>
        </w:rPr>
        <w:t>No Obligation to Notify</w:t>
      </w:r>
      <w:r>
        <w:rPr>
          <w:rFonts w:ascii="Arial" w:cs="Arial" w:eastAsia="Arial" w:hAnsi="Arial"/>
          <w:sz w:val="18"/>
          <w:szCs w:val="18"/>
          <w:color w:val="auto"/>
        </w:rPr>
        <w:t>. The Company shall have no duty or obligation to any holder of an Option to advise such holder as to the time or manner of exercising such Option. Furthermore, the Company shall have no duty or obligation to warn or otherwise advise such holder of a pending transaction or expiration of an Option or a possible period in which the Option may not be exercised. The Company has no duty or obligation to minimize the tax consequences of an Option to the holder of such Option.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080"/>
          </w:cols>
          <w:pgMar w:left="320" w:top="459" w:right="4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P10, Inc.</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4514 Cole Ave, Suite 1600</w:t>
      </w:r>
    </w:p>
    <w:p>
      <w:pPr>
        <w:ind w:left="120"/>
        <w:spacing w:after="0"/>
        <w:rPr>
          <w:sz w:val="20"/>
          <w:szCs w:val="20"/>
          <w:color w:val="auto"/>
        </w:rPr>
      </w:pPr>
      <w:r>
        <w:rPr>
          <w:rFonts w:ascii="Arial" w:cs="Arial" w:eastAsia="Arial" w:hAnsi="Arial"/>
          <w:sz w:val="14"/>
          <w:szCs w:val="14"/>
          <w:color w:val="auto"/>
        </w:rPr>
        <w:t>Dallas, TX 75205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5080</wp:posOffset>
            </wp:positionV>
            <wp:extent cx="5846445" cy="1499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6445" cy="1499870"/>
                    </a:xfrm>
                    <a:prstGeom prst="rect">
                      <a:avLst/>
                    </a:prstGeom>
                    <a:noFill/>
                  </pic:spPr>
                </pic:pic>
              </a:graphicData>
            </a:graphic>
          </wp:anchor>
        </w:drawing>
      </w:r>
    </w:p>
    <w:p>
      <w:pPr>
        <w:spacing w:after="0" w:line="64"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INTERNET</w:t>
      </w:r>
    </w:p>
    <w:p>
      <w:pPr>
        <w:spacing w:after="0" w:line="28"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www.proxypush.com/PX</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 Cast your vote online</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Have your Proxy Card ready</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 Follow the simple instructions to record your vote</w:t>
      </w:r>
    </w:p>
    <w:p>
      <w:pPr>
        <w:spacing w:after="0" w:line="86"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 xml:space="preserve">PHONE </w:t>
      </w:r>
      <w:r>
        <w:rPr>
          <w:rFonts w:ascii="Arial" w:cs="Arial" w:eastAsia="Arial" w:hAnsi="Arial"/>
          <w:sz w:val="16"/>
          <w:szCs w:val="16"/>
          <w:color w:val="auto"/>
        </w:rPr>
        <w:t>Call</w:t>
      </w:r>
      <w:r>
        <w:rPr>
          <w:rFonts w:ascii="Arial" w:cs="Arial" w:eastAsia="Arial" w:hAnsi="Arial"/>
          <w:sz w:val="16"/>
          <w:szCs w:val="16"/>
          <w:b w:val="1"/>
          <w:bCs w:val="1"/>
          <w:color w:val="auto"/>
        </w:rPr>
        <w:t xml:space="preserve"> 1-866-983-6559</w:t>
      </w:r>
    </w:p>
    <w:p>
      <w:pPr>
        <w:spacing w:after="0" w:line="28"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 Use any touch-tone telephone</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 xml:space="preserve">   Have your Proxy Card ready</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 Follow the simple recorded instructions</w:t>
      </w:r>
    </w:p>
    <w:p>
      <w:pPr>
        <w:spacing w:after="0" w:line="86"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MAIL</w:t>
      </w:r>
    </w:p>
    <w:p>
      <w:pPr>
        <w:spacing w:after="0" w:line="28"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 Mark, sign and date your Proxy Card</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 Fold and return your Proxy Card in the postage-paid envelope provided</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VOTE, MARK BLOCKS BELOW IN BLUE OR BLACK INK AS FOLLOWS:</w:t>
      </w:r>
    </w:p>
    <w:p>
      <w:pPr>
        <w:ind w:left="8300"/>
        <w:spacing w:after="0"/>
        <w:rPr>
          <w:sz w:val="20"/>
          <w:szCs w:val="20"/>
          <w:color w:val="auto"/>
        </w:rPr>
      </w:pPr>
      <w:r>
        <w:rPr>
          <w:rFonts w:ascii="Arial" w:cs="Arial" w:eastAsia="Arial" w:hAnsi="Arial"/>
          <w:sz w:val="13"/>
          <w:szCs w:val="13"/>
          <w:color w:val="auto"/>
        </w:rPr>
        <w:t>KEEP THIS PORTION FOR YOUR RECORDS</w:t>
      </w:r>
    </w:p>
    <w:p>
      <w:pPr>
        <w:ind w:left="140"/>
        <w:spacing w:after="0"/>
        <w:rPr>
          <w:sz w:val="20"/>
          <w:szCs w:val="20"/>
          <w:color w:val="auto"/>
        </w:rPr>
      </w:pPr>
      <w:r>
        <w:rPr>
          <w:rFonts w:ascii="Arial" w:cs="Arial" w:eastAsia="Arial" w:hAnsi="Arial"/>
          <w:sz w:val="14"/>
          <w:szCs w:val="14"/>
          <w:color w:val="auto"/>
        </w:rPr>
        <w:t>-------------------------------------------------------------------------------------------------------------------------------------------------------------------------------------------------------------------------------------</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jc w:val="center"/>
        <w:ind w:right="-119"/>
        <w:spacing w:after="0"/>
        <w:rPr>
          <w:sz w:val="20"/>
          <w:szCs w:val="20"/>
          <w:color w:val="auto"/>
        </w:rPr>
      </w:pPr>
      <w:r>
        <w:rPr>
          <w:rFonts w:ascii="Arial" w:cs="Arial" w:eastAsia="Arial" w:hAnsi="Arial"/>
          <w:sz w:val="14"/>
          <w:szCs w:val="14"/>
          <w:b w:val="1"/>
          <w:bCs w:val="1"/>
          <w:color w:val="auto"/>
        </w:rPr>
        <w:t>THIS PROXY CARD IS VALID ONLY WHEN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45720</wp:posOffset>
            </wp:positionV>
            <wp:extent cx="6998970" cy="2070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2070100"/>
                    </a:xfrm>
                    <a:prstGeom prst="rect">
                      <a:avLst/>
                    </a:prstGeom>
                    <a:noFill/>
                  </pic:spPr>
                </pic:pic>
              </a:graphicData>
            </a:graphic>
          </wp:anchor>
        </w:drawing>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P10, Inc.</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The Board of Directors recommends you vote FOR proposal 1.</w:t>
      </w: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4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46"/>
        </w:trPr>
        <w:tc>
          <w:tcPr>
            <w:tcW w:w="580" w:type="dxa"/>
            <w:vAlign w:val="bottom"/>
          </w:tcPr>
          <w:p>
            <w:pPr>
              <w:spacing w:after="0"/>
              <w:rPr>
                <w:sz w:val="20"/>
                <w:szCs w:val="20"/>
                <w:color w:val="auto"/>
              </w:rPr>
            </w:pPr>
            <w:r>
              <w:rPr>
                <w:rFonts w:ascii="Arial" w:cs="Arial" w:eastAsia="Arial" w:hAnsi="Arial"/>
                <w:sz w:val="14"/>
                <w:szCs w:val="14"/>
                <w:color w:val="auto"/>
              </w:rPr>
              <w:t>1.</w:t>
            </w:r>
          </w:p>
        </w:tc>
        <w:tc>
          <w:tcPr>
            <w:tcW w:w="8160" w:type="dxa"/>
            <w:vAlign w:val="bottom"/>
          </w:tcPr>
          <w:p>
            <w:pPr>
              <w:ind w:left="140"/>
              <w:spacing w:after="0"/>
              <w:rPr>
                <w:sz w:val="20"/>
                <w:szCs w:val="20"/>
                <w:color w:val="auto"/>
              </w:rPr>
            </w:pPr>
            <w:r>
              <w:rPr>
                <w:rFonts w:ascii="Arial" w:cs="Arial" w:eastAsia="Arial" w:hAnsi="Arial"/>
                <w:sz w:val="14"/>
                <w:szCs w:val="14"/>
                <w:color w:val="auto"/>
                <w:w w:val="94"/>
              </w:rPr>
              <w:t>The Amendment to the 2021 Incentive Plan to increase the number of shares issuable under the 2021 Plan by 4,000,000 shares of stock</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0"/>
        </w:trPr>
        <w:tc>
          <w:tcPr>
            <w:tcW w:w="8740" w:type="dxa"/>
            <w:vAlign w:val="bottom"/>
            <w:gridSpan w:val="2"/>
          </w:tcPr>
          <w:p>
            <w:pPr>
              <w:spacing w:after="0"/>
              <w:rPr>
                <w:sz w:val="20"/>
                <w:szCs w:val="20"/>
                <w:color w:val="auto"/>
              </w:rPr>
            </w:pPr>
            <w:r>
              <w:rPr>
                <w:rFonts w:ascii="Arial" w:cs="Arial" w:eastAsia="Arial" w:hAnsi="Arial"/>
                <w:sz w:val="14"/>
                <w:szCs w:val="14"/>
                <w:b w:val="1"/>
                <w:bCs w:val="1"/>
                <w:color w:val="auto"/>
                <w:w w:val="94"/>
              </w:rPr>
              <w:t xml:space="preserve">NOTE: </w:t>
            </w:r>
            <w:r>
              <w:rPr>
                <w:rFonts w:ascii="Arial" w:cs="Arial" w:eastAsia="Arial" w:hAnsi="Arial"/>
                <w:sz w:val="14"/>
                <w:szCs w:val="14"/>
                <w:color w:val="auto"/>
                <w:w w:val="94"/>
              </w:rPr>
              <w:t>In their discretion, the proxies are authorized to vote upon such other business as may properly come before the meeting or any adjournment</w:t>
            </w: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thereof.</w:t>
            </w:r>
          </w:p>
        </w:tc>
        <w:tc>
          <w:tcPr>
            <w:tcW w:w="8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59"/>
        </w:trPr>
        <w:tc>
          <w:tcPr>
            <w:tcW w:w="8740" w:type="dxa"/>
            <w:vAlign w:val="bottom"/>
            <w:gridSpan w:val="2"/>
          </w:tcPr>
          <w:p>
            <w:pPr>
              <w:spacing w:after="0"/>
              <w:rPr>
                <w:sz w:val="20"/>
                <w:szCs w:val="20"/>
                <w:color w:val="auto"/>
              </w:rPr>
            </w:pPr>
            <w:r>
              <w:rPr>
                <w:rFonts w:ascii="Arial" w:cs="Arial" w:eastAsia="Arial" w:hAnsi="Arial"/>
                <w:sz w:val="14"/>
                <w:szCs w:val="14"/>
                <w:color w:val="auto"/>
              </w:rPr>
              <w:t>For address changes and/or comments, please check this box and write them on the back where indicated.</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8740" w:type="dxa"/>
            <w:vAlign w:val="bottom"/>
            <w:gridSpan w:val="2"/>
          </w:tcPr>
          <w:p>
            <w:pPr>
              <w:spacing w:after="0"/>
              <w:rPr>
                <w:sz w:val="20"/>
                <w:szCs w:val="20"/>
                <w:color w:val="auto"/>
              </w:rPr>
            </w:pPr>
            <w:r>
              <w:rPr>
                <w:rFonts w:ascii="Arial" w:cs="Arial" w:eastAsia="Arial" w:hAnsi="Arial"/>
                <w:sz w:val="14"/>
                <w:szCs w:val="14"/>
                <w:color w:val="auto"/>
              </w:rPr>
              <w:t>Please indicate if you plan to attend this meeting.</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spacing w:after="0"/>
              <w:rPr>
                <w:sz w:val="21"/>
                <w:szCs w:val="21"/>
                <w:color w:val="auto"/>
              </w:rPr>
            </w:pPr>
          </w:p>
        </w:tc>
      </w:tr>
      <w:tr>
        <w:trPr>
          <w:trHeight w:val="214"/>
        </w:trPr>
        <w:tc>
          <w:tcPr>
            <w:tcW w:w="5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0"/>
              </w:rPr>
              <w:t>Yes</w:t>
            </w:r>
          </w:p>
        </w:tc>
        <w:tc>
          <w:tcPr>
            <w:tcW w:w="740" w:type="dxa"/>
            <w:vAlign w:val="bottom"/>
          </w:tcPr>
          <w:p>
            <w:pPr>
              <w:jc w:val="center"/>
              <w:ind w:left="48"/>
              <w:spacing w:after="0"/>
              <w:rPr>
                <w:sz w:val="20"/>
                <w:szCs w:val="20"/>
                <w:color w:val="auto"/>
              </w:rPr>
            </w:pPr>
            <w:r>
              <w:rPr>
                <w:rFonts w:ascii="Arial" w:cs="Arial" w:eastAsia="Arial" w:hAnsi="Arial"/>
                <w:sz w:val="14"/>
                <w:szCs w:val="14"/>
                <w:b w:val="1"/>
                <w:bCs w:val="1"/>
                <w:color w:val="auto"/>
                <w:w w:val="96"/>
              </w:rPr>
              <w:t>No</w:t>
            </w:r>
          </w:p>
        </w:tc>
        <w:tc>
          <w:tcPr>
            <w:tcW w:w="540" w:type="dxa"/>
            <w:vAlign w:val="bottom"/>
          </w:tcPr>
          <w:p>
            <w:pPr>
              <w:spacing w:after="0"/>
              <w:rPr>
                <w:sz w:val="18"/>
                <w:szCs w:val="18"/>
                <w:color w:val="auto"/>
              </w:rPr>
            </w:pPr>
          </w:p>
        </w:tc>
      </w:tr>
    </w:tbl>
    <w:p>
      <w:pPr>
        <w:spacing w:after="0" w:line="34" w:lineRule="exact"/>
        <w:rPr>
          <w:sz w:val="20"/>
          <w:szCs w:val="20"/>
          <w:color w:val="auto"/>
        </w:rPr>
      </w:pPr>
    </w:p>
    <w:p>
      <w:pPr>
        <w:ind w:left="300" w:right="340"/>
        <w:spacing w:after="0" w:line="253"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82" w:lineRule="exact"/>
        <w:rPr>
          <w:sz w:val="20"/>
          <w:szCs w:val="20"/>
          <w:color w:val="auto"/>
        </w:rPr>
      </w:pPr>
    </w:p>
    <w:p>
      <w:pPr>
        <w:ind w:left="400"/>
        <w:spacing w:after="0"/>
        <w:tabs>
          <w:tab w:leader="none" w:pos="4640" w:val="left"/>
          <w:tab w:leader="none" w:pos="5900" w:val="left"/>
          <w:tab w:leader="none" w:pos="103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 for the Special Meeting:</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Proxy Statement and the 2021 Annual Report on Form 10-K are available at www.proxypush.com/PX.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2388870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Meeting of Stockholders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Friday, December 9, 2022 at 9:30 a.m., local time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11" w:lineRule="exact"/>
        <w:rPr>
          <w:sz w:val="20"/>
          <w:szCs w:val="20"/>
          <w:color w:val="auto"/>
        </w:rPr>
      </w:pPr>
    </w:p>
    <w:p>
      <w:pPr>
        <w:ind w:left="340"/>
        <w:spacing w:after="0" w:line="275" w:lineRule="auto"/>
        <w:rPr>
          <w:sz w:val="20"/>
          <w:szCs w:val="20"/>
          <w:color w:val="auto"/>
        </w:rPr>
      </w:pPr>
      <w:r>
        <w:rPr>
          <w:rFonts w:ascii="Arial" w:cs="Arial" w:eastAsia="Arial" w:hAnsi="Arial"/>
          <w:sz w:val="17"/>
          <w:szCs w:val="17"/>
          <w:color w:val="auto"/>
        </w:rPr>
        <w:t>The undersigned hereby appoints Robert Alpert and C. Clark Webb, and each of them, with power to act without the other and with power of substitution, as proxies and attorneys-in-fact and hereby authorizes them to represent and vote, as provided on the other side, all the shares of P10, Inc. Common Stock which the undersigned is entitled to vote, and, in their discretion, to vote upon such other business as may properly come before the 2022 Special Meeting of Stockholders of the Company to be held Friday, December 9, 2022, or at any adjournment or postponement thereof, with all powers which the undersigned would possess if present at the Annual Meeting.</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PROXY WILL BE VOTED AS DIRECTED, OR IF NO DIRECTION IS INDICATED, WILL BE VOTED “FOR” PROPOSAL 1.</w:t>
      </w:r>
    </w:p>
    <w:p>
      <w:pPr>
        <w:spacing w:after="0" w:line="229"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In their discretion, the proxies are authorized to vote upon such other business as may properly come before the Special Meeting or any adjournment thereof.</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Address Changes/Comments: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1909445</wp:posOffset>
            </wp:positionH>
            <wp:positionV relativeFrom="paragraph">
              <wp:posOffset>-7620</wp:posOffset>
            </wp:positionV>
            <wp:extent cx="39700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970020" cy="8255"/>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128905</wp:posOffset>
            </wp:positionV>
            <wp:extent cx="12852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5240" cy="8255"/>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266065</wp:posOffset>
            </wp:positionV>
            <wp:extent cx="11709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70940" cy="8890"/>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994410</wp:posOffset>
            </wp:positionV>
            <wp:extent cx="6655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55435" cy="8890"/>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1131570</wp:posOffset>
            </wp:positionV>
            <wp:extent cx="2286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1268730</wp:posOffset>
            </wp:positionV>
            <wp:extent cx="11709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20"/>
      </w:cols>
      <w:pgMar w:left="320" w:top="45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Letter"/>
      <w:start w:val="3"/>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3"/>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4"/>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Roman"/>
      <w:start w:val="11"/>
    </w:lvl>
  </w:abstractNum>
  <w:abstractNum w:abstractNumId="20">
    <w:nsid w:val="3A95F874"/>
    <w:multiLevelType w:val="hybridMultilevel"/>
    <w:lvl w:ilvl="0">
      <w:lvlJc w:val="left"/>
      <w:lvlText w:val="(%1)"/>
      <w:numFmt w:val="lowerRoman"/>
      <w:start w:val="13"/>
    </w:lvl>
  </w:abstractNum>
  <w:abstractNum w:abstractNumId="21">
    <w:nsid w:val="8138641"/>
    <w:multiLevelType w:val="hybridMultilevel"/>
    <w:lvl w:ilvl="0">
      <w:lvlJc w:val="left"/>
      <w:lvlText w:val="(%1)"/>
      <w:numFmt w:val="lowerRoman"/>
      <w:start w:val="18"/>
    </w:lvl>
  </w:abstractNum>
  <w:abstractNum w:abstractNumId="22">
    <w:nsid w:val="1E7FF521"/>
    <w:multiLevelType w:val="hybridMultilevel"/>
    <w:lvl w:ilvl="0">
      <w:lvlJc w:val="left"/>
      <w:lvlText w:val="(%1)"/>
      <w:numFmt w:val="lowerLetter"/>
      <w:start w:val="7"/>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2"/>
    </w:lvl>
  </w:abstractNum>
  <w:abstractNum w:abstractNumId="26">
    <w:nsid w:val="22221A70"/>
    <w:multiLevelType w:val="hybridMultilevel"/>
    <w:lvl w:ilvl="0">
      <w:lvlJc w:val="left"/>
      <w:lvlText w:val="(%1)"/>
      <w:numFmt w:val="lowerLetter"/>
      <w:start w:val="1"/>
    </w:lvl>
    <w:lvl w:ilvl="1">
      <w:lvlJc w:val="left"/>
      <w:lvlText w:val="(%2)"/>
      <w:numFmt w:val="lowerRoman"/>
      <w:start w:val="1"/>
    </w:lvl>
  </w:abstractNum>
  <w:abstractNum w:abstractNumId="27">
    <w:nsid w:val="4516DDE9"/>
    <w:multiLevelType w:val="hybridMultilevel"/>
    <w:lvl w:ilvl="0">
      <w:lvlJc w:val="left"/>
      <w:lvlText w:val="(%1)"/>
      <w:numFmt w:val="lowerLetter"/>
      <w:start w:val="4"/>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2"/>
    </w:lvl>
  </w:abstractNum>
  <w:abstractNum w:abstractNumId="31">
    <w:nsid w:val="5577F8E1"/>
    <w:multiLevelType w:val="hybridMultilevel"/>
    <w:lvl w:ilvl="0">
      <w:lvlJc w:val="left"/>
      <w:lvlText w:val="(%1)"/>
      <w:numFmt w:val="lowerLetter"/>
      <w:start w:val="4"/>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1"/>
    </w:lvl>
    <w:lvl w:ilvl="1">
      <w:lvlJc w:val="left"/>
      <w:lvlText w:val="(%2)"/>
      <w:numFmt w:val="lowerLetter"/>
      <w:start w:val="4"/>
    </w:lvl>
  </w:abstractNum>
  <w:abstractNum w:abstractNumId="34">
    <w:nsid w:val="3804823E"/>
    <w:multiLevelType w:val="hybridMultilevel"/>
    <w:lvl w:ilvl="0">
      <w:lvlJc w:val="left"/>
      <w:lvlText w:val="(%1)"/>
      <w:numFmt w:val="lowerLetter"/>
      <w:start w:val="35"/>
    </w:lvl>
    <w:lvl w:ilvl="1">
      <w:lvlJc w:val="left"/>
      <w:lvlText w:val="(%2)"/>
      <w:numFmt w:val="lowerLetter"/>
      <w:start w:val="5"/>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lowerLetter"/>
      <w:start w:val="1"/>
    </w:lvl>
    <w:lvl w:ilvl="1">
      <w:lvlJc w:val="left"/>
      <w:lvlText w:val="(%2)"/>
      <w:numFmt w:val="lowerRoman"/>
      <w:start w:val="1"/>
    </w:lvl>
  </w:abstractNum>
  <w:abstractNum w:abstractNumId="37">
    <w:nsid w:val="5C482A9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2022-10-27T17:03:13Z</dcterms:created>
  <dcterms:modified xsi:type="dcterms:W3CDTF">2022-10-27T17:03:13Z</dcterms:modified>
</cp:coreProperties>
</file>