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64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640955"/>
                    </a:xfrm>
                    <a:prstGeom prst="rect">
                      <a:avLst/>
                    </a:prstGeom>
                    <a:noFill/>
                  </pic:spPr>
                </pic:pic>
              </a:graphicData>
            </a:graphic>
          </wp:anchor>
        </w:drawing>
      </w:r>
    </w:p>
    <w:p>
      <w:pPr>
        <w:spacing w:after="0" w:line="96" w:lineRule="exact"/>
        <w:rPr>
          <w:sz w:val="24"/>
          <w:szCs w:val="24"/>
          <w:color w:val="auto"/>
        </w:rPr>
      </w:pPr>
    </w:p>
    <w:p>
      <w:pPr>
        <w:sectPr>
          <w:pgSz w:w="11900" w:h="16842"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PINKERTON JOSEPH F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2128 W. BRAKER LANE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B12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05/14/2004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Chairman, CEO, President</w:t>
      </w:r>
    </w:p>
    <w:p>
      <w:pPr>
        <w:spacing w:after="0" w:line="409" w:lineRule="exact"/>
        <w:rPr>
          <w:sz w:val="24"/>
          <w:szCs w:val="24"/>
          <w:color w:val="auto"/>
        </w:rPr>
      </w:pPr>
    </w:p>
    <w:p>
      <w:pPr>
        <w:sectPr>
          <w:pgSz w:w="11900" w:h="16842" w:orient="portrait"/>
          <w:cols w:equalWidth="0" w:num="3">
            <w:col w:w="3360" w:space="720"/>
            <w:col w:w="3257" w:space="720"/>
            <w:col w:w="3363"/>
          </w:cols>
          <w:pgMar w:left="240" w:top="226" w:right="239" w:bottom="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AUSTIN</w:t>
            </w:r>
          </w:p>
        </w:tc>
        <w:tc>
          <w:tcPr>
            <w:tcW w:w="1160" w:type="dxa"/>
            <w:vAlign w:val="bottom"/>
          </w:tcPr>
          <w:p>
            <w:pPr>
              <w:ind w:left="3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78758</w:t>
            </w: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42" w:orient="portrait"/>
          <w:cols w:equalWidth="0" w:num="2">
            <w:col w:w="3920" w:space="160"/>
            <w:col w:w="73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jc w:val="center"/>
              <w:ind w:left="266"/>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0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266"/>
              <w:spacing w:after="0"/>
              <w:rPr>
                <w:sz w:val="20"/>
                <w:szCs w:val="20"/>
                <w:color w:val="auto"/>
              </w:rPr>
            </w:pPr>
            <w:r>
              <w:rPr>
                <w:rFonts w:ascii="Arial" w:cs="Arial" w:eastAsia="Arial" w:hAnsi="Arial"/>
                <w:sz w:val="18"/>
                <w:szCs w:val="18"/>
                <w:color w:val="0000FF"/>
                <w:w w:val="88"/>
              </w:rPr>
              <w:t>05/14/2004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60"/>
              <w:spacing w:after="0"/>
              <w:rPr>
                <w:sz w:val="20"/>
                <w:szCs w:val="20"/>
                <w:color w:val="auto"/>
              </w:rPr>
            </w:pPr>
            <w:r>
              <w:rPr>
                <w:rFonts w:ascii="Arial" w:cs="Arial" w:eastAsia="Arial" w:hAnsi="Arial"/>
                <w:sz w:val="27"/>
                <w:szCs w:val="27"/>
                <w:color w:val="0000FF"/>
                <w:vertAlign w:val="subscript"/>
              </w:rPr>
              <w:t>G</w:t>
            </w:r>
            <w:r>
              <w:rPr>
                <w:rFonts w:ascii="Arial" w:cs="Arial" w:eastAsia="Arial" w:hAnsi="Arial"/>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37,500</w:t>
            </w:r>
          </w:p>
        </w:tc>
        <w:tc>
          <w:tcPr>
            <w:tcW w:w="48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tcPr>
          <w:p>
            <w:pPr>
              <w:jc w:val="right"/>
              <w:ind w:right="12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4,196,601</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8"/>
                <w:szCs w:val="18"/>
                <w:color w:val="0000FF"/>
                <w:w w:val="91"/>
              </w:rPr>
              <w:t>D</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266"/>
              <w:spacing w:after="0"/>
              <w:rPr>
                <w:sz w:val="20"/>
                <w:szCs w:val="20"/>
                <w:color w:val="auto"/>
              </w:rPr>
            </w:pPr>
            <w:r>
              <w:rPr>
                <w:rFonts w:ascii="Arial" w:cs="Arial" w:eastAsia="Arial" w:hAnsi="Arial"/>
                <w:sz w:val="18"/>
                <w:szCs w:val="18"/>
                <w:color w:val="0000FF"/>
                <w:w w:val="88"/>
              </w:rPr>
              <w:t>05/14/2004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60"/>
              <w:spacing w:after="0"/>
              <w:rPr>
                <w:sz w:val="20"/>
                <w:szCs w:val="20"/>
                <w:color w:val="auto"/>
              </w:rPr>
            </w:pPr>
            <w:r>
              <w:rPr>
                <w:rFonts w:ascii="Arial" w:cs="Arial" w:eastAsia="Arial" w:hAnsi="Arial"/>
                <w:sz w:val="27"/>
                <w:szCs w:val="27"/>
                <w:color w:val="0000FF"/>
                <w:vertAlign w:val="subscript"/>
              </w:rPr>
              <w:t>G</w:t>
            </w:r>
            <w:r>
              <w:rPr>
                <w:rFonts w:ascii="Arial" w:cs="Arial" w:eastAsia="Arial" w:hAnsi="Arial"/>
                <w:sz w:val="11"/>
                <w:szCs w:val="11"/>
                <w:color w:val="008000"/>
              </w:rPr>
              <w:t>(2)</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3,712,500</w:t>
            </w:r>
          </w:p>
        </w:tc>
        <w:tc>
          <w:tcPr>
            <w:tcW w:w="48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tcPr>
          <w:p>
            <w:pPr>
              <w:jc w:val="right"/>
              <w:ind w:right="12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484,101</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8"/>
                <w:szCs w:val="18"/>
                <w:color w:val="0000FF"/>
                <w:w w:val="91"/>
              </w:rPr>
              <w:t>D</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CJP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40" w:type="dxa"/>
            <w:vAlign w:val="bottom"/>
            <w:gridSpan w:val="2"/>
          </w:tcPr>
          <w:p>
            <w:pPr>
              <w:jc w:val="center"/>
              <w:ind w:left="266"/>
              <w:spacing w:after="0"/>
              <w:rPr>
                <w:sz w:val="20"/>
                <w:szCs w:val="20"/>
                <w:color w:val="auto"/>
              </w:rPr>
            </w:pPr>
            <w:r>
              <w:rPr>
                <w:rFonts w:ascii="Arial" w:cs="Arial" w:eastAsia="Arial" w:hAnsi="Arial"/>
                <w:sz w:val="18"/>
                <w:szCs w:val="18"/>
                <w:color w:val="0000FF"/>
                <w:w w:val="88"/>
              </w:rPr>
              <w:t>05/14/2004</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ind w:left="60"/>
              <w:spacing w:after="0" w:line="216" w:lineRule="exact"/>
              <w:rPr>
                <w:sz w:val="20"/>
                <w:szCs w:val="20"/>
                <w:color w:val="auto"/>
              </w:rPr>
            </w:pPr>
            <w:r>
              <w:rPr>
                <w:rFonts w:ascii="Arial" w:cs="Arial" w:eastAsia="Arial" w:hAnsi="Arial"/>
                <w:sz w:val="25"/>
                <w:szCs w:val="25"/>
                <w:color w:val="0000FF"/>
                <w:vertAlign w:val="subscript"/>
              </w:rPr>
              <w:t>G</w:t>
            </w:r>
            <w:r>
              <w:rPr>
                <w:rFonts w:ascii="Arial" w:cs="Arial" w:eastAsia="Arial" w:hAnsi="Arial"/>
                <w:sz w:val="11"/>
                <w:szCs w:val="11"/>
                <w:color w:val="008000"/>
              </w:rPr>
              <w:t>(1)</w:t>
            </w:r>
          </w:p>
        </w:tc>
        <w:tc>
          <w:tcPr>
            <w:tcW w:w="820" w:type="dxa"/>
            <w:vAlign w:val="bottom"/>
          </w:tcPr>
          <w:p>
            <w:pPr>
              <w:jc w:val="center"/>
              <w:spacing w:after="0"/>
              <w:rPr>
                <w:sz w:val="20"/>
                <w:szCs w:val="20"/>
                <w:color w:val="auto"/>
              </w:rPr>
            </w:pPr>
            <w:r>
              <w:rPr>
                <w:rFonts w:ascii="Arial" w:cs="Arial" w:eastAsia="Arial" w:hAnsi="Arial"/>
                <w:sz w:val="18"/>
                <w:szCs w:val="18"/>
                <w:color w:val="0000FF"/>
                <w:w w:val="87"/>
              </w:rPr>
              <w:t>37,500</w:t>
            </w:r>
          </w:p>
        </w:tc>
        <w:tc>
          <w:tcPr>
            <w:tcW w:w="480" w:type="dxa"/>
            <w:vAlign w:val="bottom"/>
          </w:tcPr>
          <w:p>
            <w:pPr>
              <w:ind w:left="200"/>
              <w:spacing w:after="0"/>
              <w:rPr>
                <w:sz w:val="20"/>
                <w:szCs w:val="20"/>
                <w:color w:val="auto"/>
              </w:rPr>
            </w:pPr>
            <w:r>
              <w:rPr>
                <w:rFonts w:ascii="Arial" w:cs="Arial" w:eastAsia="Arial" w:hAnsi="Arial"/>
                <w:sz w:val="18"/>
                <w:szCs w:val="18"/>
                <w:color w:val="0000FF"/>
              </w:rPr>
              <w:t>A</w:t>
            </w:r>
          </w:p>
        </w:tc>
        <w:tc>
          <w:tcPr>
            <w:tcW w:w="620" w:type="dxa"/>
            <w:vAlign w:val="bottom"/>
          </w:tcPr>
          <w:p>
            <w:pPr>
              <w:jc w:val="right"/>
              <w:ind w:right="12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Pr>
          <w:p>
            <w:pPr>
              <w:spacing w:after="0"/>
              <w:rPr>
                <w:sz w:val="18"/>
                <w:szCs w:val="18"/>
                <w:color w:val="auto"/>
              </w:rPr>
            </w:pPr>
          </w:p>
        </w:tc>
        <w:tc>
          <w:tcPr>
            <w:tcW w:w="1240" w:type="dxa"/>
            <w:vAlign w:val="bottom"/>
            <w:gridSpan w:val="2"/>
          </w:tcPr>
          <w:p>
            <w:pPr>
              <w:jc w:val="center"/>
              <w:ind w:right="19"/>
              <w:spacing w:after="0"/>
              <w:rPr>
                <w:sz w:val="20"/>
                <w:szCs w:val="20"/>
                <w:color w:val="auto"/>
              </w:rPr>
            </w:pPr>
            <w:r>
              <w:rPr>
                <w:rFonts w:ascii="Arial" w:cs="Arial" w:eastAsia="Arial" w:hAnsi="Arial"/>
                <w:sz w:val="18"/>
                <w:szCs w:val="18"/>
                <w:color w:val="0000FF"/>
                <w:w w:val="87"/>
              </w:rPr>
              <w:t>37,500</w:t>
            </w:r>
          </w:p>
        </w:tc>
        <w:tc>
          <w:tcPr>
            <w:tcW w:w="300" w:type="dxa"/>
            <w:vAlign w:val="bottom"/>
          </w:tcPr>
          <w:p>
            <w:pPr>
              <w:spacing w:after="0"/>
              <w:rPr>
                <w:sz w:val="18"/>
                <w:szCs w:val="18"/>
                <w:color w:val="auto"/>
              </w:rPr>
            </w:pPr>
          </w:p>
        </w:tc>
        <w:tc>
          <w:tcPr>
            <w:tcW w:w="600" w:type="dxa"/>
            <w:vAlign w:val="bottom"/>
          </w:tcPr>
          <w:p>
            <w:pPr>
              <w:jc w:val="center"/>
              <w:ind w:right="311"/>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(3)</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4"/>
              </w:rPr>
              <w:t>Management,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540" w:type="dxa"/>
            <w:vAlign w:val="bottom"/>
            <w:gridSpan w:val="2"/>
            <w:vMerge w:val="restart"/>
          </w:tcPr>
          <w:p>
            <w:pPr>
              <w:jc w:val="center"/>
              <w:ind w:left="266"/>
              <w:spacing w:after="0"/>
              <w:rPr>
                <w:sz w:val="20"/>
                <w:szCs w:val="20"/>
                <w:color w:val="auto"/>
              </w:rPr>
            </w:pPr>
            <w:r>
              <w:rPr>
                <w:rFonts w:ascii="Arial" w:cs="Arial" w:eastAsia="Arial" w:hAnsi="Arial"/>
                <w:sz w:val="18"/>
                <w:szCs w:val="18"/>
                <w:color w:val="0000FF"/>
                <w:w w:val="88"/>
              </w:rPr>
              <w:t>05/14/2004</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G</w:t>
            </w:r>
            <w:r>
              <w:rPr>
                <w:rFonts w:ascii="Arial" w:cs="Arial" w:eastAsia="Arial" w:hAnsi="Arial"/>
                <w:sz w:val="11"/>
                <w:szCs w:val="11"/>
                <w:color w:val="008000"/>
              </w:rPr>
              <w:t>(2)</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7"/>
              </w:rPr>
              <w:t>3,712,500</w:t>
            </w:r>
          </w:p>
        </w:tc>
        <w:tc>
          <w:tcPr>
            <w:tcW w:w="480" w:type="dxa"/>
            <w:vAlign w:val="bottom"/>
            <w:vMerge w:val="restart"/>
          </w:tcPr>
          <w:p>
            <w:pPr>
              <w:ind w:left="200"/>
              <w:spacing w:after="0"/>
              <w:rPr>
                <w:sz w:val="20"/>
                <w:szCs w:val="20"/>
                <w:color w:val="auto"/>
              </w:rPr>
            </w:pPr>
            <w:r>
              <w:rPr>
                <w:rFonts w:ascii="Arial" w:cs="Arial" w:eastAsia="Arial" w:hAnsi="Arial"/>
                <w:sz w:val="18"/>
                <w:szCs w:val="18"/>
                <w:color w:val="0000FF"/>
              </w:rPr>
              <w:t>A</w:t>
            </w:r>
          </w:p>
        </w:tc>
        <w:tc>
          <w:tcPr>
            <w:tcW w:w="620" w:type="dxa"/>
            <w:vAlign w:val="bottom"/>
            <w:vMerge w:val="restart"/>
          </w:tcPr>
          <w:p>
            <w:pPr>
              <w:jc w:val="right"/>
              <w:ind w:right="12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3,712,500</w:t>
            </w:r>
          </w:p>
        </w:tc>
        <w:tc>
          <w:tcPr>
            <w:tcW w:w="300" w:type="dxa"/>
            <w:vAlign w:val="bottom"/>
          </w:tcPr>
          <w:p>
            <w:pPr>
              <w:spacing w:after="0"/>
              <w:rPr>
                <w:sz w:val="22"/>
                <w:szCs w:val="22"/>
                <w:color w:val="auto"/>
              </w:rPr>
            </w:pPr>
          </w:p>
        </w:tc>
        <w:tc>
          <w:tcPr>
            <w:tcW w:w="600" w:type="dxa"/>
            <w:vAlign w:val="bottom"/>
            <w:vMerge w:val="restart"/>
          </w:tcPr>
          <w:p>
            <w:pPr>
              <w:jc w:val="center"/>
              <w:ind w:right="311"/>
              <w:spacing w:after="0"/>
              <w:rPr>
                <w:sz w:val="20"/>
                <w:szCs w:val="20"/>
                <w:color w:val="auto"/>
              </w:rPr>
            </w:pPr>
            <w:r>
              <w:rPr>
                <w:rFonts w:ascii="Arial" w:cs="Arial" w:eastAsia="Arial" w:hAnsi="Arial"/>
                <w:sz w:val="35"/>
                <w:szCs w:val="35"/>
                <w:color w:val="0000FF"/>
                <w:w w:val="90"/>
                <w:vertAlign w:val="subscript"/>
              </w:rPr>
              <w:t>I</w:t>
            </w:r>
            <w:r>
              <w:rPr>
                <w:rFonts w:ascii="Arial" w:cs="Arial" w:eastAsia="Arial" w:hAnsi="Arial"/>
                <w:sz w:val="11"/>
                <w:szCs w:val="11"/>
                <w:color w:val="008000"/>
                <w:w w:val="90"/>
              </w:rPr>
              <w:t>(4)</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CJP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8"/>
                <w:szCs w:val="18"/>
                <w:color w:val="0000FF"/>
                <w:w w:val="96"/>
              </w:rPr>
              <w:t>Partners, Ltd.</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CJP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40" w:type="dxa"/>
            <w:vAlign w:val="bottom"/>
            <w:gridSpan w:val="2"/>
          </w:tcPr>
          <w:p>
            <w:pPr>
              <w:jc w:val="center"/>
              <w:ind w:left="266"/>
              <w:spacing w:after="0"/>
              <w:rPr>
                <w:sz w:val="20"/>
                <w:szCs w:val="20"/>
                <w:color w:val="auto"/>
              </w:rPr>
            </w:pPr>
            <w:r>
              <w:rPr>
                <w:rFonts w:ascii="Arial" w:cs="Arial" w:eastAsia="Arial" w:hAnsi="Arial"/>
                <w:sz w:val="18"/>
                <w:szCs w:val="18"/>
                <w:color w:val="0000FF"/>
                <w:w w:val="88"/>
              </w:rPr>
              <w:t>05/14/2004</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ind w:left="60"/>
              <w:spacing w:after="0" w:line="216" w:lineRule="exact"/>
              <w:rPr>
                <w:sz w:val="20"/>
                <w:szCs w:val="20"/>
                <w:color w:val="auto"/>
              </w:rPr>
            </w:pPr>
            <w:r>
              <w:rPr>
                <w:rFonts w:ascii="Arial" w:cs="Arial" w:eastAsia="Arial" w:hAnsi="Arial"/>
                <w:sz w:val="25"/>
                <w:szCs w:val="25"/>
                <w:color w:val="0000FF"/>
                <w:vertAlign w:val="subscript"/>
              </w:rPr>
              <w:t>G</w:t>
            </w:r>
            <w:r>
              <w:rPr>
                <w:rFonts w:ascii="Arial" w:cs="Arial" w:eastAsia="Arial" w:hAnsi="Arial"/>
                <w:sz w:val="11"/>
                <w:szCs w:val="11"/>
                <w:color w:val="008000"/>
              </w:rPr>
              <w:t>(2)</w:t>
            </w:r>
          </w:p>
        </w:tc>
        <w:tc>
          <w:tcPr>
            <w:tcW w:w="820" w:type="dxa"/>
            <w:vAlign w:val="bottom"/>
          </w:tcPr>
          <w:p>
            <w:pPr>
              <w:jc w:val="center"/>
              <w:spacing w:after="0"/>
              <w:rPr>
                <w:sz w:val="20"/>
                <w:szCs w:val="20"/>
                <w:color w:val="auto"/>
              </w:rPr>
            </w:pPr>
            <w:r>
              <w:rPr>
                <w:rFonts w:ascii="Arial" w:cs="Arial" w:eastAsia="Arial" w:hAnsi="Arial"/>
                <w:sz w:val="18"/>
                <w:szCs w:val="18"/>
                <w:color w:val="0000FF"/>
                <w:w w:val="87"/>
              </w:rPr>
              <w:t>37,500</w:t>
            </w:r>
          </w:p>
        </w:tc>
        <w:tc>
          <w:tcPr>
            <w:tcW w:w="480" w:type="dxa"/>
            <w:vAlign w:val="bottom"/>
          </w:tcPr>
          <w:p>
            <w:pPr>
              <w:ind w:left="200"/>
              <w:spacing w:after="0"/>
              <w:rPr>
                <w:sz w:val="20"/>
                <w:szCs w:val="20"/>
                <w:color w:val="auto"/>
              </w:rPr>
            </w:pPr>
            <w:r>
              <w:rPr>
                <w:rFonts w:ascii="Arial" w:cs="Arial" w:eastAsia="Arial" w:hAnsi="Arial"/>
                <w:sz w:val="18"/>
                <w:szCs w:val="18"/>
                <w:color w:val="0000FF"/>
              </w:rPr>
              <w:t>D</w:t>
            </w:r>
          </w:p>
        </w:tc>
        <w:tc>
          <w:tcPr>
            <w:tcW w:w="620" w:type="dxa"/>
            <w:vAlign w:val="bottom"/>
          </w:tcPr>
          <w:p>
            <w:pPr>
              <w:jc w:val="right"/>
              <w:ind w:right="12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Pr>
          <w:p>
            <w:pPr>
              <w:spacing w:after="0"/>
              <w:rPr>
                <w:sz w:val="18"/>
                <w:szCs w:val="18"/>
                <w:color w:val="auto"/>
              </w:rPr>
            </w:pPr>
          </w:p>
        </w:tc>
        <w:tc>
          <w:tcPr>
            <w:tcW w:w="760" w:type="dxa"/>
            <w:vAlign w:val="bottom"/>
          </w:tcPr>
          <w:p>
            <w:pPr>
              <w:jc w:val="center"/>
              <w:ind w:left="346"/>
              <w:spacing w:after="0"/>
              <w:rPr>
                <w:sz w:val="20"/>
                <w:szCs w:val="20"/>
                <w:color w:val="auto"/>
              </w:rPr>
            </w:pPr>
            <w:r>
              <w:rPr>
                <w:rFonts w:ascii="Arial" w:cs="Arial" w:eastAsia="Arial" w:hAnsi="Arial"/>
                <w:sz w:val="18"/>
                <w:szCs w:val="18"/>
                <w:color w:val="0000FF"/>
                <w:w w:val="99"/>
              </w:rPr>
              <w:t>0</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center"/>
              <w:ind w:right="311"/>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(3)</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4"/>
              </w:rPr>
              <w:t>Management,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540" w:type="dxa"/>
            <w:vAlign w:val="bottom"/>
            <w:gridSpan w:val="2"/>
            <w:vMerge w:val="restart"/>
          </w:tcPr>
          <w:p>
            <w:pPr>
              <w:jc w:val="center"/>
              <w:ind w:left="266"/>
              <w:spacing w:after="0"/>
              <w:rPr>
                <w:sz w:val="20"/>
                <w:szCs w:val="20"/>
                <w:color w:val="auto"/>
              </w:rPr>
            </w:pPr>
            <w:r>
              <w:rPr>
                <w:rFonts w:ascii="Arial" w:cs="Arial" w:eastAsia="Arial" w:hAnsi="Arial"/>
                <w:sz w:val="18"/>
                <w:szCs w:val="18"/>
                <w:color w:val="0000FF"/>
                <w:w w:val="88"/>
              </w:rPr>
              <w:t>05/14/2004</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G</w:t>
            </w:r>
            <w:r>
              <w:rPr>
                <w:rFonts w:ascii="Arial" w:cs="Arial" w:eastAsia="Arial" w:hAnsi="Arial"/>
                <w:sz w:val="11"/>
                <w:szCs w:val="11"/>
                <w:color w:val="008000"/>
              </w:rPr>
              <w:t>(2)</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7"/>
              </w:rPr>
              <w:t>37,500</w:t>
            </w:r>
          </w:p>
        </w:tc>
        <w:tc>
          <w:tcPr>
            <w:tcW w:w="480" w:type="dxa"/>
            <w:vAlign w:val="bottom"/>
            <w:vMerge w:val="restart"/>
          </w:tcPr>
          <w:p>
            <w:pPr>
              <w:ind w:left="200"/>
              <w:spacing w:after="0"/>
              <w:rPr>
                <w:sz w:val="20"/>
                <w:szCs w:val="20"/>
                <w:color w:val="auto"/>
              </w:rPr>
            </w:pPr>
            <w:r>
              <w:rPr>
                <w:rFonts w:ascii="Arial" w:cs="Arial" w:eastAsia="Arial" w:hAnsi="Arial"/>
                <w:sz w:val="18"/>
                <w:szCs w:val="18"/>
                <w:color w:val="0000FF"/>
              </w:rPr>
              <w:t>A</w:t>
            </w:r>
          </w:p>
        </w:tc>
        <w:tc>
          <w:tcPr>
            <w:tcW w:w="620" w:type="dxa"/>
            <w:vAlign w:val="bottom"/>
            <w:vMerge w:val="restart"/>
          </w:tcPr>
          <w:p>
            <w:pPr>
              <w:jc w:val="right"/>
              <w:ind w:right="12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3,750,000</w:t>
            </w:r>
          </w:p>
        </w:tc>
        <w:tc>
          <w:tcPr>
            <w:tcW w:w="300" w:type="dxa"/>
            <w:vAlign w:val="bottom"/>
          </w:tcPr>
          <w:p>
            <w:pPr>
              <w:spacing w:after="0"/>
              <w:rPr>
                <w:sz w:val="22"/>
                <w:szCs w:val="22"/>
                <w:color w:val="auto"/>
              </w:rPr>
            </w:pPr>
          </w:p>
        </w:tc>
        <w:tc>
          <w:tcPr>
            <w:tcW w:w="600" w:type="dxa"/>
            <w:vAlign w:val="bottom"/>
            <w:vMerge w:val="restart"/>
          </w:tcPr>
          <w:p>
            <w:pPr>
              <w:jc w:val="center"/>
              <w:ind w:right="311"/>
              <w:spacing w:after="0"/>
              <w:rPr>
                <w:sz w:val="20"/>
                <w:szCs w:val="20"/>
                <w:color w:val="auto"/>
              </w:rPr>
            </w:pPr>
            <w:r>
              <w:rPr>
                <w:rFonts w:ascii="Arial" w:cs="Arial" w:eastAsia="Arial" w:hAnsi="Arial"/>
                <w:sz w:val="35"/>
                <w:szCs w:val="35"/>
                <w:color w:val="0000FF"/>
                <w:w w:val="90"/>
                <w:vertAlign w:val="subscript"/>
              </w:rPr>
              <w:t>I</w:t>
            </w:r>
            <w:r>
              <w:rPr>
                <w:rFonts w:ascii="Arial" w:cs="Arial" w:eastAsia="Arial" w:hAnsi="Arial"/>
                <w:sz w:val="11"/>
                <w:szCs w:val="11"/>
                <w:color w:val="008000"/>
                <w:w w:val="90"/>
              </w:rPr>
              <w:t>(4)</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CJP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8"/>
                <w:szCs w:val="18"/>
                <w:color w:val="0000FF"/>
                <w:w w:val="96"/>
              </w:rPr>
              <w:t>Partners, Ltd.</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215,597</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11"/>
              <w:spacing w:after="0"/>
              <w:rPr>
                <w:sz w:val="20"/>
                <w:szCs w:val="20"/>
                <w:color w:val="auto"/>
              </w:rPr>
            </w:pPr>
            <w:r>
              <w:rPr>
                <w:rFonts w:ascii="Arial" w:cs="Arial" w:eastAsia="Arial" w:hAnsi="Arial"/>
                <w:sz w:val="18"/>
                <w:szCs w:val="18"/>
                <w:color w:val="0000FF"/>
              </w:rPr>
              <w:t>I</w:t>
            </w:r>
          </w:p>
        </w:tc>
        <w:tc>
          <w:tcPr>
            <w:tcW w:w="10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0000FF"/>
              </w:rPr>
              <w:t>By Trust</w:t>
            </w:r>
            <w:r>
              <w:rPr>
                <w:rFonts w:ascii="Arial" w:cs="Arial" w:eastAsia="Arial" w:hAnsi="Arial"/>
                <w:sz w:val="22"/>
                <w:szCs w:val="22"/>
                <w:color w:val="00800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215,597</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11"/>
              <w:spacing w:after="0"/>
              <w:rPr>
                <w:sz w:val="20"/>
                <w:szCs w:val="20"/>
                <w:color w:val="auto"/>
              </w:rPr>
            </w:pPr>
            <w:r>
              <w:rPr>
                <w:rFonts w:ascii="Arial" w:cs="Arial" w:eastAsia="Arial" w:hAnsi="Arial"/>
                <w:sz w:val="18"/>
                <w:szCs w:val="18"/>
                <w:color w:val="0000FF"/>
              </w:rPr>
              <w:t>I</w:t>
            </w:r>
          </w:p>
        </w:tc>
        <w:tc>
          <w:tcPr>
            <w:tcW w:w="10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0000FF"/>
              </w:rPr>
              <w:t>By Trust</w:t>
            </w:r>
            <w:r>
              <w:rPr>
                <w:rFonts w:ascii="Arial" w:cs="Arial" w:eastAsia="Arial" w:hAnsi="Arial"/>
                <w:sz w:val="22"/>
                <w:szCs w:val="22"/>
                <w:color w:val="008000"/>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250,000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11"/>
              <w:spacing w:after="0"/>
              <w:rPr>
                <w:sz w:val="20"/>
                <w:szCs w:val="20"/>
                <w:color w:val="auto"/>
              </w:rPr>
            </w:pPr>
            <w:r>
              <w:rPr>
                <w:rFonts w:ascii="Arial" w:cs="Arial" w:eastAsia="Arial" w:hAnsi="Arial"/>
                <w:sz w:val="18"/>
                <w:szCs w:val="18"/>
                <w:color w:val="0000FF"/>
              </w:rPr>
              <w:t>I</w:t>
            </w:r>
          </w:p>
        </w:tc>
        <w:tc>
          <w:tcPr>
            <w:tcW w:w="10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0000FF"/>
              </w:rPr>
              <w:t>By Trust</w:t>
            </w:r>
            <w:r>
              <w:rPr>
                <w:rFonts w:ascii="Arial" w:cs="Arial" w:eastAsia="Arial" w:hAnsi="Arial"/>
                <w:sz w:val="22"/>
                <w:szCs w:val="22"/>
                <w:color w:val="00800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250,000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11"/>
              <w:spacing w:after="0"/>
              <w:rPr>
                <w:sz w:val="20"/>
                <w:szCs w:val="20"/>
                <w:color w:val="auto"/>
              </w:rPr>
            </w:pPr>
            <w:r>
              <w:rPr>
                <w:rFonts w:ascii="Arial" w:cs="Arial" w:eastAsia="Arial" w:hAnsi="Arial"/>
                <w:sz w:val="18"/>
                <w:szCs w:val="18"/>
                <w:color w:val="0000FF"/>
              </w:rPr>
              <w:t>I</w:t>
            </w:r>
          </w:p>
        </w:tc>
        <w:tc>
          <w:tcPr>
            <w:tcW w:w="110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0000FF"/>
              </w:rPr>
              <w:t>By Trust</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Transfer of shares to CJP Management, L.L.C., a limited liability company of which Reporting Person and his spouse are co-general partners.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Transfer of shares to CJP Partners, Ltd., a limited partnership in which CJP Management, L.L.C. is the sole general partner and the Reporting Person and his spouse are the only limited partners.</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by CJP Management, L.L.C., a limited liability company of which Reporting Person and his spouse are co-general partners.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CJP Partners, Ltd., a limited partnership in which CJP Management, L.L.C. is the sole general partner and the Reporting Person and his spouse are the only limited partners.</w:t>
      </w:r>
    </w:p>
    <w:p>
      <w:pPr>
        <w:spacing w:after="0" w:line="64" w:lineRule="exact"/>
        <w:rPr>
          <w:rFonts w:ascii="Arial" w:cs="Arial" w:eastAsia="Arial" w:hAnsi="Arial"/>
          <w:sz w:val="12"/>
          <w:szCs w:val="12"/>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GRAT for Children for benefit of Reporting Person's minor children. Reporting person is trustee of the trust. Reporting person disclaims beneficial ownership of these securities, and this report shall not be deemed an admission that the reporting person is the beneficial owner of the shares for purposes of Section 16 or for any other purpose.</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GRAT for Children for benefit of Reporting Person's minor children. Reporting Person's spouse is trustee of the trust. Reporting person disclaims beneficial ownership of these securities, and this report shall not be deemed an admission that the reporting person is the beneficial owner of the shares for purposes of Section 16 or for any other purpose.</w:t>
      </w:r>
    </w:p>
    <w:tbl>
      <w:tblPr>
        <w:tblLayout w:type="fixed"/>
        <w:tblInd w:w="6860" w:type="dxa"/>
        <w:tblCellMar>
          <w:top w:w="0" w:type="dxa"/>
          <w:left w:w="0" w:type="dxa"/>
          <w:bottom w:w="0" w:type="dxa"/>
          <w:right w:w="0" w:type="dxa"/>
        </w:tblCellMar>
      </w:tblPr>
      <w:tr>
        <w:trPr>
          <w:trHeight w:val="199"/>
        </w:trPr>
        <w:tc>
          <w:tcPr>
            <w:tcW w:w="202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2"/>
              </w:rPr>
              <w:t>Michael Chibib (Attorney in</w:t>
            </w:r>
          </w:p>
        </w:tc>
        <w:tc>
          <w:tcPr>
            <w:tcW w:w="140" w:type="dxa"/>
            <w:vAlign w:val="bottom"/>
          </w:tcPr>
          <w:p>
            <w:pPr>
              <w:spacing w:after="0"/>
              <w:rPr>
                <w:sz w:val="17"/>
                <w:szCs w:val="17"/>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05/18/2004</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842"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1"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3466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2019-12-17T11:49:46Z</dcterms:created>
  <dcterms:modified xsi:type="dcterms:W3CDTF">2019-12-17T11:49:46Z</dcterms:modified>
</cp:coreProperties>
</file>