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px-20220331.htm"/>
      <w:bookmarkStart w:id="1" w:name="kspx20220331"/>
      <w:bookmarkEnd w:id="0"/>
      <w:bookmarkEnd w:id="1"/>
      <w:r>
        <w:rPr/>
        <w:t> </w:t>
      </w:r>
    </w:p>
    <w:p>
      <w:pPr>
        <w:pStyle w:val="TextBody"/>
        <w:pBdr>
          <w:top w:val="double" w:sz="6" w:space="1" w:color="000000"/>
        </w:pBdr>
        <w:spacing w:lineRule="auto" w:line="273" w:before="0" w:after="0"/>
        <w:jc w:val="left"/>
        <w:rPr/>
      </w:pPr>
      <w:r>
        <w:rPr/>
        <w:t> </w:t>
      </w:r>
    </w:p>
    <w:p>
      <w:pPr>
        <w:pStyle w:val="TextBody"/>
        <w:spacing w:lineRule="auto" w:line="273" w:before="0" w:after="0"/>
        <w:jc w:val="center"/>
        <w:rPr>
          <w:rFonts w:ascii="Times New Roman" w:hAnsi="Times New Roman"/>
          <w:b/>
          <w:sz w:val="28"/>
        </w:rPr>
      </w:pPr>
      <w:r>
        <w:rPr>
          <w:rFonts w:ascii="Times New Roman" w:hAnsi="Times New Roman"/>
          <w:b/>
          <w:sz w:val="28"/>
        </w:rPr>
        <w:t>UNITED STATES</w:t>
      </w:r>
    </w:p>
    <w:p>
      <w:pPr>
        <w:pStyle w:val="TextBody"/>
        <w:spacing w:lineRule="auto" w:line="273" w:before="0" w:after="0"/>
        <w:jc w:val="center"/>
        <w:rPr>
          <w:rFonts w:ascii="Times New Roman" w:hAnsi="Times New Roman"/>
          <w:b/>
          <w:sz w:val="28"/>
        </w:rPr>
      </w:pPr>
      <w:r>
        <w:rPr>
          <w:rFonts w:ascii="Times New Roman" w:hAnsi="Times New Roman"/>
          <w:b/>
          <w:sz w:val="28"/>
        </w:rPr>
        <w:t>SECURITIES AND EXCHANGE COMMISSION</w:t>
      </w:r>
    </w:p>
    <w:p>
      <w:pPr>
        <w:pStyle w:val="TextBody"/>
        <w:spacing w:lineRule="auto" w:line="273" w:before="0" w:after="0"/>
        <w:jc w:val="center"/>
        <w:rPr>
          <w:rFonts w:ascii="Times New Roman" w:hAnsi="Times New Roman"/>
          <w:b/>
          <w:sz w:val="20"/>
        </w:rPr>
      </w:pPr>
      <w:r>
        <w:rPr>
          <w:rFonts w:ascii="Times New Roman" w:hAnsi="Times New Roman"/>
          <w:b/>
          <w:sz w:val="20"/>
        </w:rPr>
        <w:t>WASHINGTON, DC 20549</w:t>
      </w:r>
    </w:p>
    <w:p>
      <w:pPr>
        <w:pStyle w:val="TextBody"/>
        <w:pBdr>
          <w:bottom w:val="single" w:sz="8" w:space="1" w:color="000000"/>
        </w:pBdr>
        <w:spacing w:lineRule="auto" w:line="273" w:before="0" w:after="0"/>
        <w:jc w:val="center"/>
        <w:rPr/>
      </w:pPr>
      <w:r>
        <w:rPr/>
        <w:t> </w:t>
      </w:r>
    </w:p>
    <w:p>
      <w:pPr>
        <w:pStyle w:val="TextBody"/>
        <w:spacing w:lineRule="auto" w:line="273" w:before="0" w:after="0"/>
        <w:jc w:val="center"/>
        <w:rPr>
          <w:rFonts w:ascii="Times New Roman" w:hAnsi="Times New Roman"/>
          <w:b/>
          <w:sz w:val="28"/>
        </w:rPr>
      </w:pPr>
      <w:r>
        <w:rPr>
          <w:rFonts w:ascii="Times New Roman" w:hAnsi="Times New Roman"/>
          <w:b/>
          <w:sz w:val="28"/>
        </w:rPr>
        <w:t>FORM 10-Q</w:t>
      </w:r>
    </w:p>
    <w:p>
      <w:pPr>
        <w:pStyle w:val="TextBody"/>
        <w:pBdr>
          <w:bottom w:val="single" w:sz="8" w:space="1" w:color="000000"/>
        </w:pBdr>
        <w:spacing w:lineRule="auto" w:line="273" w:before="0" w:after="0"/>
        <w:jc w:val="center"/>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(Mark One)</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4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QUARTERLY REPORT PURSUANT TO SECTION 13 OR 15(d) OF THE SECURITIES EXCHANGE ACT OF 1934</w:t>
            </w:r>
          </w:p>
        </w:tc>
      </w:tr>
    </w:tbl>
    <w:p>
      <w:pPr>
        <w:pStyle w:val="TextBody"/>
        <w:spacing w:lineRule="auto" w:line="273" w:before="0" w:after="0"/>
        <w:jc w:val="center"/>
        <w:rPr>
          <w:rFonts w:ascii="Times New Roman" w:hAnsi="Times New Roman"/>
          <w:b/>
          <w:sz w:val="20"/>
        </w:rPr>
      </w:pPr>
      <w:r>
        <w:rPr>
          <w:rFonts w:ascii="Times New Roman" w:hAnsi="Times New Roman"/>
          <w:b/>
          <w:sz w:val="20"/>
        </w:rPr>
        <w:t>For the three months ended March 31, 2022</w:t>
      </w:r>
    </w:p>
    <w:p>
      <w:pPr>
        <w:pStyle w:val="TextBody"/>
        <w:spacing w:lineRule="auto" w:line="273" w:before="0" w:after="0"/>
        <w:jc w:val="center"/>
        <w:rPr>
          <w:rFonts w:ascii="Times New Roman" w:hAnsi="Times New Roman"/>
          <w:b/>
          <w:sz w:val="20"/>
        </w:rPr>
      </w:pPr>
      <w:r>
        <w:rPr>
          <w:rFonts w:ascii="Times New Roman" w:hAnsi="Times New Roman"/>
          <w:b/>
          <w:sz w:val="20"/>
        </w:rPr>
        <w:t>OR</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42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TRANSITION REPORT PURSUANT TO SECTION 13 OR 15(d) OF THE SECURITIES EXCHANGE ACT OF 1934</w:t>
            </w:r>
          </w:p>
        </w:tc>
      </w:tr>
    </w:tbl>
    <w:p>
      <w:pPr>
        <w:pStyle w:val="TextBody"/>
        <w:spacing w:lineRule="auto" w:line="273" w:before="0" w:after="0"/>
        <w:jc w:val="center"/>
        <w:rPr>
          <w:rFonts w:ascii="Times New Roman" w:hAnsi="Times New Roman"/>
          <w:b/>
          <w:sz w:val="20"/>
        </w:rPr>
      </w:pPr>
      <w:r>
        <w:rPr>
          <w:rFonts w:ascii="Times New Roman" w:hAnsi="Times New Roman"/>
          <w:b/>
          <w:sz w:val="20"/>
        </w:rPr>
        <w:t>For the transition period from ____________________ to ____________________</w:t>
      </w:r>
    </w:p>
    <w:p>
      <w:pPr>
        <w:pStyle w:val="TextBody"/>
        <w:spacing w:lineRule="auto" w:line="273" w:before="0" w:after="0"/>
        <w:jc w:val="center"/>
        <w:rPr>
          <w:rFonts w:ascii="Times New Roman" w:hAnsi="Times New Roman"/>
          <w:b/>
          <w:sz w:val="20"/>
        </w:rPr>
      </w:pPr>
      <w:r>
        <w:rPr>
          <w:rFonts w:ascii="Times New Roman" w:hAnsi="Times New Roman"/>
          <w:b/>
          <w:sz w:val="20"/>
        </w:rPr>
        <w:t>Commission File Number: 001-40937</w:t>
      </w:r>
    </w:p>
    <w:p>
      <w:pPr>
        <w:pStyle w:val="TextBody"/>
        <w:pBdr>
          <w:bottom w:val="single" w:sz="8" w:space="1" w:color="000000"/>
        </w:pBdr>
        <w:spacing w:lineRule="auto" w:line="273" w:before="0" w:after="0"/>
        <w:jc w:val="center"/>
        <w:rPr/>
      </w:pPr>
      <w:r>
        <w:rPr/>
        <w:t> </w:t>
      </w:r>
    </w:p>
    <w:p>
      <w:pPr>
        <w:pStyle w:val="TextBody"/>
        <w:spacing w:lineRule="auto" w:line="273" w:before="0" w:after="0"/>
        <w:jc w:val="center"/>
        <w:rPr>
          <w:rFonts w:ascii="Times New Roman" w:hAnsi="Times New Roman"/>
          <w:b/>
          <w:sz w:val="40"/>
        </w:rPr>
      </w:pPr>
      <w:r>
        <w:rPr>
          <w:rFonts w:ascii="Times New Roman" w:hAnsi="Times New Roman"/>
          <w:b/>
          <w:sz w:val="40"/>
        </w:rPr>
        <w:t>P10, Inc.</w:t>
      </w:r>
    </w:p>
    <w:p>
      <w:pPr>
        <w:pStyle w:val="TextBody"/>
        <w:spacing w:lineRule="auto" w:line="273" w:before="0" w:after="0"/>
        <w:jc w:val="center"/>
        <w:rPr>
          <w:rFonts w:ascii="Times New Roman" w:hAnsi="Times New Roman"/>
          <w:b/>
          <w:sz w:val="16"/>
        </w:rPr>
      </w:pPr>
      <w:r>
        <w:rPr>
          <w:rFonts w:ascii="Times New Roman" w:hAnsi="Times New Roman"/>
          <w:b/>
          <w:sz w:val="16"/>
        </w:rPr>
        <w:t>(Exact Name of Registrant as Specified in its Charter)</w:t>
      </w:r>
    </w:p>
    <w:p>
      <w:pPr>
        <w:pStyle w:val="TextBody"/>
        <w:pBdr>
          <w:bottom w:val="single" w:sz="8" w:space="1" w:color="000000"/>
        </w:pBdr>
        <w:spacing w:lineRule="auto" w:line="273" w:before="0" w:after="0"/>
        <w:jc w:val="center"/>
        <w:rPr/>
      </w:pPr>
      <w:r>
        <w:rPr/>
        <w:t> </w:t>
      </w:r>
    </w:p>
    <w:p>
      <w:pPr>
        <w:pStyle w:val="TextBody"/>
        <w:spacing w:lineRule="auto" w:line="273" w:before="0" w:after="0"/>
        <w:jc w:val="left"/>
        <w:rPr/>
      </w:pPr>
      <w:r>
        <w:rPr/>
        <w:t> </w:t>
      </w:r>
    </w:p>
    <w:tbl>
      <w:tblPr>
        <w:tblW w:w="4412" w:type="dxa"/>
        <w:jc w:val="left"/>
        <w:tblInd w:w="0" w:type="dxa"/>
        <w:tblCellMar>
          <w:top w:w="28" w:type="dxa"/>
          <w:left w:w="28" w:type="dxa"/>
          <w:bottom w:w="28" w:type="dxa"/>
          <w:right w:w="28" w:type="dxa"/>
        </w:tblCellMar>
      </w:tblPr>
      <w:tblGrid>
        <w:gridCol w:w="2926"/>
        <w:gridCol w:w="1486"/>
      </w:tblGrid>
      <w:tr>
        <w:trPr/>
        <w:tc>
          <w:tcPr>
            <w:tcW w:w="292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Delaware</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87-2908160</w:t>
            </w:r>
          </w:p>
        </w:tc>
      </w:tr>
      <w:tr>
        <w:trPr/>
        <w:tc>
          <w:tcPr>
            <w:tcW w:w="29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State or other jurisdiction of</w:t>
            </w:r>
          </w:p>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incorporation or organization)</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(I.R.S. Employer</w:t>
              <w:br/>
              <w:t>Identification No.)</w:t>
            </w:r>
          </w:p>
        </w:tc>
      </w:tr>
      <w:tr>
        <w:trPr/>
        <w:tc>
          <w:tcPr>
            <w:tcW w:w="29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4514 Cole Ave, Suite 1600</w:t>
            </w:r>
          </w:p>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Dallas, TX</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75205</w:t>
            </w:r>
          </w:p>
        </w:tc>
      </w:tr>
      <w:tr>
        <w:trPr/>
        <w:tc>
          <w:tcPr>
            <w:tcW w:w="29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(Address of principal executive offices)</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(Zip Code)</w:t>
            </w:r>
          </w:p>
        </w:tc>
      </w:tr>
    </w:tbl>
    <w:p>
      <w:pPr>
        <w:pStyle w:val="TextBody"/>
        <w:spacing w:lineRule="auto" w:line="273" w:before="0" w:after="0"/>
        <w:jc w:val="center"/>
        <w:rPr>
          <w:rFonts w:ascii="Times New Roman" w:hAnsi="Times New Roman"/>
          <w:b/>
          <w:sz w:val="16"/>
        </w:rPr>
      </w:pPr>
      <w:r>
        <w:rPr>
          <w:rFonts w:ascii="Times New Roman" w:hAnsi="Times New Roman"/>
          <w:b/>
          <w:sz w:val="16"/>
        </w:rPr>
        <w:t>Registrant’s telephone number, including area code: (214) 865-7998</w:t>
      </w:r>
    </w:p>
    <w:p>
      <w:pPr>
        <w:pStyle w:val="TextBody"/>
        <w:pBdr>
          <w:bottom w:val="single" w:sz="8" w:space="1" w:color="000000"/>
        </w:pBdr>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6"/>
        </w:rPr>
        <w:t>Securities registered pursuant to Section 12(b) of the Act:</w:t>
      </w:r>
      <w:r>
        <w:rPr>
          <w:rFonts w:ascii="Times New Roman" w:hAnsi="Times New Roman"/>
          <w:sz w:val="20"/>
        </w:rPr>
        <w:t xml:space="preserve"> </w:t>
      </w:r>
    </w:p>
    <w:p>
      <w:pPr>
        <w:pStyle w:val="TextBody"/>
        <w:spacing w:lineRule="auto" w:line="273" w:before="0" w:after="0"/>
        <w:jc w:val="left"/>
        <w:rPr/>
      </w:pPr>
      <w:r>
        <w:rPr/>
        <w:t> </w:t>
      </w:r>
    </w:p>
    <w:tbl>
      <w:tblPr>
        <w:tblW w:w="8785" w:type="dxa"/>
        <w:jc w:val="left"/>
        <w:tblInd w:w="0" w:type="dxa"/>
        <w:tblCellMar>
          <w:top w:w="28" w:type="dxa"/>
          <w:left w:w="28" w:type="dxa"/>
          <w:bottom w:w="28" w:type="dxa"/>
          <w:right w:w="28" w:type="dxa"/>
        </w:tblCellMar>
      </w:tblPr>
      <w:tblGrid>
        <w:gridCol w:w="4351"/>
        <w:gridCol w:w="146"/>
        <w:gridCol w:w="826"/>
        <w:gridCol w:w="146"/>
        <w:gridCol w:w="3316"/>
      </w:tblGrid>
      <w:tr>
        <w:trPr/>
        <w:tc>
          <w:tcPr>
            <w:tcW w:w="4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435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Title of each class</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2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Trading</w:t>
            </w:r>
          </w:p>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Symbol(s)</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31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Name of each exchange on which registered</w:t>
            </w:r>
          </w:p>
        </w:tc>
      </w:tr>
      <w:tr>
        <w:trPr/>
        <w:tc>
          <w:tcPr>
            <w:tcW w:w="43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16"/>
              </w:rPr>
              <w:t>Class A Common Stock, $0.001 par value per share</w:t>
            </w:r>
            <w:r>
              <w:rPr>
                <w:rFonts w:ascii="Times New Roman" w:hAnsi="Times New Roman"/>
                <w:sz w:val="20"/>
              </w:rPr>
              <w:t xml:space="preserve"> </w:t>
            </w:r>
          </w:p>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Series A Junior Participating Preferred Stock Purchase Rights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8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PX</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3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NYSE</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 w:hAnsi="Times New Roman"/>
          <w:b w:val="false"/>
          <w:sz w:val="16"/>
        </w:rPr>
        <w:t xml:space="preserve">No </w:t>
      </w:r>
      <w:r>
        <w:rPr>
          <w:rFonts w:ascii="Times New Roman" w:hAnsi="Times New Roman"/>
          <w:sz w:val="20"/>
        </w:rPr>
        <w:t>☐</w:t>
      </w:r>
    </w:p>
    <w:p>
      <w:pPr>
        <w:pStyle w:val="TextBody"/>
        <w:spacing w:lineRule="auto" w:line="273" w:before="0" w:after="0"/>
        <w:jc w:val="left"/>
        <w:rPr>
          <w:rFonts w:ascii="Times New Roman" w:hAnsi="Times New Roman"/>
          <w:sz w:val="20"/>
        </w:rPr>
      </w:pPr>
      <w:r>
        <w:rPr>
          <w:rFonts w:ascii="Times New Roman" w:hAnsi="Times New Roman"/>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 w:hAnsi="Times New Roman"/>
          <w:b w:val="false"/>
          <w:sz w:val="16"/>
        </w:rPr>
        <w:t xml:space="preserve">No </w:t>
      </w:r>
      <w:r>
        <w:rPr>
          <w:rFonts w:ascii="Times New Roman" w:hAnsi="Times New Roman"/>
          <w:sz w:val="20"/>
        </w:rPr>
        <w:t>☐</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lineRule="auto" w:line="273" w:before="0" w:after="0"/>
        <w:jc w:val="left"/>
        <w:rPr/>
      </w:pPr>
      <w:r>
        <w:rPr/>
        <w:t> </w:t>
      </w:r>
    </w:p>
    <w:tbl>
      <w:tblPr>
        <w:tblW w:w="5167" w:type="dxa"/>
        <w:jc w:val="left"/>
        <w:tblInd w:w="0" w:type="dxa"/>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Large 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5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Non-accelerated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Smaller reporting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Emerging growth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lineRule="auto" w:line="273" w:before="0" w:after="0"/>
        <w:jc w:val="left"/>
        <w:rPr>
          <w:rFonts w:ascii="Times New Roman" w:hAnsi="Times New Roman"/>
          <w:sz w:val="20"/>
        </w:rPr>
      </w:pPr>
      <w:r>
        <w:rPr>
          <w:rFonts w:ascii="Times New Roman" w:hAnsi="Times New Roman"/>
          <w:b w:val="false"/>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6"/>
        </w:rPr>
        <w:t xml:space="preserve">Indicate by check mark whether the Registrant is a shell company (as defined in Rule 12b-2 of the Exchange Act). </w:t>
      </w:r>
      <w:r>
        <w:rPr>
          <w:rFonts w:ascii="Times New Roman" w:hAnsi="Times New Roman"/>
          <w:b w:val="false"/>
          <w:caps/>
          <w:sz w:val="16"/>
        </w:rPr>
        <w:t xml:space="preserve">Yes </w:t>
      </w:r>
      <w:r>
        <w:rPr>
          <w:rFonts w:ascii="Times New Roman" w:hAnsi="Times New Roman"/>
          <w:sz w:val="20"/>
        </w:rPr>
        <w:t xml:space="preserve">☐ </w:t>
      </w:r>
      <w:r>
        <w:rPr>
          <w:rFonts w:ascii="Times New Roman" w:hAnsi="Times New Roman"/>
          <w:b w:val="false"/>
          <w:caps/>
          <w:sz w:val="16"/>
        </w:rPr>
        <w:t>No</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6"/>
        </w:rPr>
        <w:t>As of May 9, 2022, there were 35,743,597</w:t>
      </w:r>
      <w:r>
        <w:rPr>
          <w:rFonts w:ascii="Times New Roman" w:hAnsi="Times New Roman"/>
          <w:sz w:val="20"/>
        </w:rPr>
        <w:t xml:space="preserve"> </w:t>
      </w:r>
      <w:r>
        <w:rPr>
          <w:rFonts w:ascii="Times New Roman" w:hAnsi="Times New Roman"/>
          <w:b w:val="false"/>
          <w:sz w:val="16"/>
        </w:rPr>
        <w:t>shares of the registrant's Class A common stock and 81,449,150</w:t>
      </w:r>
      <w:r>
        <w:rPr>
          <w:rFonts w:ascii="Times New Roman" w:hAnsi="Times New Roman"/>
          <w:sz w:val="20"/>
        </w:rPr>
        <w:t xml:space="preserve"> </w:t>
      </w:r>
      <w:r>
        <w:rPr>
          <w:rFonts w:ascii="Times New Roman" w:hAnsi="Times New Roman"/>
          <w:b w:val="false"/>
          <w:sz w:val="16"/>
        </w:rPr>
        <w:t>shares of the Registrant's Class B common stock, issued and outstanding.</w:t>
      </w:r>
    </w:p>
    <w:p>
      <w:pPr>
        <w:pStyle w:val="TextBody"/>
        <w:spacing w:lineRule="auto" w:line="273" w:before="0" w:after="0"/>
        <w:jc w:val="left"/>
        <w:rPr/>
      </w:pPr>
      <w:r>
        <w:rPr/>
        <w:t> </w:t>
      </w:r>
    </w:p>
    <w:p>
      <w:pPr>
        <w:pStyle w:val="TextBody"/>
        <w:pBdr>
          <w:bottom w:val="double" w:sz="6" w:space="1" w:color="000000"/>
        </w:pBdr>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2" w:name="toc_page"/>
      <w:bookmarkEnd w:id="2"/>
      <w:r>
        <w:rPr>
          <w:rFonts w:ascii="Times New Roman" w:hAnsi="Times New Roman"/>
          <w:b/>
          <w:sz w:val="20"/>
        </w:rPr>
        <w:t>Table of Contents</w:t>
      </w:r>
    </w:p>
    <w:p>
      <w:pPr>
        <w:pStyle w:val="TextBody"/>
        <w:spacing w:lineRule="auto" w:line="273" w:before="0" w:after="0"/>
        <w:jc w:val="left"/>
        <w:rPr/>
      </w:pPr>
      <w:r>
        <w:rPr/>
        <w:t> </w:t>
      </w:r>
    </w:p>
    <w:tbl>
      <w:tblPr>
        <w:tblW w:w="8823" w:type="dxa"/>
        <w:jc w:val="left"/>
        <w:tblInd w:w="0" w:type="dxa"/>
        <w:tblCellMar>
          <w:top w:w="28" w:type="dxa"/>
          <w:left w:w="28" w:type="dxa"/>
          <w:bottom w:w="28" w:type="dxa"/>
          <w:right w:w="28" w:type="dxa"/>
        </w:tblCellMar>
      </w:tblPr>
      <w:tblGrid>
        <w:gridCol w:w="976"/>
        <w:gridCol w:w="7336"/>
        <w:gridCol w:w="511"/>
      </w:tblGrid>
      <w:tr>
        <w:trPr/>
        <w:tc>
          <w:tcPr>
            <w:tcW w:w="976" w:type="dxa"/>
            <w:tcBorders/>
            <w:shd w:fill="auto" w:val="clear"/>
            <w:vAlign w:val="center"/>
          </w:tcPr>
          <w:p>
            <w:pPr>
              <w:pStyle w:val="TableContents"/>
              <w:spacing w:before="0" w:after="283"/>
              <w:rPr>
                <w:sz w:val="4"/>
                <w:szCs w:val="4"/>
              </w:rPr>
            </w:pPr>
            <w:r>
              <w:rPr>
                <w:sz w:val="4"/>
                <w:szCs w:val="4"/>
              </w:rPr>
            </w:r>
          </w:p>
        </w:tc>
        <w:tc>
          <w:tcPr>
            <w:tcW w:w="733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Page</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FINANCIAL INFORMATION</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solidated_balance_sheets">
              <w:r>
                <w:rPr>
                  <w:rStyle w:val="InternetLink"/>
                  <w:rFonts w:ascii="Times New Roman" w:hAnsi="Times New Roman"/>
                  <w:b w:val="false"/>
                  <w:sz w:val="20"/>
                  <w:u w:val="single"/>
                </w:rPr>
                <w:t>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solidated_balance_sheets">
              <w:r>
                <w:rPr>
                  <w:rStyle w:val="InternetLink"/>
                  <w:rFonts w:ascii="Times New Roman" w:hAnsi="Times New Roman"/>
                  <w:b w:val="false"/>
                  <w:sz w:val="20"/>
                  <w:u w:val="single"/>
                </w:rPr>
                <w:t>Consolidated Balance Sheets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solidated_statements_of_operations">
              <w:r>
                <w:rPr>
                  <w:rStyle w:val="InternetLink"/>
                  <w:rFonts w:ascii="Times New Roman" w:hAnsi="Times New Roman"/>
                  <w:b w:val="false"/>
                  <w:sz w:val="20"/>
                  <w:u w:val="single"/>
                </w:rPr>
                <w:t>Consolidated Statements of Operations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solidated_statements_of_changes_in_st">
              <w:r>
                <w:rPr>
                  <w:rStyle w:val="InternetLink"/>
                  <w:rFonts w:ascii="Times New Roman" w:hAnsi="Times New Roman"/>
                  <w:b w:val="false"/>
                  <w:sz w:val="20"/>
                  <w:u w:val="single"/>
                </w:rPr>
                <w:t>Consolidated Statements of Changes in Stockholders' Equity</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solidated_statements_of_cash_flows">
              <w:r>
                <w:rPr>
                  <w:rStyle w:val="InternetLink"/>
                  <w:rFonts w:ascii="Times New Roman" w:hAnsi="Times New Roman"/>
                  <w:b w:val="false"/>
                  <w:sz w:val="20"/>
                  <w:u w:val="single"/>
                </w:rPr>
                <w:t>Consolidated Statements of Cash Flows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notes_to_fs">
              <w:r>
                <w:rPr>
                  <w:rStyle w:val="InternetLink"/>
                  <w:rFonts w:ascii="Times New Roman" w:hAnsi="Times New Roman"/>
                  <w:b w:val="false"/>
                  <w:sz w:val="20"/>
                  <w:u w:val="single"/>
                </w:rPr>
                <w:t>Notes to Unaudited Consolidated Financial Statements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mda">
              <w:r>
                <w:rPr>
                  <w:rStyle w:val="InternetLink"/>
                  <w:rFonts w:ascii="Times New Roman" w:hAnsi="Times New Roman"/>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7a_qual_quan">
              <w:r>
                <w:rPr>
                  <w:rStyle w:val="InternetLink"/>
                  <w:rFonts w:ascii="Times New Roman" w:hAnsi="Times New Roman"/>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trols_and_procedures">
              <w:r>
                <w:rPr>
                  <w:rStyle w:val="InternetLink"/>
                  <w:rFonts w:ascii="Times New Roman" w:hAnsi="Times New Roman"/>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part_2">
              <w:r>
                <w:rPr>
                  <w:rStyle w:val="InternetLink"/>
                  <w:rFonts w:ascii="Times New Roman" w:hAnsi="Times New Roman"/>
                  <w:b/>
                  <w:sz w:val="20"/>
                  <w:u w:val="single"/>
                </w:rPr>
                <w:t>PART II</w:t>
              </w:r>
            </w:hyperlink>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OTHER INFORMATION</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5_legal_proceedings">
              <w:r>
                <w:rPr>
                  <w:rStyle w:val="InternetLink"/>
                  <w:rFonts w:ascii="Times New Roman" w:hAnsi="Times New Roman"/>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1A.</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6_risk_factors">
              <w:r>
                <w:rPr>
                  <w:rStyle w:val="InternetLink"/>
                  <w:rFonts w:ascii="Times New Roman" w:hAnsi="Times New Roman"/>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7_unregistered_sale">
              <w:r>
                <w:rPr>
                  <w:rStyle w:val="InternetLink"/>
                  <w:rFonts w:ascii="Times New Roman" w:hAnsi="Times New Roman"/>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7a_default">
              <w:r>
                <w:rPr>
                  <w:rStyle w:val="InternetLink"/>
                  <w:rFonts w:ascii="Times New Roman" w:hAnsi="Times New Roman"/>
                  <w:b w:val="false"/>
                  <w:sz w:val="20"/>
                  <w:u w:val="single"/>
                </w:rPr>
                <w:t>Defaults Upon Senior Securities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8_mine_safety">
              <w:r>
                <w:rPr>
                  <w:rStyle w:val="InternetLink"/>
                  <w:rFonts w:ascii="Times New Roman" w:hAnsi="Times New Roman"/>
                  <w:b w:val="false"/>
                  <w:sz w:val="20"/>
                  <w:u w:val="single"/>
                </w:rPr>
                <w:t>Mine Safety Disclosures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5.</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9_other_info">
              <w:r>
                <w:rPr>
                  <w:rStyle w:val="InternetLink"/>
                  <w:rFonts w:ascii="Times New Roman" w:hAnsi="Times New Roman"/>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6.</w:t>
            </w:r>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6a_exhibits">
              <w:r>
                <w:rPr>
                  <w:rStyle w:val="InternetLink"/>
                  <w:rFonts w:ascii="Times New Roman" w:hAnsi="Times New Roman"/>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w:t>
            </w:r>
          </w:p>
        </w:tc>
      </w:tr>
      <w:tr>
        <w:trPr/>
        <w:tc>
          <w:tcPr>
            <w:tcW w:w="9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val="false"/>
                  <w:sz w:val="20"/>
                  <w:u w:val="single"/>
                </w:rPr>
                <w:t>Signatures</w:t>
              </w:r>
            </w:hyperlink>
          </w:p>
        </w:tc>
        <w:tc>
          <w:tcPr>
            <w:tcW w:w="7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PART I - FINANCIAL INFORMATION</w:t>
      </w:r>
    </w:p>
    <w:p>
      <w:pPr>
        <w:pStyle w:val="TextBody"/>
        <w:spacing w:lineRule="auto" w:line="273" w:before="0" w:after="0"/>
        <w:jc w:val="left"/>
        <w:rPr>
          <w:rFonts w:ascii="Times New Roman" w:hAnsi="Times New Roman"/>
          <w:b/>
          <w:sz w:val="20"/>
        </w:rPr>
      </w:pPr>
      <w:r>
        <w:rPr>
          <w:rFonts w:ascii="Times New Roman" w:hAnsi="Times New Roman"/>
          <w:b/>
          <w:sz w:val="20"/>
        </w:rPr>
        <w:t>Item 1. Financial Statements</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5" w:before="0" w:after="0"/>
        <w:jc w:val="center"/>
        <w:rPr>
          <w:rFonts w:ascii="Times New Roman" w:hAnsi="Times New Roman"/>
          <w:b w:val="false"/>
          <w:sz w:val="20"/>
        </w:rPr>
      </w:pPr>
      <w:bookmarkStart w:id="3" w:name="consolidated_bs"/>
      <w:bookmarkStart w:id="4" w:name="consolidated_balance_sheets"/>
      <w:bookmarkEnd w:id="3"/>
      <w:bookmarkEnd w:id="4"/>
      <w:r>
        <w:rPr>
          <w:rFonts w:ascii="Times New Roman" w:hAnsi="Times New Roman"/>
          <w:b w:val="false"/>
          <w:sz w:val="20"/>
        </w:rPr>
        <w:t>Consolidated Balance Sheets</w:t>
      </w:r>
    </w:p>
    <w:p>
      <w:pPr>
        <w:pStyle w:val="TextBody"/>
        <w:spacing w:lineRule="auto" w:line="295" w:before="0" w:after="0"/>
        <w:jc w:val="center"/>
        <w:rPr>
          <w:rFonts w:ascii="Times New Roman" w:hAnsi="Times New Roman"/>
          <w:b w:val="false"/>
          <w:i/>
          <w:sz w:val="20"/>
        </w:rPr>
      </w:pPr>
      <w:r>
        <w:rPr>
          <w:rFonts w:ascii="Times New Roman" w:hAnsi="Times New Roman"/>
          <w:b w:val="false"/>
          <w:i/>
          <w:sz w:val="20"/>
        </w:rPr>
        <w:t>(in thousands, except share amounts)</w:t>
      </w:r>
    </w:p>
    <w:p>
      <w:pPr>
        <w:pStyle w:val="TextBody"/>
        <w:spacing w:lineRule="auto" w:line="297" w:before="0" w:after="0"/>
        <w:jc w:val="center"/>
        <w:rPr/>
      </w:pPr>
      <w:r>
        <w:rPr/>
        <w:t> </w:t>
      </w:r>
    </w:p>
    <w:tbl>
      <w:tblPr>
        <w:tblW w:w="10205" w:type="dxa"/>
        <w:jc w:val="left"/>
        <w:tblInd w:w="0" w:type="dxa"/>
        <w:tblCellMar>
          <w:top w:w="28" w:type="dxa"/>
          <w:left w:w="28" w:type="dxa"/>
          <w:bottom w:w="28" w:type="dxa"/>
          <w:right w:w="28" w:type="dxa"/>
        </w:tblCellMar>
      </w:tblPr>
      <w:tblGrid>
        <w:gridCol w:w="7020"/>
        <w:gridCol w:w="146"/>
        <w:gridCol w:w="211"/>
        <w:gridCol w:w="841"/>
        <w:gridCol w:w="166"/>
        <w:gridCol w:w="146"/>
        <w:gridCol w:w="213"/>
        <w:gridCol w:w="850"/>
        <w:gridCol w:w="612"/>
      </w:tblGrid>
      <w:tr>
        <w:trPr/>
        <w:tc>
          <w:tcPr>
            <w:tcW w:w="70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r>
      <w:tr>
        <w:trPr/>
        <w:tc>
          <w:tcPr>
            <w:tcW w:w="7020"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63"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w:t>
            </w:r>
          </w:p>
        </w:tc>
        <w:tc>
          <w:tcPr>
            <w:tcW w:w="612" w:type="dxa"/>
            <w:tcBorders/>
            <w:shd w:fill="auto" w:val="clear"/>
            <w:vAlign w:val="center"/>
          </w:tcPr>
          <w:p>
            <w:pPr>
              <w:pStyle w:val="TableContents"/>
              <w:spacing w:lineRule="auto" w:line="252" w:before="0" w:after="0"/>
              <w:ind w:left="0" w:right="0" w:hanging="0"/>
              <w:jc w:val="center"/>
              <w:rPr/>
            </w:pPr>
            <w:r>
              <w:rPr/>
              <w:t> </w:t>
            </w:r>
          </w:p>
        </w:tc>
      </w:tr>
      <w:tr>
        <w:trPr/>
        <w:tc>
          <w:tcPr>
            <w:tcW w:w="7020"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63"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612" w:type="dxa"/>
            <w:tcBorders/>
            <w:shd w:fill="auto" w:val="clear"/>
            <w:vAlign w:val="center"/>
          </w:tcPr>
          <w:p>
            <w:pPr>
              <w:pStyle w:val="TableContents"/>
              <w:spacing w:lineRule="auto" w:line="252" w:before="0" w:after="0"/>
              <w:ind w:left="0" w:right="0" w:hanging="0"/>
              <w:jc w:val="center"/>
              <w:rPr/>
            </w:pPr>
            <w:r>
              <w:rPr/>
              <w:t> </w:t>
            </w:r>
          </w:p>
        </w:tc>
      </w:tr>
      <w:tr>
        <w:trPr/>
        <w:tc>
          <w:tcPr>
            <w:tcW w:w="7020"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6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6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7166" w:type="dxa"/>
            <w:gridSpan w:val="2"/>
            <w:tcBorders/>
            <w:shd w:fill="auto" w:val="clear"/>
            <w:vAlign w:val="center"/>
          </w:tcPr>
          <w:p>
            <w:pPr>
              <w:pStyle w:val="TableContents"/>
              <w:spacing w:lineRule="auto" w:line="252" w:before="0" w:after="0"/>
              <w:ind w:left="0" w:right="0" w:hanging="0"/>
              <w:jc w:val="center"/>
              <w:rPr/>
            </w:pPr>
            <w:r>
              <w:rPr/>
              <w:t> </w:t>
            </w:r>
          </w:p>
        </w:tc>
        <w:tc>
          <w:tcPr>
            <w:tcW w:w="105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(Unaudited)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63" w:type="dxa"/>
            <w:gridSpan w:val="2"/>
            <w:tcBorders/>
            <w:shd w:fill="auto" w:val="clear"/>
            <w:vAlign w:val="center"/>
          </w:tcPr>
          <w:p>
            <w:pPr>
              <w:pStyle w:val="TableContents"/>
              <w:spacing w:lineRule="auto" w:line="252" w:before="0" w:after="0"/>
              <w:ind w:left="0" w:right="0" w:hanging="0"/>
              <w:jc w:val="center"/>
              <w:rPr/>
            </w:pPr>
            <w:r>
              <w:rPr/>
              <w:t> </w:t>
            </w:r>
          </w:p>
        </w:tc>
        <w:tc>
          <w:tcPr>
            <w:tcW w:w="612" w:type="dxa"/>
            <w:tcBorders/>
            <w:shd w:fill="auto" w:val="clear"/>
            <w:vAlign w:val="center"/>
          </w:tcPr>
          <w:p>
            <w:pPr>
              <w:pStyle w:val="TableContents"/>
              <w:spacing w:lineRule="auto" w:line="252" w:before="0" w:after="0"/>
              <w:ind w:left="0" w:right="0" w:hanging="0"/>
              <w:jc w:val="center"/>
              <w:rPr/>
            </w:pPr>
            <w:r>
              <w:rPr/>
              <w:t> </w:t>
            </w:r>
          </w:p>
        </w:tc>
      </w:tr>
      <w:tr>
        <w:trPr/>
        <w:tc>
          <w:tcPr>
            <w:tcW w:w="7166" w:type="dxa"/>
            <w:gridSpan w:val="2"/>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ASSETS</w:t>
            </w:r>
          </w:p>
        </w:tc>
        <w:tc>
          <w:tcPr>
            <w:tcW w:w="1052"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3" w:type="dxa"/>
            <w:gridSpan w:val="2"/>
            <w:tcBorders/>
            <w:shd w:fill="auto" w:val="clear"/>
            <w:vAlign w:val="center"/>
          </w:tcPr>
          <w:p>
            <w:pPr>
              <w:pStyle w:val="TableContents"/>
              <w:spacing w:lineRule="auto" w:line="252" w:before="0" w:after="0"/>
              <w:ind w:left="0" w:right="0" w:hanging="0"/>
              <w:jc w:val="left"/>
              <w:rPr/>
            </w:pPr>
            <w:r>
              <w:rPr/>
              <w:t> </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23,655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40,916</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2,017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2,566</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Accounts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2,602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2,087</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Note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2,552</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Due from related parties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18,871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13,124</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Investment in unconsolidated subsidiaries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1,803</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Prepaid expenses and 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4,055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4,759</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1,149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981</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14,193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14,789</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Deferred tax assets,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42,847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45,151</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Intangibles,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122,642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128,788</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Goodwill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418,690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418,701</w:t>
            </w:r>
          </w:p>
        </w:tc>
        <w:tc>
          <w:tcPr>
            <w:tcW w:w="6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7020"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655,528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676,217</w:t>
            </w:r>
          </w:p>
        </w:tc>
        <w:tc>
          <w:tcPr>
            <w:tcW w:w="6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66" w:type="dxa"/>
            <w:gridSpan w:val="2"/>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LIABILITIES AND STOCKHOLDERS' EQUITY</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063" w:type="dxa"/>
            <w:gridSpan w:val="2"/>
            <w:tcBorders/>
            <w:shd w:fill="auto" w:val="clear"/>
            <w:vAlign w:val="center"/>
          </w:tcPr>
          <w:p>
            <w:pPr>
              <w:pStyle w:val="TableContents"/>
              <w:spacing w:lineRule="auto" w:line="252" w:before="0" w:after="0"/>
              <w:ind w:left="0" w:right="0" w:hanging="0"/>
              <w:jc w:val="right"/>
              <w:rPr/>
            </w:pPr>
            <w:r>
              <w:rPr/>
              <w:t> </w:t>
            </w:r>
          </w:p>
        </w:tc>
        <w:tc>
          <w:tcPr>
            <w:tcW w:w="612" w:type="dxa"/>
            <w:tcBorders/>
            <w:shd w:fill="auto" w:val="clear"/>
            <w:vAlign w:val="center"/>
          </w:tcPr>
          <w:p>
            <w:pPr>
              <w:pStyle w:val="TableContents"/>
              <w:spacing w:lineRule="auto" w:line="252" w:before="0" w:after="0"/>
              <w:ind w:left="0" w:right="0" w:hanging="0"/>
              <w:jc w:val="right"/>
              <w:rPr/>
            </w:pPr>
            <w:r>
              <w:rPr/>
              <w:t> </w:t>
            </w:r>
          </w:p>
        </w:tc>
      </w:tr>
      <w:tr>
        <w:trPr/>
        <w:tc>
          <w:tcPr>
            <w:tcW w:w="702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063" w:type="dxa"/>
            <w:gridSpan w:val="2"/>
            <w:tcBorders/>
            <w:shd w:fill="auto" w:val="clear"/>
            <w:vAlign w:val="center"/>
          </w:tcPr>
          <w:p>
            <w:pPr>
              <w:pStyle w:val="TableContents"/>
              <w:spacing w:lineRule="auto" w:line="252" w:before="0" w:after="0"/>
              <w:ind w:left="0" w:right="0" w:hanging="0"/>
              <w:jc w:val="right"/>
              <w:rPr/>
            </w:pPr>
            <w:r>
              <w:rPr/>
              <w:t> </w:t>
            </w:r>
          </w:p>
        </w:tc>
        <w:tc>
          <w:tcPr>
            <w:tcW w:w="612" w:type="dxa"/>
            <w:tcBorders/>
            <w:shd w:fill="auto" w:val="clear"/>
            <w:vAlign w:val="center"/>
          </w:tcPr>
          <w:p>
            <w:pPr>
              <w:pStyle w:val="TableContents"/>
              <w:spacing w:lineRule="auto" w:line="252" w:before="0" w:after="0"/>
              <w:ind w:left="0" w:right="0" w:firstLine="200"/>
              <w:jc w:val="righ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401</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10,714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12,474</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Due to related parties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2,258</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13,727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1,808</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23,090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22,963</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Deferred revenues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12,953</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15,296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15,700</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Debt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187,690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212,496</w:t>
            </w:r>
          </w:p>
        </w:tc>
        <w:tc>
          <w:tcPr>
            <w:tcW w:w="6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7020"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left"/>
              <w:rPr/>
            </w:pPr>
            <w:r>
              <w:rPr/>
              <w:t> </w:t>
            </w:r>
          </w:p>
        </w:tc>
        <w:tc>
          <w:tcPr>
            <w:tcW w:w="841"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263,593</w:t>
            </w:r>
          </w:p>
        </w:tc>
        <w:tc>
          <w:tcPr>
            <w:tcW w:w="166"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281,053</w:t>
            </w:r>
          </w:p>
        </w:tc>
        <w:tc>
          <w:tcPr>
            <w:tcW w:w="612" w:type="dxa"/>
            <w:tcBorders/>
            <w:shd w:fill="auto" w:val="clear"/>
            <w:vAlign w:val="center"/>
          </w:tcPr>
          <w:p>
            <w:pPr>
              <w:pStyle w:val="TableContents"/>
              <w:spacing w:lineRule="auto" w:line="252" w:before="0" w:after="0"/>
              <w:ind w:left="0" w:right="0" w:hanging="0"/>
              <w:jc w:val="left"/>
              <w:rPr/>
            </w:pPr>
            <w:r>
              <w:rPr/>
              <w:t> </w:t>
            </w:r>
          </w:p>
        </w:tc>
      </w:tr>
      <w:tr>
        <w:trPr/>
        <w:tc>
          <w:tcPr>
            <w:tcW w:w="7020"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COMMITMENTS AND CONTINGENCIES (NOTE 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063" w:type="dxa"/>
            <w:gridSpan w:val="2"/>
            <w:tcBorders/>
            <w:shd w:fill="auto" w:val="clear"/>
            <w:vAlign w:val="center"/>
          </w:tcPr>
          <w:p>
            <w:pPr>
              <w:pStyle w:val="TableContents"/>
              <w:spacing w:lineRule="auto" w:line="252" w:before="0" w:after="0"/>
              <w:ind w:left="0" w:right="0" w:hanging="0"/>
              <w:jc w:val="right"/>
              <w:rPr/>
            </w:pPr>
            <w:r>
              <w:rPr/>
              <w:t> </w:t>
            </w:r>
          </w:p>
        </w:tc>
        <w:tc>
          <w:tcPr>
            <w:tcW w:w="612" w:type="dxa"/>
            <w:tcBorders/>
            <w:shd w:fill="auto" w:val="clear"/>
            <w:vAlign w:val="center"/>
          </w:tcPr>
          <w:p>
            <w:pPr>
              <w:pStyle w:val="TableContents"/>
              <w:spacing w:lineRule="auto" w:line="252" w:before="0" w:after="0"/>
              <w:ind w:left="0" w:right="0" w:hanging="0"/>
              <w:jc w:val="right"/>
              <w:rPr/>
            </w:pPr>
            <w:r>
              <w:rPr/>
              <w:t> </w:t>
            </w:r>
          </w:p>
        </w:tc>
      </w:tr>
      <w:tr>
        <w:trPr/>
        <w:tc>
          <w:tcPr>
            <w:tcW w:w="7020"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063" w:type="dxa"/>
            <w:gridSpan w:val="2"/>
            <w:tcBorders/>
            <w:shd w:fill="auto" w:val="clear"/>
            <w:vAlign w:val="center"/>
          </w:tcPr>
          <w:p>
            <w:pPr>
              <w:pStyle w:val="TableContents"/>
              <w:spacing w:lineRule="auto" w:line="252" w:before="0" w:after="0"/>
              <w:ind w:left="0" w:right="0" w:hanging="0"/>
              <w:jc w:val="right"/>
              <w:rPr/>
            </w:pPr>
            <w:r>
              <w:rPr/>
              <w:t> </w:t>
            </w:r>
          </w:p>
        </w:tc>
        <w:tc>
          <w:tcPr>
            <w:tcW w:w="612" w:type="dxa"/>
            <w:tcBorders/>
            <w:shd w:fill="auto" w:val="clear"/>
            <w:vAlign w:val="center"/>
          </w:tcPr>
          <w:p>
            <w:pPr>
              <w:pStyle w:val="TableContents"/>
              <w:spacing w:lineRule="auto" w:line="252" w:before="0" w:after="0"/>
              <w:ind w:left="0" w:right="0" w:firstLine="200"/>
              <w:jc w:val="righ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Class A common stock, $0.001</w:t>
            </w:r>
            <w:r>
              <w:rPr>
                <w:rFonts w:ascii="Times New Roman" w:hAnsi="Times New Roman"/>
                <w:sz w:val="20"/>
              </w:rPr>
              <w:t> </w:t>
            </w:r>
            <w:r>
              <w:rPr>
                <w:rFonts w:ascii="Times New Roman" w:hAnsi="Times New Roman"/>
                <w:b w:val="false"/>
                <w:sz w:val="20"/>
              </w:rPr>
              <w:t>par value; 510,000,000</w:t>
            </w:r>
            <w:r>
              <w:rPr>
                <w:rFonts w:ascii="Times New Roman" w:hAnsi="Times New Roman"/>
                <w:sz w:val="20"/>
              </w:rPr>
              <w:t> </w:t>
            </w:r>
            <w:r>
              <w:rPr>
                <w:rFonts w:ascii="Times New Roman" w:hAnsi="Times New Roman"/>
                <w:b w:val="false"/>
                <w:sz w:val="20"/>
              </w:rPr>
              <w:t>shares authorized; 35,686,073</w:t>
            </w:r>
            <w:r>
              <w:rPr>
                <w:rFonts w:ascii="Times New Roman" w:hAnsi="Times New Roman"/>
                <w:sz w:val="20"/>
              </w:rPr>
              <w:t>  </w:t>
            </w:r>
            <w:r>
              <w:rPr>
                <w:rFonts w:ascii="Times New Roman" w:hAnsi="Times New Roman"/>
                <w:b w:val="false"/>
                <w:sz w:val="20"/>
              </w:rPr>
              <w:t>issued and 35,686,073</w:t>
            </w:r>
            <w:r>
              <w:rPr>
                <w:rFonts w:ascii="Times New Roman" w:hAnsi="Times New Roman"/>
                <w:sz w:val="20"/>
              </w:rPr>
              <w:t> </w:t>
            </w:r>
            <w:r>
              <w:rPr>
                <w:rFonts w:ascii="Times New Roman" w:hAnsi="Times New Roman"/>
                <w:b w:val="false"/>
                <w:sz w:val="20"/>
              </w:rPr>
              <w:t>outstanding as of March 31, 2022, and 34,464,920</w:t>
            </w:r>
            <w:r>
              <w:rPr>
                <w:rFonts w:ascii="Times New Roman" w:hAnsi="Times New Roman"/>
                <w:sz w:val="20"/>
              </w:rPr>
              <w:t> </w:t>
            </w:r>
            <w:r>
              <w:rPr>
                <w:rFonts w:ascii="Times New Roman" w:hAnsi="Times New Roman"/>
                <w:b w:val="false"/>
                <w:sz w:val="20"/>
              </w:rPr>
              <w:t>issued and 34,464,920</w:t>
            </w:r>
            <w:r>
              <w:rPr>
                <w:rFonts w:ascii="Times New Roman" w:hAnsi="Times New Roman"/>
                <w:sz w:val="20"/>
              </w:rPr>
              <w:t> </w:t>
            </w:r>
            <w:r>
              <w:rPr>
                <w:rFonts w:ascii="Times New Roman" w:hAnsi="Times New Roman"/>
                <w:b w:val="false"/>
                <w:sz w:val="20"/>
              </w:rPr>
              <w:t>outstanding December 31, 2021,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Class B common stock, $0.001</w:t>
            </w:r>
            <w:r>
              <w:rPr>
                <w:rFonts w:ascii="Times New Roman" w:hAnsi="Times New Roman"/>
                <w:sz w:val="20"/>
              </w:rPr>
              <w:t> </w:t>
            </w:r>
            <w:r>
              <w:rPr>
                <w:rFonts w:ascii="Times New Roman" w:hAnsi="Times New Roman"/>
                <w:b w:val="false"/>
                <w:sz w:val="20"/>
              </w:rPr>
              <w:t>par value; 180,000,000</w:t>
            </w:r>
            <w:r>
              <w:rPr>
                <w:rFonts w:ascii="Times New Roman" w:hAnsi="Times New Roman"/>
                <w:sz w:val="20"/>
              </w:rPr>
              <w:t> </w:t>
            </w:r>
            <w:r>
              <w:rPr>
                <w:rFonts w:ascii="Times New Roman" w:hAnsi="Times New Roman"/>
                <w:b w:val="false"/>
                <w:sz w:val="20"/>
              </w:rPr>
              <w:t>shares authorized; 81,630,126</w:t>
            </w:r>
            <w:r>
              <w:rPr>
                <w:rFonts w:ascii="Times New Roman" w:hAnsi="Times New Roman"/>
                <w:sz w:val="20"/>
              </w:rPr>
              <w:t> </w:t>
            </w:r>
            <w:r>
              <w:rPr>
                <w:rFonts w:ascii="Times New Roman" w:hAnsi="Times New Roman"/>
                <w:b w:val="false"/>
                <w:sz w:val="20"/>
              </w:rPr>
              <w:t>shares issued and 81,506,674</w:t>
            </w:r>
            <w:r>
              <w:rPr>
                <w:rFonts w:ascii="Times New Roman" w:hAnsi="Times New Roman"/>
                <w:sz w:val="20"/>
              </w:rPr>
              <w:t> </w:t>
            </w:r>
            <w:r>
              <w:rPr>
                <w:rFonts w:ascii="Times New Roman" w:hAnsi="Times New Roman"/>
                <w:b w:val="false"/>
                <w:sz w:val="20"/>
              </w:rPr>
              <w:t>shares outstanding as of March 31, 2022, 82,851,279</w:t>
            </w:r>
            <w:r>
              <w:rPr>
                <w:rFonts w:ascii="Times New Roman" w:hAnsi="Times New Roman"/>
                <w:sz w:val="20"/>
              </w:rPr>
              <w:t> </w:t>
            </w:r>
            <w:r>
              <w:rPr>
                <w:rFonts w:ascii="Times New Roman" w:hAnsi="Times New Roman"/>
                <w:b w:val="false"/>
                <w:sz w:val="20"/>
              </w:rPr>
              <w:t>shares issued and 82,727,827</w:t>
            </w:r>
            <w:r>
              <w:rPr>
                <w:rFonts w:ascii="Times New Roman" w:hAnsi="Times New Roman"/>
                <w:sz w:val="20"/>
              </w:rPr>
              <w:t> </w:t>
            </w:r>
            <w:r>
              <w:rPr>
                <w:rFonts w:ascii="Times New Roman" w:hAnsi="Times New Roman"/>
                <w:b w:val="false"/>
                <w:sz w:val="20"/>
              </w:rPr>
              <w:t>shares outstanding as of December 31, 2021,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Treasury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(273</w:t>
            </w:r>
          </w:p>
        </w:tc>
        <w:tc>
          <w:tcPr>
            <w:tcW w:w="612"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Additional paid-in-capital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639,384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8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650,405</w:t>
            </w:r>
          </w:p>
        </w:tc>
        <w:tc>
          <w:tcPr>
            <w:tcW w:w="612" w:type="dxa"/>
            <w:tcBorders/>
            <w:shd w:fill="auto" w:val="clear"/>
            <w:vAlign w:val="center"/>
          </w:tcPr>
          <w:p>
            <w:pPr>
              <w:pStyle w:val="TableContents"/>
              <w:spacing w:lineRule="auto" w:line="252" w:before="0" w:after="0"/>
              <w:ind w:left="0" w:right="0" w:firstLine="200"/>
              <w:jc w:val="left"/>
              <w:rPr/>
            </w:pPr>
            <w:r>
              <w:rPr/>
              <w:t> </w:t>
            </w:r>
          </w:p>
        </w:tc>
      </w:tr>
      <w:tr>
        <w:trPr/>
        <w:tc>
          <w:tcPr>
            <w:tcW w:w="7020"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(247,293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(255,085</w:t>
            </w:r>
          </w:p>
        </w:tc>
        <w:tc>
          <w:tcPr>
            <w:tcW w:w="6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7020"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391,935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395,164</w:t>
            </w:r>
          </w:p>
        </w:tc>
        <w:tc>
          <w:tcPr>
            <w:tcW w:w="6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020"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TOTAL 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655,528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676,217</w:t>
            </w:r>
          </w:p>
        </w:tc>
        <w:tc>
          <w:tcPr>
            <w:tcW w:w="6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97" w:before="0" w:after="16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Notes to Consolidated Financial Statements are an integral part of these statements.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bookmarkStart w:id="5" w:name="consolidated_statements_of_operations"/>
      <w:bookmarkEnd w:id="5"/>
      <w:r>
        <w:rPr>
          <w:rFonts w:ascii="Times New Roman" w:hAnsi="Times New Roman"/>
          <w:b w:val="false"/>
          <w:sz w:val="20"/>
        </w:rPr>
        <w:t>Consolidated Statements of Operations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in thousands except per share amounts)</w:t>
      </w:r>
    </w:p>
    <w:p>
      <w:pPr>
        <w:pStyle w:val="TextBody"/>
        <w:spacing w:lineRule="auto" w:line="297" w:before="0" w:after="0"/>
        <w:jc w:val="center"/>
        <w:rPr/>
      </w:pPr>
      <w:r>
        <w:rPr/>
        <w:t> </w:t>
      </w:r>
    </w:p>
    <w:tbl>
      <w:tblPr>
        <w:tblW w:w="7309" w:type="dxa"/>
        <w:jc w:val="left"/>
        <w:tblInd w:w="0" w:type="dxa"/>
        <w:tblCellMar>
          <w:top w:w="28" w:type="dxa"/>
          <w:left w:w="28" w:type="dxa"/>
          <w:bottom w:w="28" w:type="dxa"/>
          <w:right w:w="28" w:type="dxa"/>
        </w:tblCellMar>
      </w:tblPr>
      <w:tblGrid>
        <w:gridCol w:w="4381"/>
        <w:gridCol w:w="146"/>
        <w:gridCol w:w="211"/>
        <w:gridCol w:w="781"/>
        <w:gridCol w:w="166"/>
        <w:gridCol w:w="146"/>
        <w:gridCol w:w="211"/>
        <w:gridCol w:w="676"/>
        <w:gridCol w:w="591"/>
      </w:tblGrid>
      <w:tr>
        <w:trPr/>
        <w:tc>
          <w:tcPr>
            <w:tcW w:w="4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38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w:t>
              <w:br/>
              <w:t>Ended March 31,</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438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8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REVENUES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Management and advisory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43,027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32,573</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195</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438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revenues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43,281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32,768</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Compensation and benefits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18,494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11,936</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Professional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2,612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2,731</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administrative and 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4,112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2,037</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Contingent consideration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Amortization of intangibles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6,181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7,484</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Strategic alliance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438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31,678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24,216</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INCOME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11,603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8,552</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OTHER (EXPENSE)/INCOME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expense implied on notes payable to sellers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(215</w:t>
            </w:r>
          </w:p>
        </w:tc>
        <w:tc>
          <w:tcPr>
            <w:tcW w:w="59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(1,385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(5,255</w:t>
            </w:r>
          </w:p>
        </w:tc>
        <w:tc>
          <w:tcPr>
            <w:tcW w:w="59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288</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438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other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(5,182</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Net income before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3,370</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Income tax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(2,755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NET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7,792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2,709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 xml:space="preserve">Less: preferred dividends attributable to redeemable </w:t>
              <w:br/>
              <w:t>   noncontrolling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(494</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NET INCOME ATTRIBUTABLE TO P10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7,792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2,215</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hanging="0"/>
              <w:jc w:val="righ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Earnings per share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Basic earnings per share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0.03</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Diluted earnings per share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0.02</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 average shares outstanding, basic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117,193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62,465</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 average shares outstanding,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121,537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66,577</w:t>
            </w:r>
          </w:p>
        </w:tc>
        <w:tc>
          <w:tcPr>
            <w:tcW w:w="5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97" w:before="0" w:after="16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Notes to Consolidated Financial Statements are an integral part of these statements.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5" w:before="0" w:after="0"/>
        <w:jc w:val="center"/>
        <w:rPr>
          <w:rFonts w:ascii="Times New Roman" w:hAnsi="Times New Roman"/>
          <w:b w:val="false"/>
          <w:sz w:val="20"/>
        </w:rPr>
      </w:pPr>
      <w:bookmarkStart w:id="6" w:name="consolidated_statements_of_changes_in_st"/>
      <w:bookmarkEnd w:id="6"/>
      <w:r>
        <w:rPr>
          <w:rFonts w:ascii="Times New Roman" w:hAnsi="Times New Roman"/>
          <w:b w:val="false"/>
          <w:sz w:val="20"/>
        </w:rPr>
        <w:t>Consolidated Statements of Changes in Stockholders’ Equity</w:t>
      </w:r>
    </w:p>
    <w:p>
      <w:pPr>
        <w:pStyle w:val="TextBody"/>
        <w:spacing w:lineRule="auto" w:line="295" w:before="0" w:after="0"/>
        <w:jc w:val="center"/>
        <w:rPr>
          <w:rFonts w:ascii="Times New Roman" w:hAnsi="Times New Roman"/>
          <w:b w:val="false"/>
          <w:i/>
          <w:sz w:val="20"/>
        </w:rPr>
      </w:pPr>
      <w:r>
        <w:rPr>
          <w:rFonts w:ascii="Times New Roman" w:hAnsi="Times New Roman"/>
          <w:b w:val="false"/>
          <w:i/>
          <w:sz w:val="20"/>
        </w:rPr>
        <w:t>(Unaudited, in thousands)</w:t>
      </w:r>
    </w:p>
    <w:p>
      <w:pPr>
        <w:pStyle w:val="TextBody"/>
        <w:spacing w:lineRule="auto" w:line="273" w:before="0" w:after="0"/>
        <w:jc w:val="left"/>
        <w:rPr/>
      </w:pPr>
      <w:r>
        <w:rPr/>
        <w:t> </w:t>
      </w:r>
    </w:p>
    <w:tbl>
      <w:tblPr>
        <w:tblW w:w="11363" w:type="dxa"/>
        <w:jc w:val="left"/>
        <w:tblInd w:w="0" w:type="dxa"/>
        <w:tblCellMar>
          <w:top w:w="28" w:type="dxa"/>
          <w:left w:w="28" w:type="dxa"/>
          <w:bottom w:w="28" w:type="dxa"/>
          <w:right w:w="28" w:type="dxa"/>
        </w:tblCellMar>
      </w:tblPr>
      <w:tblGrid>
        <w:gridCol w:w="931"/>
        <w:gridCol w:w="146"/>
        <w:gridCol w:w="511"/>
        <w:gridCol w:w="146"/>
        <w:gridCol w:w="146"/>
        <w:gridCol w:w="196"/>
        <w:gridCol w:w="375"/>
        <w:gridCol w:w="146"/>
        <w:gridCol w:w="146"/>
        <w:gridCol w:w="146"/>
        <w:gridCol w:w="511"/>
        <w:gridCol w:w="146"/>
        <w:gridCol w:w="146"/>
        <w:gridCol w:w="196"/>
        <w:gridCol w:w="375"/>
        <w:gridCol w:w="146"/>
        <w:gridCol w:w="146"/>
        <w:gridCol w:w="146"/>
        <w:gridCol w:w="511"/>
        <w:gridCol w:w="151"/>
        <w:gridCol w:w="146"/>
        <w:gridCol w:w="196"/>
        <w:gridCol w:w="375"/>
        <w:gridCol w:w="151"/>
        <w:gridCol w:w="146"/>
        <w:gridCol w:w="151"/>
        <w:gridCol w:w="360"/>
        <w:gridCol w:w="146"/>
        <w:gridCol w:w="146"/>
        <w:gridCol w:w="185"/>
        <w:gridCol w:w="386"/>
        <w:gridCol w:w="151"/>
        <w:gridCol w:w="237"/>
        <w:gridCol w:w="769"/>
        <w:gridCol w:w="151"/>
        <w:gridCol w:w="194"/>
        <w:gridCol w:w="677"/>
        <w:gridCol w:w="151"/>
        <w:gridCol w:w="209"/>
        <w:gridCol w:w="677"/>
        <w:gridCol w:w="396"/>
      </w:tblGrid>
      <w:tr>
        <w:trPr/>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931"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006"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88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Total</w:t>
            </w:r>
          </w:p>
        </w:tc>
        <w:tc>
          <w:tcPr>
            <w:tcW w:w="396" w:type="dxa"/>
            <w:tcBorders/>
            <w:shd w:fill="auto" w:val="clear"/>
            <w:vAlign w:val="center"/>
          </w:tcPr>
          <w:p>
            <w:pPr>
              <w:pStyle w:val="TableContents"/>
              <w:spacing w:lineRule="auto" w:line="252" w:before="0" w:after="0"/>
              <w:ind w:left="0" w:right="0" w:hanging="0"/>
              <w:jc w:val="center"/>
              <w:rPr/>
            </w:pPr>
            <w:r>
              <w:rPr/>
              <w:t> </w:t>
            </w:r>
          </w:p>
        </w:tc>
      </w:tr>
      <w:tr>
        <w:trPr/>
        <w:tc>
          <w:tcPr>
            <w:tcW w:w="931" w:type="dxa"/>
            <w:tcBorders/>
            <w:shd w:fill="auto" w:val="clear"/>
            <w:vAlign w:val="center"/>
          </w:tcPr>
          <w:p>
            <w:pPr>
              <w:pStyle w:val="TableContents"/>
              <w:spacing w:lineRule="auto" w:line="252" w:before="0" w:after="0"/>
              <w:ind w:left="0" w:right="0" w:hanging="0"/>
              <w:jc w:val="center"/>
              <w:rPr/>
            </w:pPr>
            <w:r>
              <w:rPr/>
              <w:t> </w:t>
            </w:r>
          </w:p>
        </w:tc>
        <w:tc>
          <w:tcPr>
            <w:tcW w:w="152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2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Common Stock - Class A</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2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Common Stock - Class B</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74"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Treasury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0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Additional</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88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Stockholders'</w:t>
            </w:r>
          </w:p>
        </w:tc>
        <w:tc>
          <w:tcPr>
            <w:tcW w:w="396" w:type="dxa"/>
            <w:tcBorders/>
            <w:shd w:fill="auto" w:val="clear"/>
            <w:vAlign w:val="center"/>
          </w:tcPr>
          <w:p>
            <w:pPr>
              <w:pStyle w:val="TableContents"/>
              <w:spacing w:lineRule="auto" w:line="252" w:before="0" w:after="0"/>
              <w:ind w:left="0" w:right="0" w:hanging="0"/>
              <w:jc w:val="center"/>
              <w:rPr/>
            </w:pPr>
            <w:r>
              <w:rPr/>
              <w:t> </w:t>
            </w:r>
          </w:p>
        </w:tc>
      </w:tr>
      <w:tr>
        <w:trPr/>
        <w:tc>
          <w:tcPr>
            <w:tcW w:w="931"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Paid-in-capital</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Equity</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93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Balance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62,464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75"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6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8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(273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23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324,310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9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77"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(264,259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209"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77"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59,841</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3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237" w:type="dxa"/>
            <w:tcBorders/>
            <w:shd w:fill="auto" w:val="clear"/>
            <w:vAlign w:val="center"/>
          </w:tcPr>
          <w:p>
            <w:pPr>
              <w:pStyle w:val="TableContents"/>
              <w:spacing w:lineRule="auto" w:line="252" w:before="0" w:after="0"/>
              <w:ind w:left="0" w:right="0" w:hanging="0"/>
              <w:jc w:val="left"/>
              <w:rPr/>
            </w:pPr>
            <w:r>
              <w:rPr/>
              <w:t> </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424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94" w:type="dxa"/>
            <w:tcBorders/>
            <w:shd w:fill="auto" w:val="clear"/>
            <w:vAlign w:val="center"/>
          </w:tcPr>
          <w:p>
            <w:pPr>
              <w:pStyle w:val="TableContents"/>
              <w:spacing w:lineRule="auto" w:line="252" w:before="0" w:after="0"/>
              <w:ind w:left="0" w:right="0" w:hanging="0"/>
              <w:jc w:val="left"/>
              <w:rPr/>
            </w:pPr>
            <w:r>
              <w:rPr/>
              <w:t> </w:t>
            </w:r>
          </w:p>
        </w:tc>
        <w:tc>
          <w:tcPr>
            <w:tcW w:w="677"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677"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424</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3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Net income attributable to P10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2,215</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2,215</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93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Balance at March 31, 2021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62,464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(273</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23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7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324,734</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7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(262,044</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20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7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62,480</w:t>
            </w:r>
          </w:p>
        </w:tc>
        <w:tc>
          <w:tcPr>
            <w:tcW w:w="3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931"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006"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88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Total</w:t>
            </w:r>
          </w:p>
        </w:tc>
        <w:tc>
          <w:tcPr>
            <w:tcW w:w="396" w:type="dxa"/>
            <w:tcBorders/>
            <w:shd w:fill="auto" w:val="clear"/>
            <w:vAlign w:val="center"/>
          </w:tcPr>
          <w:p>
            <w:pPr>
              <w:pStyle w:val="TableContents"/>
              <w:spacing w:lineRule="auto" w:line="252" w:before="0" w:after="0"/>
              <w:ind w:left="0" w:right="0" w:hanging="0"/>
              <w:jc w:val="center"/>
              <w:rPr/>
            </w:pPr>
            <w:r>
              <w:rPr/>
              <w:t> </w:t>
            </w:r>
          </w:p>
        </w:tc>
      </w:tr>
      <w:tr>
        <w:trPr/>
        <w:tc>
          <w:tcPr>
            <w:tcW w:w="931" w:type="dxa"/>
            <w:tcBorders/>
            <w:shd w:fill="auto" w:val="clear"/>
            <w:vAlign w:val="center"/>
          </w:tcPr>
          <w:p>
            <w:pPr>
              <w:pStyle w:val="TableContents"/>
              <w:spacing w:lineRule="auto" w:line="252" w:before="0" w:after="0"/>
              <w:ind w:left="0" w:right="0" w:hanging="0"/>
              <w:jc w:val="center"/>
              <w:rPr/>
            </w:pPr>
            <w:r>
              <w:rPr/>
              <w:t> </w:t>
            </w:r>
          </w:p>
        </w:tc>
        <w:tc>
          <w:tcPr>
            <w:tcW w:w="152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2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Common Stock - Class A</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2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Common Stock - Class B</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74"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Treasury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0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Additional</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88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Stockholders'</w:t>
            </w:r>
          </w:p>
        </w:tc>
        <w:tc>
          <w:tcPr>
            <w:tcW w:w="396" w:type="dxa"/>
            <w:tcBorders/>
            <w:shd w:fill="auto" w:val="clear"/>
            <w:vAlign w:val="center"/>
          </w:tcPr>
          <w:p>
            <w:pPr>
              <w:pStyle w:val="TableContents"/>
              <w:spacing w:lineRule="auto" w:line="252" w:before="0" w:after="0"/>
              <w:ind w:left="0" w:right="0" w:hanging="0"/>
              <w:jc w:val="center"/>
              <w:rPr/>
            </w:pPr>
            <w:r>
              <w:rPr/>
              <w:t> </w:t>
            </w:r>
          </w:p>
        </w:tc>
      </w:tr>
      <w:tr>
        <w:trPr/>
        <w:tc>
          <w:tcPr>
            <w:tcW w:w="931"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Units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Units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Units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Paid-in-capital</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Equity</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93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Balance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34,464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75"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82,727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75"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83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6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8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(273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23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650,405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9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77"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(255,085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209"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77"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395,164</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3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237" w:type="dxa"/>
            <w:tcBorders/>
            <w:shd w:fill="auto" w:val="clear"/>
            <w:vAlign w:val="center"/>
          </w:tcPr>
          <w:p>
            <w:pPr>
              <w:pStyle w:val="TableContents"/>
              <w:spacing w:lineRule="auto" w:line="252" w:before="0" w:after="0"/>
              <w:ind w:left="0" w:right="0" w:hanging="0"/>
              <w:jc w:val="left"/>
              <w:rPr/>
            </w:pPr>
            <w:r>
              <w:rPr/>
              <w:t> </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1,515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94" w:type="dxa"/>
            <w:tcBorders/>
            <w:shd w:fill="auto" w:val="clear"/>
            <w:vAlign w:val="center"/>
          </w:tcPr>
          <w:p>
            <w:pPr>
              <w:pStyle w:val="TableContents"/>
              <w:spacing w:lineRule="auto" w:line="252" w:before="0" w:after="0"/>
              <w:ind w:left="0" w:right="0" w:hanging="0"/>
              <w:jc w:val="left"/>
              <w:rPr/>
            </w:pPr>
            <w:r>
              <w:rPr/>
              <w:t> </w:t>
            </w:r>
          </w:p>
        </w:tc>
        <w:tc>
          <w:tcPr>
            <w:tcW w:w="677"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677"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1,515</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3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Deferred offering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237" w:type="dxa"/>
            <w:tcBorders/>
            <w:shd w:fill="auto" w:val="clear"/>
            <w:vAlign w:val="center"/>
          </w:tcPr>
          <w:p>
            <w:pPr>
              <w:pStyle w:val="TableContents"/>
              <w:spacing w:lineRule="auto" w:line="252" w:before="0" w:after="0"/>
              <w:ind w:left="0" w:right="0" w:hanging="0"/>
              <w:jc w:val="left"/>
              <w:rPr/>
            </w:pPr>
            <w:r>
              <w:rPr/>
              <w:t> </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94" w:type="dxa"/>
            <w:tcBorders/>
            <w:shd w:fill="auto" w:val="clear"/>
            <w:vAlign w:val="center"/>
          </w:tcPr>
          <w:p>
            <w:pPr>
              <w:pStyle w:val="TableContents"/>
              <w:spacing w:lineRule="auto" w:line="252" w:before="0" w:after="0"/>
              <w:ind w:left="0" w:right="0" w:hanging="0"/>
              <w:jc w:val="left"/>
              <w:rPr/>
            </w:pPr>
            <w:r>
              <w:rPr/>
              <w:t> </w:t>
            </w:r>
          </w:p>
        </w:tc>
        <w:tc>
          <w:tcPr>
            <w:tcW w:w="677"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677"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(70</w:t>
            </w:r>
          </w:p>
        </w:tc>
        <w:tc>
          <w:tcPr>
            <w:tcW w:w="39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4"/>
              </w:rPr>
            </w:pPr>
            <w:r>
              <w:rPr>
                <w:rFonts w:ascii="Times New Roman" w:hAnsi="Times New Roman"/>
                <w:b w:val="false"/>
                <w:sz w:val="14"/>
              </w:rPr>
              <w:t>)</w:t>
            </w:r>
          </w:p>
        </w:tc>
      </w:tr>
      <w:tr>
        <w:trPr/>
        <w:tc>
          <w:tcPr>
            <w:tcW w:w="93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Net income attributable to P10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237" w:type="dxa"/>
            <w:tcBorders/>
            <w:shd w:fill="auto" w:val="clear"/>
            <w:vAlign w:val="center"/>
          </w:tcPr>
          <w:p>
            <w:pPr>
              <w:pStyle w:val="TableContents"/>
              <w:spacing w:lineRule="auto" w:line="252" w:before="0" w:after="0"/>
              <w:ind w:left="0" w:right="0" w:hanging="0"/>
              <w:jc w:val="left"/>
              <w:rPr/>
            </w:pPr>
            <w:r>
              <w:rPr/>
              <w:t> </w:t>
            </w:r>
          </w:p>
        </w:tc>
        <w:tc>
          <w:tcPr>
            <w:tcW w:w="76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94" w:type="dxa"/>
            <w:tcBorders/>
            <w:shd w:fill="auto" w:val="clear"/>
            <w:vAlign w:val="center"/>
          </w:tcPr>
          <w:p>
            <w:pPr>
              <w:pStyle w:val="TableContents"/>
              <w:spacing w:lineRule="auto" w:line="252" w:before="0" w:after="0"/>
              <w:ind w:left="0" w:right="0" w:hanging="0"/>
              <w:jc w:val="left"/>
              <w:rPr/>
            </w:pPr>
            <w:r>
              <w:rPr/>
              <w:t> </w:t>
            </w:r>
          </w:p>
        </w:tc>
        <w:tc>
          <w:tcPr>
            <w:tcW w:w="677"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7,792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677"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7,792</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3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Exchange of Class B common stock for Class A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(1,220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6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237" w:type="dxa"/>
            <w:tcBorders/>
            <w:shd w:fill="auto" w:val="clear"/>
            <w:vAlign w:val="center"/>
          </w:tcPr>
          <w:p>
            <w:pPr>
              <w:pStyle w:val="TableContents"/>
              <w:spacing w:lineRule="auto" w:line="252" w:before="0" w:after="0"/>
              <w:ind w:left="0" w:right="0" w:hanging="0"/>
              <w:jc w:val="left"/>
              <w:rPr/>
            </w:pPr>
            <w:r>
              <w:rPr/>
              <w:t> </w:t>
            </w:r>
          </w:p>
        </w:tc>
        <w:tc>
          <w:tcPr>
            <w:tcW w:w="76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94" w:type="dxa"/>
            <w:tcBorders/>
            <w:shd w:fill="auto" w:val="clear"/>
            <w:vAlign w:val="center"/>
          </w:tcPr>
          <w:p>
            <w:pPr>
              <w:pStyle w:val="TableContents"/>
              <w:spacing w:lineRule="auto" w:line="252" w:before="0" w:after="0"/>
              <w:ind w:left="0" w:right="0" w:hanging="0"/>
              <w:jc w:val="left"/>
              <w:rPr/>
            </w:pPr>
            <w:r>
              <w:rPr/>
              <w:t> </w:t>
            </w:r>
          </w:p>
        </w:tc>
        <w:tc>
          <w:tcPr>
            <w:tcW w:w="677"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677" w:type="dxa"/>
            <w:tcBorders/>
            <w:shd w:fill="auto" w:val="clear"/>
            <w:vAlign w:val="center"/>
          </w:tcPr>
          <w:p>
            <w:pPr>
              <w:pStyle w:val="TableContents"/>
              <w:spacing w:lineRule="auto" w:line="252" w:before="0" w:after="0"/>
              <w:ind w:left="0" w:right="0" w:hanging="0"/>
              <w:jc w:val="right"/>
              <w:rPr/>
            </w:pPr>
            <w:r>
              <w:rPr/>
              <w:t>—</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3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Settlement of stock options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(12,466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(12,466</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r>
      <w:tr>
        <w:trPr/>
        <w:tc>
          <w:tcPr>
            <w:tcW w:w="93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Balance at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35,686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81,507</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82</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(273</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23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7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639,384</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7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(247,293</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20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7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391,935</w:t>
            </w:r>
          </w:p>
        </w:tc>
        <w:tc>
          <w:tcPr>
            <w:tcW w:w="3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Notes to Consolidated Financial Statements are an integral part of these statements.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5" w:before="0" w:after="0"/>
        <w:jc w:val="center"/>
        <w:rPr>
          <w:rFonts w:ascii="Times New Roman" w:hAnsi="Times New Roman"/>
          <w:b w:val="false"/>
          <w:sz w:val="20"/>
        </w:rPr>
      </w:pPr>
      <w:bookmarkStart w:id="7" w:name="consolidated_statements_of_cash_flows"/>
      <w:bookmarkEnd w:id="7"/>
      <w:r>
        <w:rPr>
          <w:rFonts w:ascii="Times New Roman" w:hAnsi="Times New Roman"/>
          <w:b w:val="false"/>
          <w:sz w:val="20"/>
        </w:rPr>
        <w:t>Consolidated Statements of Cash Flows</w:t>
      </w:r>
    </w:p>
    <w:p>
      <w:pPr>
        <w:pStyle w:val="TextBody"/>
        <w:spacing w:lineRule="auto" w:line="295" w:before="0" w:after="0"/>
        <w:jc w:val="center"/>
        <w:rPr>
          <w:rFonts w:ascii="Times New Roman" w:hAnsi="Times New Roman"/>
          <w:b w:val="false"/>
          <w:i/>
          <w:sz w:val="20"/>
        </w:rPr>
      </w:pPr>
      <w:r>
        <w:rPr>
          <w:rFonts w:ascii="Times New Roman" w:hAnsi="Times New Roman"/>
          <w:b w:val="false"/>
          <w:i/>
          <w:sz w:val="20"/>
        </w:rPr>
        <w:t>(Unaudited, in thousands)</w:t>
      </w:r>
    </w:p>
    <w:p>
      <w:pPr>
        <w:pStyle w:val="TextBody"/>
        <w:spacing w:lineRule="auto" w:line="295" w:before="0" w:after="0"/>
        <w:jc w:val="center"/>
        <w:rPr/>
      </w:pPr>
      <w:r>
        <w:rPr/>
        <w:t> </w:t>
      </w:r>
    </w:p>
    <w:tbl>
      <w:tblPr>
        <w:tblW w:w="7054" w:type="dxa"/>
        <w:jc w:val="left"/>
        <w:tblInd w:w="0" w:type="dxa"/>
        <w:tblCellMar>
          <w:top w:w="28" w:type="dxa"/>
          <w:left w:w="28" w:type="dxa"/>
          <w:bottom w:w="28" w:type="dxa"/>
          <w:right w:w="28" w:type="dxa"/>
        </w:tblCellMar>
      </w:tblPr>
      <w:tblGrid>
        <w:gridCol w:w="4186"/>
        <w:gridCol w:w="146"/>
        <w:gridCol w:w="181"/>
        <w:gridCol w:w="556"/>
        <w:gridCol w:w="151"/>
        <w:gridCol w:w="146"/>
        <w:gridCol w:w="181"/>
        <w:gridCol w:w="511"/>
        <w:gridCol w:w="996"/>
      </w:tblGrid>
      <w:tr>
        <w:trPr/>
        <w:tc>
          <w:tcPr>
            <w:tcW w:w="4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r>
      <w:tr>
        <w:trPr/>
        <w:tc>
          <w:tcPr>
            <w:tcW w:w="41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2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For the Three Months</w:t>
              <w:br/>
              <w:t>Ended March 31,</w:t>
            </w:r>
          </w:p>
        </w:tc>
        <w:tc>
          <w:tcPr>
            <w:tcW w:w="996" w:type="dxa"/>
            <w:tcBorders/>
            <w:shd w:fill="auto" w:val="clear"/>
            <w:vAlign w:val="center"/>
          </w:tcPr>
          <w:p>
            <w:pPr>
              <w:pStyle w:val="TableContents"/>
              <w:spacing w:lineRule="auto" w:line="252" w:before="0" w:after="0"/>
              <w:ind w:left="0" w:right="0" w:hanging="0"/>
              <w:jc w:val="center"/>
              <w:rPr/>
            </w:pPr>
            <w:r>
              <w:rPr/>
              <w:t> </w:t>
            </w:r>
          </w:p>
        </w:tc>
      </w:tr>
      <w:tr>
        <w:trPr/>
        <w:tc>
          <w:tcPr>
            <w:tcW w:w="41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2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1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2022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2021</w:t>
            </w:r>
          </w:p>
        </w:tc>
        <w:tc>
          <w:tcPr>
            <w:tcW w:w="9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186"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CASH FLOWS FROM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7"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left"/>
              <w:rPr/>
            </w:pPr>
            <w:r>
              <w:rPr/>
              <w:t> </w:t>
            </w:r>
          </w:p>
        </w:tc>
        <w:tc>
          <w:tcPr>
            <w:tcW w:w="996" w:type="dxa"/>
            <w:tcBorders/>
            <w:shd w:fill="auto" w:val="clear"/>
            <w:vAlign w:val="center"/>
          </w:tcPr>
          <w:p>
            <w:pPr>
              <w:pStyle w:val="TableContents"/>
              <w:spacing w:lineRule="auto" w:line="252" w:before="0" w:after="0"/>
              <w:ind w:left="0" w:right="0" w:firstLine="200"/>
              <w:jc w:val="left"/>
              <w:rPr/>
            </w:pPr>
            <w:r>
              <w:rPr/>
              <w:t> </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Net income</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7,792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2,709</w:t>
            </w:r>
          </w:p>
        </w:tc>
        <w:tc>
          <w:tcPr>
            <w:tcW w:w="996" w:type="dxa"/>
            <w:tcBorders/>
            <w:shd w:fill="auto" w:val="clear"/>
            <w:vAlign w:val="center"/>
          </w:tcPr>
          <w:p>
            <w:pPr>
              <w:pStyle w:val="TableContents"/>
              <w:spacing w:lineRule="auto" w:line="252" w:before="0" w:after="0"/>
              <w:ind w:left="0" w:right="0" w:firstLine="400"/>
              <w:jc w:val="left"/>
              <w:rPr/>
            </w:pPr>
            <w:r>
              <w:rPr/>
              <w:t> </w:t>
            </w:r>
          </w:p>
        </w:tc>
      </w:tr>
      <w:tr>
        <w:trPr/>
        <w:tc>
          <w:tcPr>
            <w:tcW w:w="4186" w:type="dxa"/>
            <w:tcBorders/>
            <w:shd w:fill="auto" w:val="clear"/>
            <w:vAlign w:val="center"/>
          </w:tcPr>
          <w:p>
            <w:pPr>
              <w:pStyle w:val="TableContents"/>
              <w:spacing w:lineRule="auto" w:line="252" w:before="0" w:after="0"/>
              <w:ind w:left="400" w:right="0" w:hanging="0"/>
              <w:jc w:val="left"/>
              <w:rPr>
                <w:rFonts w:ascii="Times New Roman" w:hAnsi="Times New Roman"/>
                <w:b w:val="false"/>
                <w:sz w:val="14"/>
              </w:rPr>
            </w:pPr>
            <w:r>
              <w:rPr>
                <w:rFonts w:ascii="Times New Roman" w:hAnsi="Times New Roman"/>
                <w:b w:val="false"/>
                <w:sz w:val="14"/>
              </w:rPr>
              <w:t>Adjustments to reconcile net income to net cash provided by operating</w:t>
              <w:br/>
              <w:t>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996" w:type="dxa"/>
            <w:tcBorders/>
            <w:shd w:fill="auto" w:val="clear"/>
            <w:vAlign w:val="center"/>
          </w:tcPr>
          <w:p>
            <w:pPr>
              <w:pStyle w:val="TableContents"/>
              <w:spacing w:lineRule="auto" w:line="252" w:before="0" w:after="0"/>
              <w:ind w:left="0" w:right="0" w:firstLine="400"/>
              <w:jc w:val="right"/>
              <w:rPr/>
            </w:pPr>
            <w:r>
              <w:rPr/>
              <w:t> </w:t>
            </w:r>
          </w:p>
        </w:tc>
      </w:tr>
      <w:tr>
        <w:trPr/>
        <w:tc>
          <w:tcPr>
            <w:tcW w:w="4186" w:type="dxa"/>
            <w:tcBorders/>
            <w:shd w:fill="auto" w:val="clear"/>
            <w:vAlign w:val="center"/>
          </w:tcPr>
          <w:p>
            <w:pPr>
              <w:pStyle w:val="TableContents"/>
              <w:spacing w:lineRule="auto" w:line="252" w:before="0" w:after="0"/>
              <w:ind w:left="400" w:right="0" w:hanging="0"/>
              <w:jc w:val="left"/>
              <w:rPr>
                <w:rFonts w:ascii="Times New Roman" w:hAnsi="Times New Roman"/>
                <w:b w:val="false"/>
                <w:sz w:val="14"/>
              </w:rPr>
            </w:pPr>
            <w:r>
              <w:rPr>
                <w:rFonts w:ascii="Times New Roman" w:hAnsi="Times New Roman"/>
                <w:b w:val="false"/>
                <w:sz w:val="14"/>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1,515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424</w:t>
            </w:r>
          </w:p>
        </w:tc>
        <w:tc>
          <w:tcPr>
            <w:tcW w:w="996" w:type="dxa"/>
            <w:tcBorders/>
            <w:shd w:fill="auto" w:val="clear"/>
            <w:vAlign w:val="center"/>
          </w:tcPr>
          <w:p>
            <w:pPr>
              <w:pStyle w:val="TableContents"/>
              <w:spacing w:lineRule="auto" w:line="252" w:before="0" w:after="0"/>
              <w:ind w:left="0" w:right="0" w:firstLine="400"/>
              <w:jc w:val="left"/>
              <w:rPr/>
            </w:pPr>
            <w:r>
              <w:rPr/>
              <w:t> </w:t>
            </w:r>
          </w:p>
        </w:tc>
      </w:tr>
      <w:tr>
        <w:trPr/>
        <w:tc>
          <w:tcPr>
            <w:tcW w:w="4186" w:type="dxa"/>
            <w:tcBorders/>
            <w:shd w:fill="auto" w:val="clear"/>
            <w:vAlign w:val="center"/>
          </w:tcPr>
          <w:p>
            <w:pPr>
              <w:pStyle w:val="TableContents"/>
              <w:spacing w:lineRule="auto" w:line="252" w:before="0" w:after="0"/>
              <w:ind w:left="400" w:right="0" w:hanging="0"/>
              <w:jc w:val="left"/>
              <w:rPr>
                <w:rFonts w:ascii="Times New Roman" w:hAnsi="Times New Roman"/>
                <w:b w:val="false"/>
                <w:sz w:val="14"/>
              </w:rPr>
            </w:pPr>
            <w:r>
              <w:rPr>
                <w:rFonts w:ascii="Times New Roman" w:hAnsi="Times New Roman"/>
                <w:b w:val="false"/>
                <w:sz w:val="14"/>
              </w:rPr>
              <w:t>Depreciation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95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66</w:t>
            </w:r>
          </w:p>
        </w:tc>
        <w:tc>
          <w:tcPr>
            <w:tcW w:w="996" w:type="dxa"/>
            <w:tcBorders/>
            <w:shd w:fill="auto" w:val="clear"/>
            <w:vAlign w:val="center"/>
          </w:tcPr>
          <w:p>
            <w:pPr>
              <w:pStyle w:val="TableContents"/>
              <w:spacing w:lineRule="auto" w:line="252" w:before="0" w:after="0"/>
              <w:ind w:left="0" w:right="0" w:firstLine="400"/>
              <w:jc w:val="left"/>
              <w:rPr/>
            </w:pPr>
            <w:r>
              <w:rPr/>
              <w:t> </w:t>
            </w:r>
          </w:p>
        </w:tc>
      </w:tr>
      <w:tr>
        <w:trPr/>
        <w:tc>
          <w:tcPr>
            <w:tcW w:w="4186" w:type="dxa"/>
            <w:tcBorders/>
            <w:shd w:fill="auto" w:val="clear"/>
            <w:vAlign w:val="center"/>
          </w:tcPr>
          <w:p>
            <w:pPr>
              <w:pStyle w:val="TableContents"/>
              <w:spacing w:lineRule="auto" w:line="252" w:before="0" w:after="0"/>
              <w:ind w:left="400" w:right="0" w:hanging="0"/>
              <w:jc w:val="left"/>
              <w:rPr>
                <w:rFonts w:ascii="Times New Roman" w:hAnsi="Times New Roman"/>
                <w:b w:val="false"/>
                <w:sz w:val="14"/>
              </w:rPr>
            </w:pPr>
            <w:r>
              <w:rPr>
                <w:rFonts w:ascii="Times New Roman" w:hAnsi="Times New Roman"/>
                <w:b w:val="false"/>
                <w:sz w:val="14"/>
              </w:rPr>
              <w:t>Amortization of intangibles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6,181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7,484</w:t>
            </w:r>
          </w:p>
        </w:tc>
        <w:tc>
          <w:tcPr>
            <w:tcW w:w="996" w:type="dxa"/>
            <w:tcBorders/>
            <w:shd w:fill="auto" w:val="clear"/>
            <w:vAlign w:val="center"/>
          </w:tcPr>
          <w:p>
            <w:pPr>
              <w:pStyle w:val="TableContents"/>
              <w:spacing w:lineRule="auto" w:line="252" w:before="0" w:after="0"/>
              <w:ind w:left="0" w:right="0" w:firstLine="400"/>
              <w:jc w:val="left"/>
              <w:rPr/>
            </w:pPr>
            <w:r>
              <w:rPr/>
              <w:t> </w:t>
            </w:r>
          </w:p>
        </w:tc>
      </w:tr>
      <w:tr>
        <w:trPr/>
        <w:tc>
          <w:tcPr>
            <w:tcW w:w="4186" w:type="dxa"/>
            <w:tcBorders/>
            <w:shd w:fill="auto" w:val="clear"/>
            <w:vAlign w:val="center"/>
          </w:tcPr>
          <w:p>
            <w:pPr>
              <w:pStyle w:val="TableContents"/>
              <w:spacing w:lineRule="auto" w:line="252" w:before="0" w:after="0"/>
              <w:ind w:left="400" w:right="0" w:hanging="0"/>
              <w:jc w:val="left"/>
              <w:rPr>
                <w:rFonts w:ascii="Times New Roman" w:hAnsi="Times New Roman"/>
                <w:b w:val="false"/>
                <w:sz w:val="14"/>
              </w:rPr>
            </w:pPr>
            <w:r>
              <w:rPr>
                <w:rFonts w:ascii="Times New Roman" w:hAnsi="Times New Roman"/>
                <w:b w:val="false"/>
                <w:sz w:val="14"/>
              </w:rPr>
              <w:t>Amortization of debt issuance costs and debt discount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202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944</w:t>
            </w:r>
          </w:p>
        </w:tc>
        <w:tc>
          <w:tcPr>
            <w:tcW w:w="996" w:type="dxa"/>
            <w:tcBorders/>
            <w:shd w:fill="auto" w:val="clear"/>
            <w:vAlign w:val="center"/>
          </w:tcPr>
          <w:p>
            <w:pPr>
              <w:pStyle w:val="TableContents"/>
              <w:spacing w:lineRule="auto" w:line="252" w:before="0" w:after="0"/>
              <w:ind w:left="0" w:right="0" w:firstLine="400"/>
              <w:jc w:val="left"/>
              <w:rPr/>
            </w:pPr>
            <w:r>
              <w:rPr/>
              <w:t> </w:t>
            </w:r>
          </w:p>
        </w:tc>
      </w:tr>
      <w:tr>
        <w:trPr/>
        <w:tc>
          <w:tcPr>
            <w:tcW w:w="4186" w:type="dxa"/>
            <w:tcBorders/>
            <w:shd w:fill="auto" w:val="clear"/>
            <w:vAlign w:val="center"/>
          </w:tcPr>
          <w:p>
            <w:pPr>
              <w:pStyle w:val="TableContents"/>
              <w:spacing w:lineRule="auto" w:line="252" w:before="0" w:after="0"/>
              <w:ind w:left="400" w:right="0" w:hanging="0"/>
              <w:jc w:val="left"/>
              <w:rPr>
                <w:rFonts w:ascii="Times New Roman" w:hAnsi="Times New Roman"/>
                <w:b w:val="false"/>
                <w:sz w:val="14"/>
              </w:rPr>
            </w:pPr>
            <w:r>
              <w:rPr>
                <w:rFonts w:ascii="Times New Roman" w:hAnsi="Times New Roman"/>
                <w:b w:val="false"/>
                <w:sz w:val="14"/>
              </w:rPr>
              <w:t>Income from unconsolidated subsidiaries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(326</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(220</w:t>
            </w:r>
          </w:p>
        </w:tc>
        <w:tc>
          <w:tcPr>
            <w:tcW w:w="99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400" w:right="0" w:hanging="0"/>
              <w:jc w:val="left"/>
              <w:rPr>
                <w:rFonts w:ascii="Times New Roman" w:hAnsi="Times New Roman"/>
                <w:b w:val="false"/>
                <w:sz w:val="14"/>
              </w:rPr>
            </w:pPr>
            <w:r>
              <w:rPr>
                <w:rFonts w:ascii="Times New Roman" w:hAnsi="Times New Roman"/>
                <w:b w:val="false"/>
                <w:sz w:val="14"/>
              </w:rPr>
              <w:t>Deferred tax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2,304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117</w:t>
            </w:r>
          </w:p>
        </w:tc>
        <w:tc>
          <w:tcPr>
            <w:tcW w:w="996" w:type="dxa"/>
            <w:tcBorders/>
            <w:shd w:fill="auto" w:val="clear"/>
            <w:vAlign w:val="center"/>
          </w:tcPr>
          <w:p>
            <w:pPr>
              <w:pStyle w:val="TableContents"/>
              <w:spacing w:lineRule="auto" w:line="252" w:before="0" w:after="0"/>
              <w:ind w:left="0" w:right="0" w:firstLine="400"/>
              <w:jc w:val="left"/>
              <w:rPr/>
            </w:pPr>
            <w:r>
              <w:rPr/>
              <w:t> </w:t>
            </w:r>
          </w:p>
        </w:tc>
      </w:tr>
      <w:tr>
        <w:trPr/>
        <w:tc>
          <w:tcPr>
            <w:tcW w:w="4186" w:type="dxa"/>
            <w:tcBorders/>
            <w:shd w:fill="auto" w:val="clear"/>
            <w:vAlign w:val="center"/>
          </w:tcPr>
          <w:p>
            <w:pPr>
              <w:pStyle w:val="TableContents"/>
              <w:spacing w:lineRule="auto" w:line="252" w:before="0" w:after="0"/>
              <w:ind w:left="400" w:right="0" w:hanging="0"/>
              <w:jc w:val="left"/>
              <w:rPr>
                <w:rFonts w:ascii="Times New Roman" w:hAnsi="Times New Roman"/>
                <w:b w:val="false"/>
                <w:sz w:val="14"/>
              </w:rPr>
            </w:pPr>
            <w:r>
              <w:rPr>
                <w:rFonts w:ascii="Times New Roman" w:hAnsi="Times New Roman"/>
                <w:b w:val="false"/>
                <w:sz w:val="14"/>
              </w:rPr>
              <w:t>Remeasurement of 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28</w:t>
            </w:r>
          </w:p>
        </w:tc>
        <w:tc>
          <w:tcPr>
            <w:tcW w:w="996" w:type="dxa"/>
            <w:tcBorders/>
            <w:shd w:fill="auto" w:val="clear"/>
            <w:vAlign w:val="center"/>
          </w:tcPr>
          <w:p>
            <w:pPr>
              <w:pStyle w:val="TableContents"/>
              <w:spacing w:lineRule="auto" w:line="252" w:before="0" w:after="0"/>
              <w:ind w:left="0" w:right="0" w:firstLine="400"/>
              <w:jc w:val="left"/>
              <w:rPr/>
            </w:pPr>
            <w:r>
              <w:rPr/>
              <w:t> </w:t>
            </w:r>
          </w:p>
        </w:tc>
      </w:tr>
      <w:tr>
        <w:trPr/>
        <w:tc>
          <w:tcPr>
            <w:tcW w:w="4186" w:type="dxa"/>
            <w:tcBorders/>
            <w:shd w:fill="auto" w:val="clear"/>
            <w:vAlign w:val="center"/>
          </w:tcPr>
          <w:p>
            <w:pPr>
              <w:pStyle w:val="TableContents"/>
              <w:spacing w:lineRule="auto" w:line="252" w:before="0" w:after="0"/>
              <w:ind w:left="400" w:right="0" w:hanging="0"/>
              <w:jc w:val="left"/>
              <w:rPr>
                <w:rFonts w:ascii="Times New Roman" w:hAnsi="Times New Roman"/>
                <w:b w:val="false"/>
                <w:sz w:val="14"/>
              </w:rPr>
            </w:pPr>
            <w:r>
              <w:rPr>
                <w:rFonts w:ascii="Times New Roman" w:hAnsi="Times New Roman"/>
                <w:b w:val="false"/>
                <w:sz w:val="14"/>
              </w:rPr>
              <w:t>Post close purchase price adjustment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996" w:type="dxa"/>
            <w:tcBorders/>
            <w:shd w:fill="auto" w:val="clear"/>
            <w:vAlign w:val="center"/>
          </w:tcPr>
          <w:p>
            <w:pPr>
              <w:pStyle w:val="TableContents"/>
              <w:spacing w:lineRule="auto" w:line="252" w:before="0" w:after="0"/>
              <w:ind w:left="0" w:right="0" w:firstLine="400"/>
              <w:jc w:val="left"/>
              <w:rPr/>
            </w:pPr>
            <w:r>
              <w:rPr/>
              <w:t> </w:t>
            </w:r>
          </w:p>
        </w:tc>
      </w:tr>
      <w:tr>
        <w:trPr/>
        <w:tc>
          <w:tcPr>
            <w:tcW w:w="4186" w:type="dxa"/>
            <w:tcBorders/>
            <w:shd w:fill="auto" w:val="clear"/>
            <w:vAlign w:val="center"/>
          </w:tcPr>
          <w:p>
            <w:pPr>
              <w:pStyle w:val="TableContents"/>
              <w:spacing w:lineRule="auto" w:line="252" w:before="0" w:after="0"/>
              <w:ind w:left="400" w:right="0" w:hanging="0"/>
              <w:jc w:val="left"/>
              <w:rPr>
                <w:rFonts w:ascii="Times New Roman" w:hAnsi="Times New Roman"/>
                <w:b w:val="false"/>
                <w:sz w:val="14"/>
              </w:rPr>
            </w:pPr>
            <w:r>
              <w:rPr>
                <w:rFonts w:ascii="Times New Roman" w:hAnsi="Times New Roman"/>
                <w:b w:val="false"/>
                <w:sz w:val="14"/>
              </w:rPr>
              <w:t>Change in operating assets and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996" w:type="dxa"/>
            <w:tcBorders/>
            <w:shd w:fill="auto" w:val="clear"/>
            <w:vAlign w:val="center"/>
          </w:tcPr>
          <w:p>
            <w:pPr>
              <w:pStyle w:val="TableContents"/>
              <w:spacing w:lineRule="auto" w:line="252" w:before="0" w:after="0"/>
              <w:ind w:left="0" w:right="0" w:firstLine="600"/>
              <w:jc w:val="right"/>
              <w:rPr/>
            </w:pPr>
            <w:r>
              <w:rPr/>
              <w:t> </w:t>
            </w:r>
          </w:p>
        </w:tc>
      </w:tr>
      <w:tr>
        <w:trPr/>
        <w:tc>
          <w:tcPr>
            <w:tcW w:w="4186" w:type="dxa"/>
            <w:tcBorders/>
            <w:shd w:fill="auto" w:val="clear"/>
            <w:vAlign w:val="center"/>
          </w:tcPr>
          <w:p>
            <w:pPr>
              <w:pStyle w:val="TableContents"/>
              <w:spacing w:lineRule="auto" w:line="252" w:before="0" w:after="0"/>
              <w:ind w:left="600" w:right="0" w:hanging="0"/>
              <w:jc w:val="left"/>
              <w:rPr>
                <w:rFonts w:ascii="Times New Roman" w:hAnsi="Times New Roman"/>
                <w:b w:val="false"/>
                <w:sz w:val="14"/>
              </w:rPr>
            </w:pPr>
            <w:r>
              <w:rPr>
                <w:rFonts w:ascii="Times New Roman" w:hAnsi="Times New Roman"/>
                <w:b w:val="false"/>
                <w:sz w:val="14"/>
              </w:rPr>
              <w:t>Accounts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(515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(511</w:t>
            </w:r>
          </w:p>
        </w:tc>
        <w:tc>
          <w:tcPr>
            <w:tcW w:w="996" w:type="dxa"/>
            <w:tcBorders/>
            <w:shd w:fill="auto" w:val="clear"/>
            <w:vAlign w:val="center"/>
          </w:tcPr>
          <w:p>
            <w:pPr>
              <w:pStyle w:val="TableContents"/>
              <w:spacing w:lineRule="auto" w:line="252" w:before="0" w:after="0"/>
              <w:ind w:left="0" w:right="0" w:firstLine="6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600" w:right="0" w:hanging="0"/>
              <w:jc w:val="left"/>
              <w:rPr>
                <w:rFonts w:ascii="Times New Roman" w:hAnsi="Times New Roman"/>
                <w:b w:val="false"/>
                <w:sz w:val="14"/>
              </w:rPr>
            </w:pPr>
            <w:r>
              <w:rPr>
                <w:rFonts w:ascii="Times New Roman" w:hAnsi="Times New Roman"/>
                <w:b w:val="false"/>
                <w:sz w:val="14"/>
              </w:rPr>
              <w:t>Due from related parties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(5,747</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192</w:t>
            </w:r>
          </w:p>
        </w:tc>
        <w:tc>
          <w:tcPr>
            <w:tcW w:w="996" w:type="dxa"/>
            <w:tcBorders/>
            <w:shd w:fill="auto" w:val="clear"/>
            <w:vAlign w:val="center"/>
          </w:tcPr>
          <w:p>
            <w:pPr>
              <w:pStyle w:val="TableContents"/>
              <w:spacing w:lineRule="auto" w:line="252" w:before="0" w:after="0"/>
              <w:ind w:left="0" w:right="0" w:firstLine="600"/>
              <w:jc w:val="left"/>
              <w:rPr/>
            </w:pPr>
            <w:r>
              <w:rPr/>
              <w:t> </w:t>
            </w:r>
          </w:p>
        </w:tc>
      </w:tr>
      <w:tr>
        <w:trPr/>
        <w:tc>
          <w:tcPr>
            <w:tcW w:w="4186" w:type="dxa"/>
            <w:tcBorders/>
            <w:shd w:fill="auto" w:val="clear"/>
            <w:vAlign w:val="center"/>
          </w:tcPr>
          <w:p>
            <w:pPr>
              <w:pStyle w:val="TableContents"/>
              <w:spacing w:lineRule="auto" w:line="252" w:before="0" w:after="0"/>
              <w:ind w:left="600" w:right="0" w:hanging="0"/>
              <w:jc w:val="left"/>
              <w:rPr>
                <w:rFonts w:ascii="Times New Roman" w:hAnsi="Times New Roman"/>
                <w:b w:val="false"/>
                <w:sz w:val="14"/>
              </w:rPr>
            </w:pPr>
            <w:r>
              <w:rPr>
                <w:rFonts w:ascii="Times New Roman" w:hAnsi="Times New Roman"/>
                <w:b w:val="false"/>
                <w:sz w:val="14"/>
              </w:rPr>
              <w:t>Prepaid expenses and 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634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703</w:t>
            </w:r>
          </w:p>
        </w:tc>
        <w:tc>
          <w:tcPr>
            <w:tcW w:w="996" w:type="dxa"/>
            <w:tcBorders/>
            <w:shd w:fill="auto" w:val="clear"/>
            <w:vAlign w:val="center"/>
          </w:tcPr>
          <w:p>
            <w:pPr>
              <w:pStyle w:val="TableContents"/>
              <w:spacing w:lineRule="auto" w:line="252" w:before="0" w:after="0"/>
              <w:ind w:left="0" w:right="0" w:firstLine="600"/>
              <w:jc w:val="left"/>
              <w:rPr/>
            </w:pPr>
            <w:r>
              <w:rPr/>
              <w:t> </w:t>
            </w:r>
          </w:p>
        </w:tc>
      </w:tr>
      <w:tr>
        <w:trPr/>
        <w:tc>
          <w:tcPr>
            <w:tcW w:w="4186" w:type="dxa"/>
            <w:tcBorders/>
            <w:shd w:fill="auto" w:val="clear"/>
            <w:vAlign w:val="center"/>
          </w:tcPr>
          <w:p>
            <w:pPr>
              <w:pStyle w:val="TableContents"/>
              <w:spacing w:lineRule="auto" w:line="252" w:before="0" w:after="0"/>
              <w:ind w:left="600" w:right="0" w:hanging="0"/>
              <w:jc w:val="left"/>
              <w:rPr>
                <w:rFonts w:ascii="Times New Roman" w:hAnsi="Times New Roman"/>
                <w:b w:val="false"/>
                <w:sz w:val="14"/>
              </w:rPr>
            </w:pPr>
            <w:r>
              <w:rPr>
                <w:rFonts w:ascii="Times New Roman" w:hAnsi="Times New Roman"/>
                <w:b w:val="false"/>
                <w:sz w:val="14"/>
              </w:rPr>
              <w:t>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596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400</w:t>
            </w:r>
          </w:p>
        </w:tc>
        <w:tc>
          <w:tcPr>
            <w:tcW w:w="996" w:type="dxa"/>
            <w:tcBorders/>
            <w:shd w:fill="auto" w:val="clear"/>
            <w:vAlign w:val="center"/>
          </w:tcPr>
          <w:p>
            <w:pPr>
              <w:pStyle w:val="TableContents"/>
              <w:spacing w:lineRule="auto" w:line="252" w:before="0" w:after="0"/>
              <w:ind w:left="0" w:right="0" w:firstLine="600"/>
              <w:jc w:val="left"/>
              <w:rPr/>
            </w:pPr>
            <w:r>
              <w:rPr/>
              <w:t> </w:t>
            </w:r>
          </w:p>
        </w:tc>
      </w:tr>
      <w:tr>
        <w:trPr/>
        <w:tc>
          <w:tcPr>
            <w:tcW w:w="4186" w:type="dxa"/>
            <w:tcBorders/>
            <w:shd w:fill="auto" w:val="clear"/>
            <w:vAlign w:val="center"/>
          </w:tcPr>
          <w:p>
            <w:pPr>
              <w:pStyle w:val="TableContents"/>
              <w:spacing w:lineRule="auto" w:line="252" w:before="0" w:after="0"/>
              <w:ind w:left="600" w:right="0" w:hanging="0"/>
              <w:jc w:val="left"/>
              <w:rPr>
                <w:rFonts w:ascii="Times New Roman" w:hAnsi="Times New Roman"/>
                <w:b w:val="false"/>
                <w:sz w:val="14"/>
              </w:rPr>
            </w:pPr>
            <w:r>
              <w:rPr>
                <w:rFonts w:ascii="Times New Roman" w:hAnsi="Times New Roman"/>
                <w:b w:val="false"/>
                <w:sz w:val="14"/>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341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(252</w:t>
            </w:r>
          </w:p>
        </w:tc>
        <w:tc>
          <w:tcPr>
            <w:tcW w:w="996" w:type="dxa"/>
            <w:tcBorders/>
            <w:shd w:fill="auto" w:val="clear"/>
            <w:vAlign w:val="center"/>
          </w:tcPr>
          <w:p>
            <w:pPr>
              <w:pStyle w:val="TableContents"/>
              <w:spacing w:lineRule="auto" w:line="252" w:before="0" w:after="0"/>
              <w:ind w:left="0" w:right="0" w:firstLine="6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600" w:right="0" w:hanging="0"/>
              <w:jc w:val="left"/>
              <w:rPr>
                <w:rFonts w:ascii="Times New Roman" w:hAnsi="Times New Roman"/>
                <w:b w:val="false"/>
                <w:sz w:val="14"/>
              </w:rPr>
            </w:pPr>
            <w:r>
              <w:rPr>
                <w:rFonts w:ascii="Times New Roman" w:hAnsi="Times New Roman"/>
                <w:b w:val="false"/>
                <w:sz w:val="14"/>
              </w:rPr>
              <w:t>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(14,226</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(278</w:t>
            </w:r>
          </w:p>
        </w:tc>
        <w:tc>
          <w:tcPr>
            <w:tcW w:w="996" w:type="dxa"/>
            <w:tcBorders/>
            <w:shd w:fill="auto" w:val="clear"/>
            <w:vAlign w:val="center"/>
          </w:tcPr>
          <w:p>
            <w:pPr>
              <w:pStyle w:val="TableContents"/>
              <w:spacing w:lineRule="auto" w:line="252" w:before="0" w:after="0"/>
              <w:ind w:left="0" w:right="0" w:firstLine="6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600" w:right="0" w:hanging="0"/>
              <w:jc w:val="left"/>
              <w:rPr>
                <w:rFonts w:ascii="Times New Roman" w:hAnsi="Times New Roman"/>
                <w:b w:val="false"/>
                <w:sz w:val="14"/>
              </w:rPr>
            </w:pPr>
            <w:r>
              <w:rPr>
                <w:rFonts w:ascii="Times New Roman" w:hAnsi="Times New Roman"/>
                <w:b w:val="false"/>
                <w:sz w:val="14"/>
              </w:rPr>
              <w:t>Due to related parties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(1,853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(2,200</w:t>
            </w:r>
          </w:p>
        </w:tc>
        <w:tc>
          <w:tcPr>
            <w:tcW w:w="996" w:type="dxa"/>
            <w:tcBorders/>
            <w:shd w:fill="auto" w:val="clear"/>
            <w:vAlign w:val="center"/>
          </w:tcPr>
          <w:p>
            <w:pPr>
              <w:pStyle w:val="TableContents"/>
              <w:spacing w:lineRule="auto" w:line="252" w:before="0" w:after="0"/>
              <w:ind w:left="0" w:right="0" w:firstLine="6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600" w:right="0" w:hanging="0"/>
              <w:jc w:val="left"/>
              <w:rPr>
                <w:rFonts w:ascii="Times New Roman" w:hAnsi="Times New Roman"/>
                <w:b w:val="false"/>
                <w:sz w:val="14"/>
              </w:rPr>
            </w:pPr>
            <w:r>
              <w:rPr>
                <w:rFonts w:ascii="Times New Roman" w:hAnsi="Times New Roman"/>
                <w:b w:val="false"/>
                <w:sz w:val="14"/>
              </w:rPr>
              <w:t>Other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11,919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189</w:t>
            </w:r>
          </w:p>
        </w:tc>
        <w:tc>
          <w:tcPr>
            <w:tcW w:w="996" w:type="dxa"/>
            <w:tcBorders/>
            <w:shd w:fill="auto" w:val="clear"/>
            <w:vAlign w:val="center"/>
          </w:tcPr>
          <w:p>
            <w:pPr>
              <w:pStyle w:val="TableContents"/>
              <w:spacing w:lineRule="auto" w:line="252" w:before="0" w:after="0"/>
              <w:ind w:left="0" w:right="0" w:firstLine="600"/>
              <w:jc w:val="left"/>
              <w:rPr/>
            </w:pPr>
            <w:r>
              <w:rPr/>
              <w:t> </w:t>
            </w:r>
          </w:p>
        </w:tc>
      </w:tr>
      <w:tr>
        <w:trPr/>
        <w:tc>
          <w:tcPr>
            <w:tcW w:w="4186" w:type="dxa"/>
            <w:tcBorders/>
            <w:shd w:fill="auto" w:val="clear"/>
            <w:vAlign w:val="center"/>
          </w:tcPr>
          <w:p>
            <w:pPr>
              <w:pStyle w:val="TableContents"/>
              <w:spacing w:lineRule="auto" w:line="252" w:before="0" w:after="0"/>
              <w:ind w:left="600" w:right="0" w:hanging="0"/>
              <w:jc w:val="left"/>
              <w:rPr>
                <w:rFonts w:ascii="Times New Roman" w:hAnsi="Times New Roman"/>
                <w:b w:val="false"/>
                <w:sz w:val="14"/>
              </w:rPr>
            </w:pPr>
            <w:r>
              <w:rPr>
                <w:rFonts w:ascii="Times New Roman" w:hAnsi="Times New Roman"/>
                <w:b w:val="false"/>
                <w:sz w:val="14"/>
              </w:rPr>
              <w:t>Deferred revenues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(1,024</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134</w:t>
            </w:r>
          </w:p>
        </w:tc>
        <w:tc>
          <w:tcPr>
            <w:tcW w:w="996" w:type="dxa"/>
            <w:tcBorders/>
            <w:shd w:fill="auto" w:val="clear"/>
            <w:vAlign w:val="center"/>
          </w:tcPr>
          <w:p>
            <w:pPr>
              <w:pStyle w:val="TableContents"/>
              <w:spacing w:lineRule="auto" w:line="252" w:before="0" w:after="0"/>
              <w:ind w:left="0" w:right="0" w:firstLine="600"/>
              <w:jc w:val="left"/>
              <w:rPr/>
            </w:pPr>
            <w:r>
              <w:rPr/>
              <w:t> </w:t>
            </w:r>
          </w:p>
        </w:tc>
      </w:tr>
      <w:tr>
        <w:trPr/>
        <w:tc>
          <w:tcPr>
            <w:tcW w:w="4186" w:type="dxa"/>
            <w:tcBorders/>
            <w:shd w:fill="auto" w:val="clear"/>
            <w:vAlign w:val="center"/>
          </w:tcPr>
          <w:p>
            <w:pPr>
              <w:pStyle w:val="TableContents"/>
              <w:spacing w:lineRule="auto" w:line="252" w:before="0" w:after="0"/>
              <w:ind w:left="600" w:right="0" w:hanging="0"/>
              <w:jc w:val="left"/>
              <w:rPr>
                <w:rFonts w:ascii="Times New Roman" w:hAnsi="Times New Roman"/>
                <w:b w:val="false"/>
                <w:sz w:val="14"/>
              </w:rPr>
            </w:pPr>
            <w:r>
              <w:rPr>
                <w:rFonts w:ascii="Times New Roman" w:hAnsi="Times New Roman"/>
                <w:b w:val="false"/>
                <w:sz w:val="14"/>
              </w:rPr>
              <w:t>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(404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(453</w:t>
            </w:r>
          </w:p>
        </w:tc>
        <w:tc>
          <w:tcPr>
            <w:tcW w:w="9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8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800" w:right="0" w:hanging="0"/>
              <w:jc w:val="left"/>
              <w:rPr>
                <w:rFonts w:ascii="Times New Roman" w:hAnsi="Times New Roman"/>
                <w:b w:val="false"/>
                <w:sz w:val="14"/>
              </w:rPr>
            </w:pPr>
            <w:r>
              <w:rPr>
                <w:rFonts w:ascii="Times New Roman" w:hAnsi="Times New Roman"/>
                <w:b w:val="false"/>
                <w:sz w:val="14"/>
              </w:rPr>
              <w:t>Net cash provided by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7,622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9,476</w:t>
            </w:r>
          </w:p>
        </w:tc>
        <w:tc>
          <w:tcPr>
            <w:tcW w:w="996" w:type="dxa"/>
            <w:tcBorders/>
            <w:shd w:fill="auto" w:val="clear"/>
            <w:vAlign w:val="center"/>
          </w:tcPr>
          <w:p>
            <w:pPr>
              <w:pStyle w:val="TableContents"/>
              <w:spacing w:lineRule="auto" w:line="252" w:before="0" w:after="0"/>
              <w:ind w:left="0" w:right="0" w:hanging="0"/>
              <w:jc w:val="left"/>
              <w:rPr/>
            </w:pPr>
            <w:r>
              <w:rPr/>
              <w:t> </w:t>
            </w:r>
          </w:p>
        </w:tc>
      </w:tr>
      <w:tr>
        <w:trPr/>
        <w:tc>
          <w:tcPr>
            <w:tcW w:w="4186"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CASH FLOWS FROM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996" w:type="dxa"/>
            <w:tcBorders/>
            <w:shd w:fill="auto" w:val="clear"/>
            <w:vAlign w:val="center"/>
          </w:tcPr>
          <w:p>
            <w:pPr>
              <w:pStyle w:val="TableContents"/>
              <w:spacing w:lineRule="auto" w:line="252" w:before="0" w:after="0"/>
              <w:ind w:left="0" w:right="0" w:firstLine="200"/>
              <w:jc w:val="right"/>
              <w:rPr/>
            </w:pPr>
            <w:r>
              <w:rPr/>
              <w:t> </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Note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(231</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996" w:type="dxa"/>
            <w:tcBorders/>
            <w:shd w:fill="auto" w:val="clear"/>
            <w:vAlign w:val="center"/>
          </w:tcPr>
          <w:p>
            <w:pPr>
              <w:pStyle w:val="TableContents"/>
              <w:spacing w:lineRule="auto" w:line="252" w:before="0" w:after="0"/>
              <w:ind w:left="0" w:right="0" w:firstLine="200"/>
              <w:jc w:val="left"/>
              <w:rPr/>
            </w:pPr>
            <w:r>
              <w:rPr/>
              <w:t> </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Proceeds from note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996" w:type="dxa"/>
            <w:tcBorders/>
            <w:shd w:fill="auto" w:val="clear"/>
            <w:vAlign w:val="center"/>
          </w:tcPr>
          <w:p>
            <w:pPr>
              <w:pStyle w:val="TableContents"/>
              <w:spacing w:lineRule="auto" w:line="252" w:before="0" w:after="0"/>
              <w:ind w:left="0" w:right="0" w:firstLine="200"/>
              <w:jc w:val="left"/>
              <w:rPr/>
            </w:pPr>
            <w:r>
              <w:rPr/>
              <w:t> </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Investments in unconsolidated subsidiaries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(2,087</w:t>
            </w:r>
          </w:p>
        </w:tc>
        <w:tc>
          <w:tcPr>
            <w:tcW w:w="99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Proceeds from investments in unconsolidated subsidiaries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98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2,133</w:t>
            </w:r>
          </w:p>
        </w:tc>
        <w:tc>
          <w:tcPr>
            <w:tcW w:w="996" w:type="dxa"/>
            <w:tcBorders/>
            <w:shd w:fill="auto" w:val="clear"/>
            <w:vAlign w:val="center"/>
          </w:tcPr>
          <w:p>
            <w:pPr>
              <w:pStyle w:val="TableContents"/>
              <w:spacing w:lineRule="auto" w:line="252" w:before="0" w:after="0"/>
              <w:ind w:left="0" w:right="0" w:firstLine="200"/>
              <w:jc w:val="left"/>
              <w:rPr/>
            </w:pPr>
            <w:r>
              <w:rPr/>
              <w:t> </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Software capitalization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996" w:type="dxa"/>
            <w:tcBorders/>
            <w:shd w:fill="auto" w:val="clear"/>
            <w:vAlign w:val="center"/>
          </w:tcPr>
          <w:p>
            <w:pPr>
              <w:pStyle w:val="TableContents"/>
              <w:spacing w:lineRule="auto" w:line="252" w:before="0" w:after="0"/>
              <w:ind w:left="0" w:right="0" w:firstLine="200"/>
              <w:jc w:val="left"/>
              <w:rPr/>
            </w:pPr>
            <w:r>
              <w:rPr/>
              <w:t> </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Post-closing payments for Enhanced working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(1,207</w:t>
            </w:r>
          </w:p>
        </w:tc>
        <w:tc>
          <w:tcPr>
            <w:tcW w:w="99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Purchases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(263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(22</w:t>
            </w:r>
          </w:p>
        </w:tc>
        <w:tc>
          <w:tcPr>
            <w:tcW w:w="9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8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800" w:right="0" w:hanging="0"/>
              <w:jc w:val="left"/>
              <w:rPr>
                <w:rFonts w:ascii="Times New Roman" w:hAnsi="Times New Roman"/>
                <w:b w:val="false"/>
                <w:sz w:val="14"/>
              </w:rPr>
            </w:pPr>
            <w:r>
              <w:rPr>
                <w:rFonts w:ascii="Times New Roman" w:hAnsi="Times New Roman"/>
                <w:b w:val="false"/>
                <w:sz w:val="14"/>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(424</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(1,183</w:t>
            </w:r>
          </w:p>
        </w:tc>
        <w:tc>
          <w:tcPr>
            <w:tcW w:w="9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CASH FLOWS FROM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996" w:type="dxa"/>
            <w:tcBorders/>
            <w:shd w:fill="auto" w:val="clear"/>
            <w:vAlign w:val="center"/>
          </w:tcPr>
          <w:p>
            <w:pPr>
              <w:pStyle w:val="TableContents"/>
              <w:spacing w:lineRule="auto" w:line="252" w:before="0" w:after="0"/>
              <w:ind w:left="0" w:right="0" w:firstLine="200"/>
              <w:jc w:val="right"/>
              <w:rPr/>
            </w:pPr>
            <w:r>
              <w:rPr/>
              <w:t> </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Repayments on debt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(25,000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(7,258</w:t>
            </w:r>
          </w:p>
        </w:tc>
        <w:tc>
          <w:tcPr>
            <w:tcW w:w="99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Payments of 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(414</w:t>
            </w:r>
          </w:p>
        </w:tc>
        <w:tc>
          <w:tcPr>
            <w:tcW w:w="99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Debt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(27</w:t>
            </w:r>
          </w:p>
        </w:tc>
        <w:tc>
          <w:tcPr>
            <w:tcW w:w="9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8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800" w:right="0" w:hanging="0"/>
              <w:jc w:val="left"/>
              <w:rPr>
                <w:rFonts w:ascii="Times New Roman" w:hAnsi="Times New Roman"/>
                <w:b w:val="false"/>
                <w:sz w:val="14"/>
              </w:rPr>
            </w:pPr>
            <w:r>
              <w:rPr>
                <w:rFonts w:ascii="Times New Roman" w:hAnsi="Times New Roman"/>
                <w:b w:val="false"/>
                <w:sz w:val="14"/>
              </w:rPr>
              <w:t>Net cash used in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(25,008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(7,699</w:t>
            </w:r>
          </w:p>
        </w:tc>
        <w:tc>
          <w:tcPr>
            <w:tcW w:w="9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800"/>
              <w:jc w:val="left"/>
              <w:rPr>
                <w:rFonts w:ascii="Times New Roman" w:hAnsi="Times New Roman"/>
                <w:b w:val="false"/>
                <w:sz w:val="14"/>
              </w:rPr>
            </w:pPr>
            <w:r>
              <w:rPr>
                <w:rFonts w:ascii="Times New Roman" w:hAnsi="Times New Roman"/>
                <w:b w:val="false"/>
                <w:sz w:val="14"/>
              </w:rPr>
              <w:t>)</w:t>
            </w:r>
          </w:p>
        </w:tc>
      </w:tr>
      <w:tr>
        <w:trPr/>
        <w:tc>
          <w:tcPr>
            <w:tcW w:w="4186" w:type="dxa"/>
            <w:tcBorders/>
            <w:shd w:fill="auto" w:val="clear"/>
            <w:vAlign w:val="center"/>
          </w:tcPr>
          <w:p>
            <w:pPr>
              <w:pStyle w:val="TableContents"/>
              <w:spacing w:lineRule="auto" w:line="252" w:before="0" w:after="0"/>
              <w:ind w:left="800" w:right="0" w:hanging="0"/>
              <w:jc w:val="left"/>
              <w:rPr>
                <w:rFonts w:ascii="Times New Roman" w:hAnsi="Times New Roman"/>
                <w:b w:val="false"/>
                <w:sz w:val="14"/>
              </w:rPr>
            </w:pPr>
            <w:r>
              <w:rPr>
                <w:rFonts w:ascii="Times New Roman" w:hAnsi="Times New Roman"/>
                <w:b w:val="false"/>
                <w:sz w:val="14"/>
              </w:rPr>
              <w:t>Net change in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(17,810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594</w:t>
            </w:r>
          </w:p>
        </w:tc>
        <w:tc>
          <w:tcPr>
            <w:tcW w:w="996" w:type="dxa"/>
            <w:tcBorders/>
            <w:shd w:fill="auto" w:val="clear"/>
            <w:vAlign w:val="center"/>
          </w:tcPr>
          <w:p>
            <w:pPr>
              <w:pStyle w:val="TableContents"/>
              <w:spacing w:lineRule="auto" w:line="252" w:before="0" w:after="0"/>
              <w:ind w:left="0" w:right="0" w:hanging="0"/>
              <w:jc w:val="left"/>
              <w:rPr/>
            </w:pPr>
            <w:r>
              <w:rPr/>
              <w:t> </w:t>
            </w:r>
          </w:p>
        </w:tc>
      </w:tr>
      <w:tr>
        <w:trPr/>
        <w:tc>
          <w:tcPr>
            <w:tcW w:w="4186"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CASH, CASH EQUIVALENTS AND RESTRICTED CASH, beginning</w:t>
              <w:br/>
              <w:t>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43,482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12,783</w:t>
            </w:r>
          </w:p>
        </w:tc>
        <w:tc>
          <w:tcPr>
            <w:tcW w:w="9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186"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CASH, CASH EQUIVALENTS AND RESTRICTED CASH, end of</w:t>
              <w:br/>
              <w:t>   period</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25,672</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13,377</w:t>
            </w:r>
          </w:p>
        </w:tc>
        <w:tc>
          <w:tcPr>
            <w:tcW w:w="9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Notes to Consolidated Financial Statements are an integral part of these statements.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5" w:before="0" w:after="0"/>
        <w:jc w:val="center"/>
        <w:rPr>
          <w:rFonts w:ascii="Times New Roman" w:hAnsi="Times New Roman"/>
          <w:b w:val="false"/>
          <w:sz w:val="20"/>
        </w:rPr>
      </w:pPr>
      <w:r>
        <w:rPr>
          <w:rFonts w:ascii="Times New Roman" w:hAnsi="Times New Roman"/>
          <w:b w:val="false"/>
          <w:sz w:val="20"/>
        </w:rPr>
        <w:t>Consolidated Statements of Cash Flows</w:t>
      </w:r>
    </w:p>
    <w:p>
      <w:pPr>
        <w:pStyle w:val="TextBody"/>
        <w:spacing w:lineRule="auto" w:line="295" w:before="0" w:after="0"/>
        <w:jc w:val="center"/>
        <w:rPr>
          <w:rFonts w:ascii="Times New Roman" w:hAnsi="Times New Roman"/>
          <w:b w:val="false"/>
          <w:i/>
          <w:sz w:val="20"/>
        </w:rPr>
      </w:pPr>
      <w:r>
        <w:rPr>
          <w:rFonts w:ascii="Times New Roman" w:hAnsi="Times New Roman"/>
          <w:b w:val="false"/>
          <w:i/>
          <w:sz w:val="20"/>
        </w:rPr>
        <w:t>(Unaudited, in thousands)</w:t>
      </w:r>
    </w:p>
    <w:p>
      <w:pPr>
        <w:pStyle w:val="TextBody"/>
        <w:spacing w:lineRule="auto" w:line="295" w:before="0" w:after="0"/>
        <w:jc w:val="center"/>
        <w:rPr/>
      </w:pPr>
      <w:r>
        <w:rPr/>
        <w:t> </w:t>
      </w:r>
    </w:p>
    <w:tbl>
      <w:tblPr>
        <w:tblW w:w="6769" w:type="dxa"/>
        <w:jc w:val="left"/>
        <w:tblInd w:w="0" w:type="dxa"/>
        <w:tblCellMar>
          <w:top w:w="28" w:type="dxa"/>
          <w:left w:w="28" w:type="dxa"/>
          <w:bottom w:w="28" w:type="dxa"/>
          <w:right w:w="28" w:type="dxa"/>
        </w:tblCellMar>
      </w:tblPr>
      <w:tblGrid>
        <w:gridCol w:w="4351"/>
        <w:gridCol w:w="146"/>
        <w:gridCol w:w="181"/>
        <w:gridCol w:w="511"/>
        <w:gridCol w:w="151"/>
        <w:gridCol w:w="146"/>
        <w:gridCol w:w="181"/>
        <w:gridCol w:w="511"/>
        <w:gridCol w:w="591"/>
      </w:tblGrid>
      <w:tr>
        <w:trPr/>
        <w:tc>
          <w:tcPr>
            <w:tcW w:w="4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3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8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For the Three Months</w:t>
              <w:br/>
              <w:t>Ended March 31,</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43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8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2022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5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SUPPLEMENTAL DISCLOSURE OF CASH FLOW INFORMATION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435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Cash paid for interest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398</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4,624</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435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Net cash (received)/paid for income taxes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(236</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407</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35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NON-CASH OPERATING, INVESTING AND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435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Additions to 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1,823</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5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Additions to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1,823</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5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Accrual for settlement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12,466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5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Additions to 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127</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3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hanging="0"/>
              <w:jc w:val="right"/>
              <w:rPr/>
            </w:pPr>
            <w:r>
              <w:rPr/>
              <w:t> </w:t>
            </w:r>
          </w:p>
        </w:tc>
      </w:tr>
      <w:tr>
        <w:trPr/>
        <w:tc>
          <w:tcPr>
            <w:tcW w:w="435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RECONCILIATION OF CASH, CASH EQUIVALENTS AND</w:t>
              <w:br/>
              <w:t>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435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23,655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12,179</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351"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2,017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1,198</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4351" w:type="dxa"/>
            <w:tcBorders/>
            <w:shd w:fill="auto" w:val="clear"/>
            <w:vAlign w:val="center"/>
          </w:tcPr>
          <w:p>
            <w:pPr>
              <w:pStyle w:val="TableContents"/>
              <w:spacing w:lineRule="auto" w:line="252" w:before="0" w:after="0"/>
              <w:ind w:left="400" w:right="0" w:hanging="0"/>
              <w:jc w:val="left"/>
              <w:rPr>
                <w:rFonts w:ascii="Times New Roman" w:hAnsi="Times New Roman"/>
                <w:b w:val="false"/>
                <w:sz w:val="14"/>
              </w:rPr>
            </w:pPr>
            <w:r>
              <w:rPr>
                <w:rFonts w:ascii="Times New Roman" w:hAnsi="Times New Roman"/>
                <w:b w:val="false"/>
                <w:sz w:val="14"/>
              </w:rPr>
              <w:t>Total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25,672</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13,377</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97" w:before="0" w:after="16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Notes to Consolidated Financial Statements are an integral part of these statements.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0" w:after="0"/>
        <w:jc w:val="both"/>
        <w:rPr>
          <w:rFonts w:ascii="Times New Roman" w:hAnsi="Times New Roman"/>
          <w:b/>
          <w:sz w:val="20"/>
        </w:rPr>
      </w:pPr>
      <w:bookmarkStart w:id="8" w:name="notes_to_fs"/>
      <w:bookmarkEnd w:id="8"/>
      <w:r>
        <w:rPr>
          <w:rFonts w:ascii="Times New Roman" w:hAnsi="Times New Roman"/>
          <w:b/>
          <w:sz w:val="20"/>
        </w:rPr>
        <w:t>Note 1. Description of Business</w:t>
      </w:r>
    </w:p>
    <w:p>
      <w:pPr>
        <w:pStyle w:val="TextBody"/>
        <w:spacing w:lineRule="auto" w:line="273" w:before="120" w:after="0"/>
        <w:jc w:val="both"/>
        <w:rPr>
          <w:rFonts w:ascii="Times New Roman" w:hAnsi="Times New Roman"/>
          <w:b/>
          <w:sz w:val="20"/>
        </w:rPr>
      </w:pPr>
      <w:r>
        <w:rPr>
          <w:rFonts w:ascii="Times New Roman" w:hAnsi="Times New Roman"/>
          <w:b/>
          <w:sz w:val="20"/>
        </w:rPr>
        <w:t>Description of Business</w:t>
      </w:r>
    </w:p>
    <w:p>
      <w:pPr>
        <w:pStyle w:val="TextBody"/>
        <w:spacing w:lineRule="auto" w:line="273" w:before="120" w:after="0"/>
        <w:jc w:val="left"/>
        <w:rPr>
          <w:rFonts w:ascii="Times New Roman" w:hAnsi="Times New Roman"/>
          <w:sz w:val="20"/>
        </w:rPr>
      </w:pPr>
      <w:r>
        <w:rPr>
          <w:rFonts w:ascii="Times New Roman" w:hAnsi="Times New Roman"/>
          <w:b w:val="false"/>
          <w:sz w:val="20"/>
        </w:rPr>
        <w:t>On October 20, 2021, P10 Holdings, Inc. ("P10 Holdings"), in connection with its Initial Public Offering ("IPO"), completed a reorganization and restructure. In connection with the reorganization, P10, Inc. ("P10") became the parent company and all of the existing equity of P10 Holdings, which is a wholly owned subsidiary of P10 including the convertible preferred units of P10 Intermediate, as defined below, were converted into common stock of P10. The offering and reorganization included a reverse stock split of P10 Holdings common stock on a 0.7-for-1</w:t>
      </w:r>
      <w:r>
        <w:rPr>
          <w:rFonts w:ascii="Times New Roman" w:hAnsi="Times New Roman"/>
          <w:sz w:val="20"/>
        </w:rPr>
        <w:t xml:space="preserve"> </w:t>
      </w:r>
      <w:r>
        <w:rPr>
          <w:rFonts w:ascii="Times New Roman" w:hAnsi="Times New Roman"/>
          <w:b w:val="false"/>
          <w:sz w:val="20"/>
        </w:rPr>
        <w:t>basis pursuant to which every outstanding share of common stock decreased to 0.7</w:t>
      </w:r>
      <w:r>
        <w:rPr>
          <w:rFonts w:ascii="Times New Roman" w:hAnsi="Times New Roman"/>
          <w:sz w:val="20"/>
        </w:rPr>
        <w:t xml:space="preserve"> </w:t>
      </w:r>
      <w:r>
        <w:rPr>
          <w:rFonts w:ascii="Times New Roman" w:hAnsi="Times New Roman"/>
          <w:b w:val="false"/>
          <w:sz w:val="20"/>
        </w:rPr>
        <w:t>shares. The number of shares have been retrospectively adjusted within these financial statements to reflect this stock split. The reorganization was considered a transaction between entities under common control. As a result, the consolidated financial statements for periods prior to the reorganization and IPO are the consolidated financial statements of P10 Holdings as the predecessor to P10 for accounting and reporting purposes.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Following the reorganization and IPO, P10 has two classes of common stock, Class A common stock and Class B common stock. Each share of Class B common stock is entitled to ten votes while each share of Class A common stock is entitled to one vote.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P10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pStyle w:val="TextBody"/>
        <w:spacing w:lineRule="auto" w:line="273" w:before="240" w:after="0"/>
        <w:jc w:val="left"/>
        <w:rPr>
          <w:rFonts w:ascii="Times New Roman" w:hAnsi="Times New Roman"/>
          <w:sz w:val="20"/>
        </w:rPr>
      </w:pPr>
      <w:r>
        <w:rPr>
          <w:rFonts w:ascii="Times New Roman" w:hAnsi="Times New Roman"/>
          <w:b w:val="false"/>
          <w:sz w:val="20"/>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and Hark Capital Advisors, LLC ("Hark").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On December 1, 2017, the Company changed its name from P10 Industries, Inc. to P10 Holdings, Inc. We were founded as a Texas corporation in 1992</w:t>
      </w:r>
      <w:r>
        <w:rPr>
          <w:rFonts w:ascii="Times New Roman" w:hAnsi="Times New Roman"/>
          <w:sz w:val="20"/>
        </w:rPr>
        <w:t xml:space="preserve"> </w:t>
      </w:r>
      <w:r>
        <w:rPr>
          <w:rFonts w:ascii="Times New Roman" w:hAnsi="Times New Roman"/>
          <w:b w:val="false"/>
          <w:sz w:val="20"/>
        </w:rPr>
        <w:t>and reincorporated in Delaware</w:t>
      </w:r>
      <w:r>
        <w:rPr>
          <w:rFonts w:ascii="Times New Roman" w:hAnsi="Times New Roman"/>
          <w:sz w:val="20"/>
        </w:rPr>
        <w:t xml:space="preserve"> </w:t>
      </w:r>
      <w:r>
        <w:rPr>
          <w:rFonts w:ascii="Times New Roman" w:hAnsi="Times New Roman"/>
          <w:b w:val="false"/>
          <w:sz w:val="20"/>
        </w:rPr>
        <w:t>in 2000. Our headquarters is in Dallas, Texas.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Five Points is a registered investment advisor with the United States Securities and Exchange Commission.</w:t>
      </w:r>
    </w:p>
    <w:p>
      <w:pPr>
        <w:pStyle w:val="TextBody"/>
        <w:spacing w:lineRule="auto" w:line="273" w:before="240" w:after="0"/>
        <w:jc w:val="left"/>
        <w:rPr>
          <w:rFonts w:ascii="Times New Roman" w:hAnsi="Times New Roman"/>
          <w:sz w:val="20"/>
        </w:rPr>
      </w:pPr>
      <w:r>
        <w:rPr>
          <w:rFonts w:ascii="Times New Roman" w:hAnsi="Times New Roman"/>
          <w:b w:val="false"/>
          <w:sz w:val="20"/>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On December 14, 2020, the Company completed the acquisition of 100% of the equity interest in ECG, and a noncontrolling interest in Enhanced Capital Partners, LLC (“ECP”) (collectively, “Enhanced”). Enhanced undertakes and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See Note 3 for additional information on these acquisitions.</w:t>
      </w:r>
    </w:p>
    <w:p>
      <w:pPr>
        <w:pStyle w:val="TextBody"/>
        <w:spacing w:lineRule="auto" w:line="273" w:before="360" w:after="0"/>
        <w:jc w:val="left"/>
        <w:rPr>
          <w:rFonts w:ascii="Times New Roman" w:hAnsi="Times New Roman"/>
          <w:sz w:val="20"/>
        </w:rPr>
      </w:pPr>
      <w:r>
        <w:rPr>
          <w:rFonts w:ascii="Times New Roman" w:hAnsi="Times New Roman"/>
          <w:b/>
          <w:sz w:val="20"/>
        </w:rPr>
        <w:t>Note 2. Significant Accounting Policies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Basis of Presentation</w:t>
      </w:r>
    </w:p>
    <w:p>
      <w:pPr>
        <w:pStyle w:val="TextBody"/>
        <w:spacing w:lineRule="auto" w:line="297"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months ended March 31, 2022 are not necessarily indicative of the results to be expected for the full year ended December 31, 2022.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Certain entities in which the Company holds an interest are investment companies that follow specialized accounting rules under U.S. GAAP and reflect their investments at estimated fair value. Accordingly, the carrying value of the Company’s equity method investments in such entities retains the specialized accounting treatment.</w:t>
      </w:r>
    </w:p>
    <w:p>
      <w:pPr>
        <w:pStyle w:val="TextBody"/>
        <w:spacing w:lineRule="auto" w:line="273" w:before="360" w:after="0"/>
        <w:jc w:val="left"/>
        <w:rPr>
          <w:rFonts w:ascii="Times New Roman" w:hAnsi="Times New Roman"/>
          <w:b/>
          <w:sz w:val="20"/>
        </w:rPr>
      </w:pPr>
      <w:r>
        <w:rPr>
          <w:rFonts w:ascii="Times New Roman" w:hAnsi="Times New Roman"/>
          <w:b/>
          <w:sz w:val="20"/>
        </w:rPr>
        <w:t>Principles of Consolidation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pStyle w:val="TextBody"/>
        <w:spacing w:lineRule="auto" w:line="273" w:before="240" w:after="0"/>
        <w:jc w:val="left"/>
        <w:rPr>
          <w:rFonts w:ascii="Times New Roman" w:hAnsi="Times New Roman"/>
          <w:sz w:val="20"/>
        </w:rPr>
      </w:pPr>
      <w:r>
        <w:rPr>
          <w:rFonts w:ascii="Times New Roman" w:hAnsi="Times New Roman"/>
          <w:b w:val="false"/>
          <w:sz w:val="20"/>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Holdco, RCP 2, RCP 3, TrueBridge, Bonaccord, and Hark. The assets and liabilities of the consolidated VIEs are presented on a gross basis in the Consolidated Balance Sheets. As a result of the reorganization, it was determined that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P10 Intermediate no longer qualifies as a VIE, but would still be consolidated under the voting interest model. This change has been retrospectively adjusted. See Note 7 for more information on both consolidated and unconsolidated VIEs.</w:t>
      </w:r>
    </w:p>
    <w:p>
      <w:pPr>
        <w:pStyle w:val="TextBody"/>
        <w:spacing w:lineRule="auto" w:line="273" w:before="240" w:after="0"/>
        <w:jc w:val="left"/>
        <w:rPr>
          <w:rFonts w:ascii="Times New Roman" w:hAnsi="Times New Roman"/>
          <w:sz w:val="20"/>
        </w:rPr>
      </w:pPr>
      <w:r>
        <w:rPr>
          <w:rFonts w:ascii="Times New Roman" w:hAnsi="Times New Roman"/>
          <w:b w:val="false"/>
          <w:sz w:val="20"/>
        </w:rPr>
        <w:t>Entities that do not qualify as VIEs are assessed for consolidation under the voting interest model. Under the voting interest model, the Company consolidates those entities it controls through a majority voting interest or other means. P10 Holdings, P10 Intermediate, Five Points and ECG are concluded to be consolidated subsidiaries of P10 under the voting interest model.</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Reclassifications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Certain reclassifications have been made within the Consolidated Financial Statements to conform prior periods with the current period presentation.</w:t>
      </w:r>
    </w:p>
    <w:p>
      <w:pPr>
        <w:pStyle w:val="TextBody"/>
        <w:spacing w:lineRule="auto" w:line="273" w:before="360" w:after="0"/>
        <w:jc w:val="left"/>
        <w:rPr>
          <w:rFonts w:ascii="Times New Roman" w:hAnsi="Times New Roman"/>
          <w:b/>
          <w:sz w:val="20"/>
        </w:rPr>
      </w:pPr>
      <w:r>
        <w:rPr>
          <w:rFonts w:ascii="Times New Roman" w:hAnsi="Times New Roman"/>
          <w:b/>
          <w:sz w:val="20"/>
        </w:rPr>
        <w:t>Use of Estimates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pStyle w:val="TextBody"/>
        <w:spacing w:lineRule="auto" w:line="273" w:before="360" w:after="0"/>
        <w:jc w:val="left"/>
        <w:rPr>
          <w:rFonts w:ascii="Times New Roman" w:hAnsi="Times New Roman"/>
          <w:b/>
          <w:sz w:val="20"/>
        </w:rPr>
      </w:pPr>
      <w:r>
        <w:rPr>
          <w:rFonts w:ascii="Times New Roman" w:hAnsi="Times New Roman"/>
          <w:b/>
          <w:sz w:val="20"/>
        </w:rPr>
        <w:t>Cash and Cash Equivalents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considers all highly liquid instruments with original maturities of three months or less to be cash equivalents. As of March 31, 2022, and December 31, 2021, cash equivalents include money market funds of $7.4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$10.7</w:t>
      </w:r>
      <w:r>
        <w:rPr>
          <w:rFonts w:ascii="Times New Roman" w:hAnsi="Times New Roman"/>
          <w:sz w:val="20"/>
        </w:rPr>
        <w:t xml:space="preserve"> </w:t>
      </w:r>
      <w:r>
        <w:rPr>
          <w:rFonts w:ascii="Times New Roman" w:hAnsi="Times New Roman"/>
          <w:b w:val="false"/>
          <w:sz w:val="20"/>
        </w:rPr>
        <w:t>million, respectively, which approximates fair value. The Company maintains its cash balances at various financial institutions, which may periodically exceed the Federal Deposit Insurance Corporation (“FDIC”) insured limits. The Company believes it is not exposed to any significant credit risk on cash.</w:t>
      </w:r>
    </w:p>
    <w:p>
      <w:pPr>
        <w:pStyle w:val="TextBody"/>
        <w:spacing w:lineRule="auto" w:line="273" w:before="360" w:after="0"/>
        <w:jc w:val="left"/>
        <w:rPr>
          <w:rFonts w:ascii="Times New Roman" w:hAnsi="Times New Roman"/>
          <w:b/>
          <w:sz w:val="20"/>
        </w:rPr>
      </w:pPr>
      <w:r>
        <w:rPr>
          <w:rFonts w:ascii="Times New Roman" w:hAnsi="Times New Roman"/>
          <w:b/>
          <w:sz w:val="20"/>
        </w:rPr>
        <w:t>Restricted Cash</w:t>
      </w:r>
    </w:p>
    <w:p>
      <w:pPr>
        <w:pStyle w:val="TextBody"/>
        <w:spacing w:lineRule="auto" w:line="273" w:before="120" w:after="0"/>
        <w:jc w:val="left"/>
        <w:rPr>
          <w:rFonts w:ascii="Times New Roman" w:hAnsi="Times New Roman"/>
          <w:sz w:val="20"/>
        </w:rPr>
      </w:pPr>
      <w:r>
        <w:rPr>
          <w:rFonts w:ascii="Times New Roman" w:hAnsi="Times New Roman"/>
          <w:b w:val="false"/>
          <w:sz w:val="20"/>
        </w:rPr>
        <w:t>Restricted cash as of March 31, 2022 and December 31, 2021</w:t>
      </w:r>
      <w:r>
        <w:rPr>
          <w:rFonts w:ascii="Times New Roman" w:hAnsi="Times New Roman"/>
          <w:sz w:val="20"/>
        </w:rPr>
        <w:t xml:space="preserve"> </w:t>
      </w:r>
      <w:r>
        <w:rPr>
          <w:rFonts w:ascii="Times New Roman" w:hAnsi="Times New Roman"/>
          <w:b w:val="false"/>
          <w:sz w:val="20"/>
        </w:rPr>
        <w:t>was primarily cash that is restricted due to certain deposits being held for customers.</w:t>
      </w:r>
    </w:p>
    <w:p>
      <w:pPr>
        <w:pStyle w:val="TextBody"/>
        <w:spacing w:lineRule="auto" w:line="273" w:before="360" w:after="0"/>
        <w:jc w:val="left"/>
        <w:rPr>
          <w:rFonts w:ascii="Times New Roman" w:hAnsi="Times New Roman"/>
          <w:b/>
          <w:sz w:val="20"/>
        </w:rPr>
      </w:pPr>
      <w:r>
        <w:rPr>
          <w:rFonts w:ascii="Times New Roman" w:hAnsi="Times New Roman"/>
          <w:b/>
          <w:sz w:val="20"/>
        </w:rPr>
        <w:t>Accounts Receivable and Due from Related Parties</w:t>
      </w:r>
    </w:p>
    <w:p>
      <w:pPr>
        <w:pStyle w:val="TextBody"/>
        <w:spacing w:lineRule="auto" w:line="273" w:before="120" w:after="0"/>
        <w:jc w:val="left"/>
        <w:rPr>
          <w:rFonts w:ascii="Times New Roman" w:hAnsi="Times New Roman"/>
          <w:sz w:val="20"/>
        </w:rPr>
      </w:pPr>
      <w:r>
        <w:rPr>
          <w:rFonts w:ascii="Times New Roman" w:hAnsi="Times New Roman"/>
          <w:b w:val="false"/>
          <w:sz w:val="20"/>
        </w:rPr>
        <w:t>Accounts receivable is equal to contractual amounts reduced for allowances, if applicable. The Company considers accounts receivable to be fully collectible; accordingly, no</w:t>
      </w:r>
      <w:r>
        <w:rPr>
          <w:rFonts w:ascii="Times New Roman" w:hAnsi="Times New Roman"/>
          <w:sz w:val="20"/>
        </w:rPr>
        <w:t xml:space="preserve"> </w:t>
      </w:r>
      <w:r>
        <w:rPr>
          <w:rFonts w:ascii="Times New Roman" w:hAnsi="Times New Roman"/>
          <w:b w:val="false"/>
          <w:sz w:val="20"/>
        </w:rPr>
        <w:t>allowance for doubtful accounts has been established as of March 31, 2022 and December 31, 2021. If accounts are subsequently determined to be uncollectible, they will be expensed in the period that determination is made.</w:t>
      </w:r>
    </w:p>
    <w:p>
      <w:pPr>
        <w:pStyle w:val="TextBody"/>
        <w:spacing w:lineRule="auto" w:line="273" w:before="240" w:after="0"/>
        <w:jc w:val="left"/>
        <w:rPr>
          <w:rFonts w:ascii="Times New Roman" w:hAnsi="Times New Roman"/>
          <w:sz w:val="20"/>
        </w:rPr>
      </w:pPr>
      <w:r>
        <w:rPr>
          <w:rFonts w:ascii="Times New Roman" w:hAnsi="Times New Roman"/>
          <w:b w:val="false"/>
          <w:sz w:val="20"/>
        </w:rPr>
        <w:t>Due from related parties represents receivables from the Funds for management fees earned but not yet received and reimbursable expenses from the Funds. These amounts are expected to be fully collectible.</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Note Receivable</w:t>
      </w:r>
    </w:p>
    <w:p>
      <w:pPr>
        <w:pStyle w:val="TextBody"/>
        <w:spacing w:lineRule="auto" w:line="273" w:before="120" w:after="0"/>
        <w:jc w:val="left"/>
        <w:rPr>
          <w:rFonts w:ascii="Times New Roman" w:hAnsi="Times New Roman"/>
          <w:sz w:val="20"/>
        </w:rPr>
      </w:pPr>
      <w:r>
        <w:rPr>
          <w:rFonts w:ascii="Times New Roman" w:hAnsi="Times New Roman"/>
          <w:b w:val="false"/>
          <w:sz w:val="20"/>
        </w:rPr>
        <w:t>Note receivable is equal to contractual amounts owed from a signed, secured promissory note with the Company. In addition to contractual amounts, borrowers are obligated to pay interest on outstanding amounts. The Company considers the note receivable to be fully collectible; accordingly, no</w:t>
      </w:r>
      <w:r>
        <w:rPr>
          <w:rFonts w:ascii="Times New Roman" w:hAnsi="Times New Roman"/>
          <w:sz w:val="20"/>
        </w:rPr>
        <w:t xml:space="preserve"> </w:t>
      </w:r>
      <w:r>
        <w:rPr>
          <w:rFonts w:ascii="Times New Roman" w:hAnsi="Times New Roman"/>
          <w:b w:val="false"/>
          <w:sz w:val="20"/>
        </w:rPr>
        <w:t>allowance for doubtful accounts has been established as of March 31, 2022</w:t>
      </w:r>
      <w:r>
        <w:rPr>
          <w:rFonts w:ascii="Times New Roman" w:hAnsi="Times New Roman"/>
          <w:sz w:val="20"/>
        </w:rPr>
        <w:t xml:space="preserve"> </w:t>
      </w:r>
      <w:r>
        <w:rPr>
          <w:rFonts w:ascii="Times New Roman" w:hAnsi="Times New Roman"/>
          <w:b w:val="false"/>
          <w:sz w:val="20"/>
        </w:rPr>
        <w:t>or as of December 31, 2021. If accounts are subsequently determined to be uncollectible, they will be expensed in the period that determination is made. See Note 6 for further discussion surrounding the note receivable.</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Investment in Unconsolidated Subsidiaries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evaluates its equity method investments for impairment whenever events or changes in circumstances indicate that the carrying amounts of such investments may not be recoverable.</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For certain entities in which the Company does not have significant influence and fair value is not readily determinable, we value these investments under the measurement alternative. Financial Accounting Standards Board (“FASB”) Accounting Standards Codification (“ASC”) 825, </w:t>
      </w:r>
      <w:r>
        <w:rPr>
          <w:rFonts w:ascii="Times New Roman" w:hAnsi="Times New Roman"/>
          <w:b w:val="false"/>
          <w:i/>
          <w:sz w:val="20"/>
        </w:rPr>
        <w:t>Financial Instruments</w:t>
      </w:r>
      <w:r>
        <w:rPr>
          <w:rFonts w:ascii="Times New Roman" w:hAnsi="Times New Roman"/>
          <w:b w:val="false"/>
          <w:sz w:val="20"/>
        </w:rPr>
        <w:t>,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w:t>
      </w:r>
    </w:p>
    <w:p>
      <w:pPr>
        <w:pStyle w:val="TextBody"/>
        <w:spacing w:lineRule="auto" w:line="273" w:before="360" w:after="0"/>
        <w:jc w:val="left"/>
        <w:rPr>
          <w:rFonts w:ascii="Times New Roman" w:hAnsi="Times New Roman"/>
          <w:b/>
          <w:sz w:val="20"/>
        </w:rPr>
      </w:pPr>
      <w:r>
        <w:rPr>
          <w:rFonts w:ascii="Times New Roman" w:hAnsi="Times New Roman"/>
          <w:b/>
          <w:sz w:val="20"/>
        </w:rPr>
        <w:t>Property and Equipment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pStyle w:val="TextBody"/>
        <w:spacing w:lineRule="auto" w:line="273" w:before="0" w:after="0"/>
        <w:jc w:val="left"/>
        <w:rPr/>
      </w:pPr>
      <w:r>
        <w:rPr/>
        <w:t> </w:t>
      </w:r>
    </w:p>
    <w:tbl>
      <w:tblPr>
        <w:tblW w:w="4460" w:type="dxa"/>
        <w:jc w:val="left"/>
        <w:tblInd w:w="0" w:type="dxa"/>
        <w:tblCellMar>
          <w:top w:w="28" w:type="dxa"/>
          <w:left w:w="28" w:type="dxa"/>
          <w:bottom w:w="28" w:type="dxa"/>
          <w:right w:w="28" w:type="dxa"/>
        </w:tblCellMar>
      </w:tblPr>
      <w:tblGrid>
        <w:gridCol w:w="2941"/>
        <w:gridCol w:w="146"/>
        <w:gridCol w:w="146"/>
        <w:gridCol w:w="146"/>
        <w:gridCol w:w="108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Computers and purchased software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8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3</w:t>
            </w:r>
            <w:r>
              <w:rPr>
                <w:rFonts w:ascii="Times New Roman" w:hAnsi="Times New Roman"/>
                <w:sz w:val="20"/>
              </w:rPr>
              <w:t> </w:t>
            </w:r>
            <w:r>
              <w:rPr>
                <w:rFonts w:ascii="Times New Roman" w:hAnsi="Times New Roman"/>
                <w:b w:val="false"/>
                <w:sz w:val="20"/>
              </w:rPr>
              <w:t>- 5 years</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Furniture and fixtures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8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7</w:t>
            </w:r>
            <w:r>
              <w:rPr>
                <w:rFonts w:ascii="Times New Roman" w:hAnsi="Times New Roman"/>
                <w:sz w:val="20"/>
              </w:rPr>
              <w:t> </w:t>
            </w:r>
            <w:r>
              <w:rPr>
                <w:rFonts w:ascii="Times New Roman" w:hAnsi="Times New Roman"/>
                <w:b w:val="false"/>
                <w:sz w:val="20"/>
              </w:rPr>
              <w:t>- 10 years</w:t>
            </w:r>
          </w:p>
        </w:tc>
      </w:tr>
    </w:tbl>
    <w:p>
      <w:pPr>
        <w:pStyle w:val="TextBody"/>
        <w:spacing w:lineRule="auto" w:line="273" w:before="0" w:after="0"/>
        <w:jc w:val="left"/>
        <w:rPr/>
      </w:pPr>
      <w:r>
        <w:rPr/>
        <w:t> </w:t>
      </w:r>
    </w:p>
    <w:p>
      <w:pPr>
        <w:pStyle w:val="TextBody"/>
        <w:spacing w:lineRule="auto" w:line="273" w:before="160" w:after="0"/>
        <w:jc w:val="left"/>
        <w:rPr>
          <w:rFonts w:ascii="Times New Roman" w:hAnsi="Times New Roman"/>
          <w:b/>
          <w:sz w:val="20"/>
        </w:rPr>
      </w:pPr>
      <w:r>
        <w:rPr>
          <w:rFonts w:ascii="Times New Roman" w:hAnsi="Times New Roman"/>
          <w:b/>
          <w:sz w:val="20"/>
        </w:rPr>
        <w:t>Long-lived Assets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Long-lived assets including property and equipment, lease right-of-use assets, and definite lived intangibles are evaluated for impairment under FASB ASC 360, </w:t>
      </w:r>
      <w:r>
        <w:rPr>
          <w:rFonts w:ascii="Times New Roman" w:hAnsi="Times New Roman"/>
          <w:b w:val="false"/>
          <w:i/>
          <w:sz w:val="20"/>
        </w:rPr>
        <w:t>Property, Plant, and Equipment</w:t>
      </w:r>
      <w:r>
        <w:rPr>
          <w:rFonts w:ascii="Times New Roman" w:hAnsi="Times New Roman"/>
          <w:b w:val="false"/>
          <w:sz w:val="20"/>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Leases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does not recognize a lease liability or right-of-use asset on our Consolidated Balance Sheets for short-term leases. Instead, the Company recognizes short-term lease payments as an expense on a straight-line basis over the lease term. A short-term lease is defined as a lease that, at the commencement date, has a lease term of 12 months or less and does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pStyle w:val="TextBody"/>
        <w:spacing w:lineRule="auto" w:line="273" w:before="360" w:after="0"/>
        <w:jc w:val="left"/>
        <w:rPr>
          <w:rFonts w:ascii="Times New Roman" w:hAnsi="Times New Roman"/>
          <w:b/>
          <w:sz w:val="20"/>
        </w:rPr>
      </w:pPr>
      <w:r>
        <w:rPr>
          <w:rFonts w:ascii="Times New Roman" w:hAnsi="Times New Roman"/>
          <w:b/>
          <w:sz w:val="20"/>
        </w:rPr>
        <w:t>Goodwill and Intangible Assets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Goodwill is initially measured as the excess of the cost of the acquired business over the sum of the amounts assigned to identifiable assets acquired, less the liabilities assumed. As of March 31, 2022, goodwill recorded on our Consolidated Balance Sheets relates to the acquisitions of RCP 2, RCP 3, Five Points, TrueBridge, Enhanced, Bonaccord, and Hark. As of March 31, 2022, the intangible assets are comprised of indefinite-lived intangible assets and finite-lived intangible assets related to the acquisitions of RCP 2, RCP 3, Five Points, TrueBridge, Enhanced, Bonaccord and Hark.</w:t>
      </w:r>
    </w:p>
    <w:p>
      <w:pPr>
        <w:pStyle w:val="TextBody"/>
        <w:spacing w:lineRule="auto" w:line="273" w:before="240" w:after="0"/>
        <w:jc w:val="left"/>
        <w:rPr>
          <w:rFonts w:ascii="Times New Roman" w:hAnsi="Times New Roman"/>
          <w:sz w:val="20"/>
        </w:rPr>
      </w:pPr>
      <w:r>
        <w:rPr>
          <w:rFonts w:ascii="Times New Roman" w:hAnsi="Times New Roman"/>
          <w:b w:val="false"/>
          <w:sz w:val="20"/>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w:t>
      </w:r>
      <w:r>
        <w:rPr>
          <w:rFonts w:ascii="Times New Roman" w:hAnsi="Times New Roman"/>
          <w:sz w:val="20"/>
        </w:rPr>
        <w:t xml:space="preserve"> </w:t>
      </w:r>
      <w:r>
        <w:rPr>
          <w:rFonts w:ascii="Times New Roman" w:hAnsi="Times New Roman"/>
          <w:b w:val="false"/>
          <w:sz w:val="20"/>
        </w:rPr>
        <w:t>7</w:t>
      </w:r>
      <w:r>
        <w:rPr>
          <w:rFonts w:ascii="Times New Roman" w:hAnsi="Times New Roman"/>
          <w:sz w:val="20"/>
        </w:rPr>
        <w:t xml:space="preserve"> </w:t>
      </w:r>
      <w:r>
        <w:rPr>
          <w:rFonts w:ascii="Times New Roman" w:hAnsi="Times New Roman"/>
          <w:b w:val="false"/>
          <w:sz w:val="20"/>
        </w:rPr>
        <w:t>and 16 years. Certain of our trade names are considered to have finite-lives. Finite-lived trade names are amortized over 10 years</w:t>
      </w:r>
      <w:r>
        <w:rPr>
          <w:rFonts w:ascii="Times New Roman" w:hAnsi="Times New Roman"/>
          <w:sz w:val="20"/>
        </w:rPr>
        <w:t xml:space="preserve"> </w:t>
      </w:r>
      <w:r>
        <w:rPr>
          <w:rFonts w:ascii="Times New Roman" w:hAnsi="Times New Roman"/>
          <w:b w:val="false"/>
          <w:sz w:val="20"/>
        </w:rPr>
        <w:t>in line with the pattern in which the economic benefits are expected to occur.</w:t>
      </w:r>
    </w:p>
    <w:p>
      <w:pPr>
        <w:pStyle w:val="TextBody"/>
        <w:spacing w:lineRule="auto" w:line="273" w:before="240" w:after="0"/>
        <w:jc w:val="left"/>
        <w:rPr>
          <w:rFonts w:ascii="Times New Roman" w:hAnsi="Times New Roman"/>
          <w:sz w:val="20"/>
        </w:rPr>
      </w:pPr>
      <w:r>
        <w:rPr>
          <w:rFonts w:ascii="Times New Roman" w:hAnsi="Times New Roman"/>
          <w:b w:val="false"/>
          <w:sz w:val="20"/>
        </w:rPr>
        <w:t>Goodwill is reviewed for impairment at least annually as of September 30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the respective carrying value. The reporting unit is the reporting level for testing the impairment of goodwill. If it is determined that it is more likely than not that a reporting unit’s fair value is less than its carrying value, then the Company will determine the fair value of the reporting unit and record an impairment charge for the difference between fair value and carrying value (not to exceed the carrying amount of goodwill).</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Contingent Consideration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March 31, 2022, contingent consideration recorded relates to the acquisitions of Hark and Bonaccord on the Consolidated Balance Sheets. The contingent consideration recorded as of March 31, 2021 on the Consolidated Balance Sheets relates to the TrueBridge acquisition.</w:t>
      </w:r>
    </w:p>
    <w:p>
      <w:pPr>
        <w:pStyle w:val="TextBody"/>
        <w:spacing w:lineRule="auto" w:line="273" w:before="360" w:after="0"/>
        <w:jc w:val="left"/>
        <w:rPr>
          <w:rFonts w:ascii="Times New Roman" w:hAnsi="Times New Roman"/>
          <w:b/>
          <w:sz w:val="20"/>
        </w:rPr>
      </w:pPr>
      <w:r>
        <w:rPr>
          <w:rFonts w:ascii="Times New Roman" w:hAnsi="Times New Roman"/>
          <w:b/>
          <w:sz w:val="20"/>
        </w:rPr>
        <w:t>Debt Issuance Costs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pStyle w:val="TextBody"/>
        <w:spacing w:lineRule="auto" w:line="273" w:before="360" w:after="0"/>
        <w:jc w:val="left"/>
        <w:rPr>
          <w:rFonts w:ascii="Times New Roman" w:hAnsi="Times New Roman"/>
          <w:b/>
          <w:sz w:val="20"/>
        </w:rPr>
      </w:pPr>
      <w:r>
        <w:rPr>
          <w:rFonts w:ascii="Times New Roman" w:hAnsi="Times New Roman"/>
          <w:b/>
          <w:sz w:val="20"/>
        </w:rPr>
        <w:t>Treasury Stock</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records common stock purchased for treasury at cost. At the date of subsequent reissuance, the treasury stock account is reduced by the cost of such stock using the average cost method.</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Fair Value Measurements</w:t>
      </w:r>
    </w:p>
    <w:p>
      <w:pPr>
        <w:pStyle w:val="TextBody"/>
        <w:spacing w:lineRule="auto" w:line="273" w:before="120" w:after="0"/>
        <w:jc w:val="left"/>
        <w:rPr>
          <w:rFonts w:ascii="Times New Roman" w:hAnsi="Times New Roman"/>
          <w:sz w:val="20"/>
        </w:rPr>
      </w:pPr>
      <w:r>
        <w:rPr>
          <w:rFonts w:ascii="Times New Roman" w:hAnsi="Times New Roman"/>
          <w:b w:val="false"/>
          <w:sz w:val="20"/>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As of March 31, 2022 and December 31, 2021, we used the following valuation techniques to measure fair value for assets and there were no changes to these methodologies during the periods presented: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Level 1—Assets were valued using the closing price reported in the active market in which the individual security was traded.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Level 2—Assets were valued using quoted prices in markets that are not active, broker dealer quotations, and other methods by which all significant inputs were observable at the measurement date.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Level 3—Assets were valued using unobservable inputs in which little or no market data exists as reported by the respective institutions at the measurement date.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carrying values of financial instruments comprising cash and cash equivalents, prepaid assets, accounts payable, accounts receivable and due from related parties approximate fair values due to the short-term maturities of these instruments. The fair value of the credit facilities approximate carrying value based on the interest rates which approximate current market rates. The Company has a contingent consideration liability related to the acquisitions of Hark and Bonaccord that is measured at fair value and is remeasured on a recurring basis. See Note 11 for additional information.</w:t>
      </w:r>
    </w:p>
    <w:p>
      <w:pPr>
        <w:pStyle w:val="TextBody"/>
        <w:spacing w:lineRule="auto" w:line="273" w:before="360" w:after="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r>
        <w:rPr>
          <w:rFonts w:ascii="Times New Roman" w:hAnsi="Times New Roman"/>
          <w:sz w:val="20"/>
        </w:rPr>
        <w:t xml:space="preserve"> </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Management and Advisory Fees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pStyle w:val="TextBody"/>
        <w:spacing w:lineRule="auto" w:line="273" w:before="240" w:after="0"/>
        <w:jc w:val="left"/>
        <w:rPr>
          <w:rFonts w:ascii="Times New Roman" w:hAnsi="Times New Roman"/>
          <w:sz w:val="20"/>
        </w:rPr>
      </w:pPr>
      <w:r>
        <w:rPr>
          <w:rFonts w:ascii="Times New Roman" w:hAnsi="Times New Roman"/>
          <w:b w:val="false"/>
          <w:sz w:val="20"/>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r>
        <w:rPr>
          <w:rFonts w:ascii="Times New Roman" w:hAnsi="Times New Roman"/>
          <w:sz w:val="20"/>
        </w:rPr>
        <w:t xml:space="preserve"> </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Other Revenue</w:t>
      </w:r>
    </w:p>
    <w:p>
      <w:pPr>
        <w:pStyle w:val="TextBody"/>
        <w:spacing w:lineRule="auto" w:line="273" w:before="120" w:after="0"/>
        <w:jc w:val="left"/>
        <w:rPr>
          <w:rFonts w:ascii="Times New Roman" w:hAnsi="Times New Roman"/>
          <w:sz w:val="20"/>
        </w:rPr>
      </w:pPr>
      <w:r>
        <w:rPr>
          <w:rFonts w:ascii="Times New Roman" w:hAnsi="Times New Roman"/>
          <w:b w:val="false"/>
          <w:sz w:val="20"/>
        </w:rPr>
        <w:t>Other revenue on our Consolidated Statements of Operations primarily consists of subscriptions, consulting agreements and referral fees.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the closing of certain opportunities.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Income Taxes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Current income tax expense represents our estimated taxes to be paid or refunded for the current period. In accordance with ASC 740, </w:t>
      </w:r>
      <w:r>
        <w:rPr>
          <w:rFonts w:ascii="Times New Roman" w:hAnsi="Times New Roman"/>
          <w:b w:val="false"/>
          <w:i/>
          <w:sz w:val="20"/>
        </w:rPr>
        <w:t>Income Taxes</w:t>
      </w:r>
      <w:r>
        <w:rPr>
          <w:rFonts w:ascii="Times New Roman" w:hAnsi="Times New Roman"/>
          <w:b w:val="false"/>
          <w:sz w:val="20"/>
        </w:rPr>
        <w:t>,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pStyle w:val="TextBody"/>
        <w:spacing w:lineRule="auto" w:line="273" w:before="240" w:after="0"/>
        <w:jc w:val="left"/>
        <w:rPr>
          <w:rFonts w:ascii="Times New Roman" w:hAnsi="Times New Roman"/>
          <w:sz w:val="20"/>
        </w:rPr>
      </w:pPr>
      <w:r>
        <w:rPr>
          <w:rFonts w:ascii="Times New Roman" w:hAnsi="Times New Roman"/>
          <w:b w:val="false"/>
          <w:sz w:val="20"/>
        </w:rPr>
        <w:t>We file various federal and state and local tax returns based on federal and state local consolidation and stand-alone tax rules as applicable.</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Earnings Per Share</w:t>
      </w:r>
    </w:p>
    <w:p>
      <w:pPr>
        <w:pStyle w:val="TextBody"/>
        <w:spacing w:lineRule="auto" w:line="273" w:before="120" w:after="0"/>
        <w:jc w:val="left"/>
        <w:rPr>
          <w:rFonts w:ascii="Times New Roman" w:hAnsi="Times New Roman"/>
          <w:sz w:val="20"/>
        </w:rPr>
      </w:pPr>
      <w:r>
        <w:rPr>
          <w:rFonts w:ascii="Times New Roman" w:hAnsi="Times New Roman"/>
          <w:b w:val="false"/>
          <w:sz w:val="20"/>
        </w:rPr>
        <w:t>Basic earnings per share (“EPS”) is calculated by dividing net income attributable to common stockholders by the weighted-average number of common shares outstanding during the period. Diluted EPS includes the determinants of basic EPS and common stock equivalents outstanding during the period adjusted to give effect to potentially dilutive securities. See Note 17 for additional information. Prior to the IPO, redeemable noncontrolling interests represented third party and related party interests in the Company's consolidated subsidiary, P10 Intermediate. Prior to the conversion of the redeemable convertible preferred shares issued by P10 Intermediate to class B shares, the numerator in the computation of diluted EPS was impacted by the redeemable convertible preferred shares. Under the if converted method, diluted EPS reflects a reduction in earnings that P10 would recognize by owning a smaller percentage of P10 Intermediate when the preferred shares are assumed to be converted.</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and restricted stock units that have been issued, but not vested. Under the treasury stock method, the unexercised options are assumed to be exercised at the beginning of the period or at issuance, if later. The assumed proceeds are then used to purchase shares of common stock at the average market price during the period.</w:t>
      </w:r>
    </w:p>
    <w:p>
      <w:pPr>
        <w:pStyle w:val="TextBody"/>
        <w:spacing w:lineRule="auto" w:line="273" w:before="360" w:after="0"/>
        <w:jc w:val="left"/>
        <w:rPr>
          <w:rFonts w:ascii="Times New Roman" w:hAnsi="Times New Roman"/>
          <w:b/>
          <w:sz w:val="20"/>
        </w:rPr>
      </w:pPr>
      <w:r>
        <w:rPr>
          <w:rFonts w:ascii="Times New Roman" w:hAnsi="Times New Roman"/>
          <w:b/>
          <w:sz w:val="20"/>
        </w:rPr>
        <w:t>Stock-Based Compensation Expense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Stock-based compensation relates to grants for shares of P10 awarded to our employees through stock options as well as RSUs awarded to employees and RSAs issued to non-employee directors as compensation for service on the Company's board. RSUs and RSAs stock compensation expense are recorded ratably over the vesting period at the fair market value on the grant date. Stock option compensation cost is estimated at the grant date based on the fair-value of the award, which is determined using the Black Scholes option valuation model and is recognized as an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Forfeitures are recognized as they occur.</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Segment Reporting</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The Company operates as an integrated private markets solution provider and a single operating segment. According to ASC 280, </w:t>
      </w:r>
      <w:r>
        <w:rPr>
          <w:rFonts w:ascii="Times New Roman" w:hAnsi="Times New Roman"/>
          <w:b w:val="false"/>
          <w:i/>
          <w:sz w:val="20"/>
        </w:rPr>
        <w:t>Disclosures about Segments of an Enterprise and Related Information</w:t>
      </w:r>
      <w:r>
        <w:rPr>
          <w:rFonts w:ascii="Times New Roman" w:hAnsi="Times New Roman"/>
          <w:b w:val="false"/>
          <w:sz w:val="20"/>
        </w:rPr>
        <w:t>, operating segments are defined as components of an enterprise for which separate financial information is evaluated regularly by the chief operating decision maker(s) in deciding how to allocate resources and in assessing performance.</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Business Acquisitions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In accordance with ASC 805, </w:t>
      </w:r>
      <w:r>
        <w:rPr>
          <w:rFonts w:ascii="Times New Roman" w:hAnsi="Times New Roman"/>
          <w:b w:val="false"/>
          <w:i/>
          <w:sz w:val="20"/>
        </w:rPr>
        <w:t>Business Combinations</w:t>
      </w:r>
      <w:r>
        <w:rPr>
          <w:rFonts w:ascii="Times New Roman" w:hAnsi="Times New Roman"/>
          <w:sz w:val="20"/>
        </w:rPr>
        <w:t xml:space="preserve"> </w:t>
      </w:r>
      <w:r>
        <w:rPr>
          <w:rFonts w:ascii="Times New Roman" w:hAnsi="Times New Roman"/>
          <w:b w:val="false"/>
          <w:sz w:val="20"/>
        </w:rPr>
        <w:t>(“ASC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pStyle w:val="TextBody"/>
        <w:spacing w:lineRule="auto" w:line="273" w:before="360" w:after="0"/>
        <w:jc w:val="left"/>
        <w:rPr>
          <w:rFonts w:ascii="Times New Roman" w:hAnsi="Times New Roman"/>
          <w:b/>
          <w:sz w:val="20"/>
        </w:rPr>
      </w:pPr>
      <w:r>
        <w:rPr>
          <w:rFonts w:ascii="Times New Roman" w:hAnsi="Times New Roman"/>
          <w:b/>
          <w:sz w:val="20"/>
        </w:rPr>
        <w:t>Recent Accounting Pronouncements</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The Company adopted ASU No. 2019-12, </w:t>
      </w:r>
      <w:r>
        <w:rPr>
          <w:rFonts w:ascii="Times New Roman" w:hAnsi="Times New Roman"/>
          <w:b w:val="false"/>
          <w:i/>
          <w:sz w:val="20"/>
        </w:rPr>
        <w:t xml:space="preserve">Income Taxes </w:t>
      </w:r>
      <w:r>
        <w:rPr>
          <w:rFonts w:ascii="Times New Roman" w:hAnsi="Times New Roman"/>
          <w:b w:val="false"/>
          <w:sz w:val="20"/>
        </w:rPr>
        <w:t>("Topic 740")</w:t>
      </w:r>
      <w:r>
        <w:rPr>
          <w:rFonts w:ascii="Times New Roman" w:hAnsi="Times New Roman"/>
          <w:b w:val="false"/>
          <w:i/>
          <w:sz w:val="20"/>
        </w:rPr>
        <w:t>: Disclosure Framework - Simplifying the Accounting for Income Taxes</w:t>
      </w:r>
      <w:r>
        <w:rPr>
          <w:rFonts w:ascii="Times New Roman" w:hAnsi="Times New Roman"/>
          <w:b w:val="false"/>
          <w:sz w:val="20"/>
        </w:rPr>
        <w:t>, on January 1, 2021, which simplified the accounting for income taxes by removing certain exceptions to the general principles of Topic 740 and clarifying and amending existing guidance. The adoption of this standard did not have a material impact on our financial statements.</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Pronouncements Not Yet Adopted</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In June 2016, the FASB issued ASU No. 2016-13, </w:t>
      </w:r>
      <w:r>
        <w:rPr>
          <w:rFonts w:ascii="Times New Roman" w:hAnsi="Times New Roman"/>
          <w:b w:val="false"/>
          <w:i/>
          <w:sz w:val="20"/>
        </w:rPr>
        <w:t>Measurement of Credit Losses on Financial Instruments</w:t>
      </w:r>
      <w:r>
        <w:rPr>
          <w:rFonts w:ascii="Times New Roman" w:hAnsi="Times New Roman"/>
          <w:sz w:val="20"/>
        </w:rPr>
        <w:t xml:space="preserve"> </w:t>
      </w:r>
      <w:r>
        <w:rPr>
          <w:rFonts w:ascii="Times New Roman" w:hAnsi="Times New Roman"/>
          <w:b w:val="false"/>
          <w:sz w:val="20"/>
        </w:rPr>
        <w:t xml:space="preserve">(“ASU 2016-13”). ASU 2016-13 provides amendments to ASC 326, </w:t>
      </w:r>
      <w:r>
        <w:rPr>
          <w:rFonts w:ascii="Times New Roman" w:hAnsi="Times New Roman"/>
          <w:b w:val="false"/>
          <w:i/>
          <w:sz w:val="20"/>
        </w:rPr>
        <w:t>Financial Instruments - Credit Losses</w:t>
      </w:r>
      <w:r>
        <w:rPr>
          <w:rFonts w:ascii="Times New Roman" w:hAnsi="Times New Roman"/>
          <w:b w:val="false"/>
          <w:sz w:val="20"/>
        </w:rPr>
        <w:t>, 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must be applied using the modified retrospective adoption method on January 1, 2023, with early adoption permitted.</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On October 28, 2021, the FASB issued ASU 2021-08, which amends ASC 805 to “require acquiring entities to apply Topic 606 to recognize and measure contract assets and contract liabilities in a business combination.” Under current GAAP, an acquirer generally recognizes such items at fair value on the acquisition date. The guidance is effective for fiscal years beginning after December 15, 2022.</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360" w:after="0"/>
        <w:jc w:val="both"/>
        <w:rPr>
          <w:rFonts w:ascii="Times New Roman" w:hAnsi="Times New Roman"/>
          <w:b/>
          <w:sz w:val="20"/>
        </w:rPr>
      </w:pPr>
      <w:r>
        <w:rPr>
          <w:rFonts w:ascii="Times New Roman" w:hAnsi="Times New Roman"/>
          <w:b/>
          <w:sz w:val="20"/>
        </w:rPr>
        <w:t>Note 3. Acquisitions</w:t>
      </w:r>
    </w:p>
    <w:p>
      <w:pPr>
        <w:pStyle w:val="TextBody"/>
        <w:spacing w:lineRule="auto" w:line="273" w:before="360" w:after="0"/>
        <w:jc w:val="both"/>
        <w:rPr>
          <w:rFonts w:ascii="Times New Roman" w:hAnsi="Times New Roman"/>
          <w:b/>
          <w:sz w:val="20"/>
        </w:rPr>
      </w:pPr>
      <w:r>
        <w:rPr>
          <w:rFonts w:ascii="Times New Roman" w:hAnsi="Times New Roman"/>
          <w:b/>
          <w:sz w:val="20"/>
        </w:rPr>
        <w:t>Acquisition of Bonaccord</w:t>
      </w:r>
    </w:p>
    <w:p>
      <w:pPr>
        <w:pStyle w:val="TextBody"/>
        <w:spacing w:lineRule="auto" w:line="273" w:before="120" w:after="0"/>
        <w:jc w:val="left"/>
        <w:rPr>
          <w:rFonts w:ascii="Times New Roman" w:hAnsi="Times New Roman"/>
          <w:sz w:val="20"/>
        </w:rPr>
      </w:pPr>
      <w:r>
        <w:rPr>
          <w:rFonts w:ascii="Times New Roman" w:hAnsi="Times New Roman"/>
          <w:b w:val="false"/>
          <w:sz w:val="20"/>
        </w:rPr>
        <w:t>On September 30, 2021, the Company completed the purchase of Bonaccord for total consideration of $56.4</w:t>
      </w:r>
      <w:r>
        <w:rPr>
          <w:rFonts w:ascii="Times New Roman" w:hAnsi="Times New Roman"/>
          <w:sz w:val="20"/>
        </w:rPr>
        <w:t xml:space="preserve"> </w:t>
      </w:r>
      <w:r>
        <w:rPr>
          <w:rFonts w:ascii="Times New Roman" w:hAnsi="Times New Roman"/>
          <w:b w:val="false"/>
          <w:sz w:val="20"/>
        </w:rPr>
        <w:t>million, which includes cash and contingent consideration. Bonaccord is engaged in the business of acquiring minority interests in alternative asset management companies focused on private market strategies which may include private equity, private client, real estate, and real asset strategies. The acquisition was accounted for as a business combination under the acquisition method of accounting pursuant to ASC 805.</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following is a summary of consideration paid:</w:t>
      </w:r>
    </w:p>
    <w:p>
      <w:pPr>
        <w:pStyle w:val="TextBody"/>
        <w:spacing w:lineRule="auto" w:line="273" w:before="0" w:after="0"/>
        <w:jc w:val="both"/>
        <w:rPr/>
      </w:pPr>
      <w:r>
        <w:rPr/>
        <w:t> </w:t>
      </w:r>
    </w:p>
    <w:tbl>
      <w:tblPr>
        <w:tblW w:w="4000" w:type="dxa"/>
        <w:jc w:val="left"/>
        <w:tblInd w:w="0" w:type="dxa"/>
        <w:tblCellMar>
          <w:top w:w="28" w:type="dxa"/>
          <w:left w:w="28" w:type="dxa"/>
          <w:bottom w:w="28" w:type="dxa"/>
          <w:right w:w="28" w:type="dxa"/>
        </w:tblCellMar>
      </w:tblPr>
      <w:tblGrid>
        <w:gridCol w:w="2576"/>
        <w:gridCol w:w="146"/>
        <w:gridCol w:w="211"/>
        <w:gridCol w:w="676"/>
        <w:gridCol w:w="391"/>
      </w:tblGrid>
      <w:tr>
        <w:trPr/>
        <w:tc>
          <w:tcPr>
            <w:tcW w:w="2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7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38,927</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17,435</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576"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Total purchase consideration</w:t>
            </w:r>
          </w:p>
        </w:tc>
        <w:tc>
          <w:tcPr>
            <w:tcW w:w="146" w:type="dxa"/>
            <w:tcBorders/>
            <w:shd w:fill="auto" w:val="clear"/>
            <w:vAlign w:val="center"/>
          </w:tcPr>
          <w:p>
            <w:pPr>
              <w:pStyle w:val="TableContents"/>
              <w:spacing w:lineRule="auto" w:line="252"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56,362</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 total of $35.0</w:t>
      </w:r>
      <w:r>
        <w:rPr>
          <w:rFonts w:ascii="Times New Roman" w:hAnsi="Times New Roman"/>
          <w:sz w:val="20"/>
        </w:rPr>
        <w:t xml:space="preserve"> </w:t>
      </w:r>
      <w:r>
        <w:rPr>
          <w:rFonts w:ascii="Times New Roman" w:hAnsi="Times New Roman"/>
          <w:b w:val="false"/>
          <w:sz w:val="20"/>
        </w:rPr>
        <w:t>million of the cash consideration was financed through an amendment to the term loan under the Facility with HPS Investment Partners, LLC ("HPS"). The additional draw had the same terms as the existing Facility, including the maturity date.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Included in total consideration is $17.4</w:t>
      </w:r>
      <w:r>
        <w:rPr>
          <w:rFonts w:ascii="Times New Roman" w:hAnsi="Times New Roman"/>
          <w:sz w:val="20"/>
        </w:rPr>
        <w:t xml:space="preserve"> </w:t>
      </w:r>
      <w:r>
        <w:rPr>
          <w:rFonts w:ascii="Times New Roman" w:hAnsi="Times New Roman"/>
          <w:b w:val="false"/>
          <w:sz w:val="20"/>
        </w:rPr>
        <w:t>million of contingent consideration, representing the fair value of expected future payments on the date of the acquisition. The amount ultimately owed to the sellers is based on achieving specific fundraising targets and any amounts paid to the sellers will be paid by October 2027, at which point the contingent consideration expires. Total contingent consideration payments will not exceed $20.0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fair value was derived from an analysis of the option pricing model and the scenario based model. The assumptions used in the analysis are inherently subjective; therefore, the ultimate amount of the liability may differ materially from the current estimate. As of March 31, 2022, the estimated fair value of the remaining contingent consideration totaled $19.2</w:t>
      </w:r>
      <w:r>
        <w:rPr>
          <w:rFonts w:ascii="Times New Roman" w:hAnsi="Times New Roman"/>
          <w:sz w:val="20"/>
        </w:rPr>
        <w:t xml:space="preserve"> </w:t>
      </w:r>
      <w:r>
        <w:rPr>
          <w:rFonts w:ascii="Times New Roman" w:hAnsi="Times New Roman"/>
          <w:b w:val="false"/>
          <w:sz w:val="20"/>
        </w:rPr>
        <w:t>million, with the increase since acquisition driven primarily by changes in the Company's borrowing rate due to the debt refinancing. See Note 11 for more details.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At the time of the acquisition, the Company entered into a Notice of Restricted Stock Units with certain employees of Bonaccord, for 1,113,637</w:t>
      </w:r>
      <w:r>
        <w:rPr>
          <w:rFonts w:ascii="Times New Roman" w:hAnsi="Times New Roman"/>
          <w:sz w:val="20"/>
        </w:rPr>
        <w:t xml:space="preserve"> </w:t>
      </w:r>
      <w:r>
        <w:rPr>
          <w:rFonts w:ascii="Times New Roman" w:hAnsi="Times New Roman"/>
          <w:b w:val="false"/>
          <w:sz w:val="20"/>
        </w:rPr>
        <w:t>Restricted Stock Units ("Bonaccord Units"), to be allocated and granted to employees at a later date for meeting certain performance metrics. The Bonaccord Units may not be transferred, sold, pledged, exchanged, assigned or otherwise encumbered or disposed of by any grantee until it has become vested. As of March 31, 2022, no</w:t>
      </w:r>
      <w:r>
        <w:rPr>
          <w:rFonts w:ascii="Times New Roman" w:hAnsi="Times New Roman"/>
          <w:sz w:val="20"/>
        </w:rPr>
        <w:t xml:space="preserve"> </w:t>
      </w:r>
      <w:r>
        <w:rPr>
          <w:rFonts w:ascii="Times New Roman" w:hAnsi="Times New Roman"/>
          <w:b w:val="false"/>
          <w:sz w:val="20"/>
        </w:rPr>
        <w:t>Bonaccord Units have been allocated to specific employees or vested and no expense has been recorded in the Consolidated Statements of Operations. The Bonaccord Units will be allocated to specific employees as the performance metrics are met.</w:t>
      </w:r>
    </w:p>
    <w:p>
      <w:pPr>
        <w:pStyle w:val="TextBody"/>
        <w:spacing w:lineRule="auto" w:line="273" w:before="240" w:after="0"/>
        <w:jc w:val="left"/>
        <w:rPr>
          <w:rFonts w:ascii="Times New Roman" w:hAnsi="Times New Roman"/>
          <w:sz w:val="20"/>
        </w:rPr>
      </w:pPr>
      <w:r>
        <w:rPr>
          <w:rFonts w:ascii="Times New Roman" w:hAnsi="Times New Roman"/>
          <w:b w:val="false"/>
          <w:sz w:val="20"/>
        </w:rPr>
        <w:t>In connection with the acquisition, the Company incurred a total of $0.5</w:t>
      </w:r>
      <w:r>
        <w:rPr>
          <w:rFonts w:ascii="Times New Roman" w:hAnsi="Times New Roman"/>
          <w:sz w:val="20"/>
        </w:rPr>
        <w:t xml:space="preserve"> </w:t>
      </w:r>
      <w:r>
        <w:rPr>
          <w:rFonts w:ascii="Times New Roman" w:hAnsi="Times New Roman"/>
          <w:b w:val="false"/>
          <w:sz w:val="20"/>
        </w:rPr>
        <w:t>million of acquisition-related expenses. Total acquisition-related expenses were $0</w:t>
      </w:r>
      <w:r>
        <w:rPr>
          <w:rFonts w:ascii="Times New Roman" w:hAnsi="Times New Roman"/>
          <w:sz w:val="20"/>
        </w:rPr>
        <w:t xml:space="preserve"> </w:t>
      </w:r>
      <w:r>
        <w:rPr>
          <w:rFonts w:ascii="Times New Roman" w:hAnsi="Times New Roman"/>
          <w:b w:val="false"/>
          <w:sz w:val="20"/>
        </w:rPr>
        <w:t>and $0</w:t>
      </w:r>
      <w:r>
        <w:rPr>
          <w:rFonts w:ascii="Times New Roman" w:hAnsi="Times New Roman"/>
          <w:sz w:val="20"/>
        </w:rPr>
        <w:t xml:space="preserve"> </w:t>
      </w:r>
      <w:r>
        <w:rPr>
          <w:rFonts w:ascii="Times New Roman" w:hAnsi="Times New Roman"/>
          <w:b w:val="false"/>
          <w:sz w:val="20"/>
        </w:rPr>
        <w:t>for the three months ended March 31, 2022 and March 31, 2021, respectively. These costs are included in professional fees on the Consolidated Statement of Operations.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acquisition date fair value of certain assets and liabilities, including intangible assets acquired and related weighted average expected lives are provisional and subject to revision within one year of the acquisition date. As such, our estimates of fair values are pending finalization, which may result in adjustments to goodwill.</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following table presents the provisional fair value of the net assets acquired as of the acquisition date:</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tbl>
      <w:tblPr>
        <w:tblW w:w="4560" w:type="dxa"/>
        <w:jc w:val="left"/>
        <w:tblInd w:w="0" w:type="dxa"/>
        <w:tblCellMar>
          <w:top w:w="28" w:type="dxa"/>
          <w:left w:w="28" w:type="dxa"/>
          <w:bottom w:w="28" w:type="dxa"/>
          <w:right w:w="28" w:type="dxa"/>
        </w:tblCellMar>
      </w:tblPr>
      <w:tblGrid>
        <w:gridCol w:w="2936"/>
        <w:gridCol w:w="146"/>
        <w:gridCol w:w="211"/>
        <w:gridCol w:w="676"/>
        <w:gridCol w:w="591"/>
      </w:tblGrid>
      <w:tr>
        <w:trPr/>
        <w:tc>
          <w:tcPr>
            <w:tcW w:w="29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93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3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2936"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Prepaid expenses and other assets</w:t>
            </w:r>
          </w:p>
        </w:tc>
        <w:tc>
          <w:tcPr>
            <w:tcW w:w="146" w:type="dxa"/>
            <w:tcBorders/>
            <w:shd w:fill="auto" w:val="clear"/>
            <w:vAlign w:val="center"/>
          </w:tcPr>
          <w:p>
            <w:pPr>
              <w:pStyle w:val="TableContents"/>
              <w:spacing w:lineRule="auto" w:line="252" w:before="0" w:after="0"/>
              <w:ind w:left="10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2936"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Investment in partnership</w:t>
            </w:r>
          </w:p>
        </w:tc>
        <w:tc>
          <w:tcPr>
            <w:tcW w:w="146" w:type="dxa"/>
            <w:tcBorders/>
            <w:shd w:fill="auto" w:val="clear"/>
            <w:vAlign w:val="center"/>
          </w:tcPr>
          <w:p>
            <w:pPr>
              <w:pStyle w:val="TableContents"/>
              <w:spacing w:lineRule="auto" w:line="252" w:before="0" w:after="0"/>
              <w:ind w:left="10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1,396</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2936"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Intangible assets</w:t>
            </w:r>
          </w:p>
        </w:tc>
        <w:tc>
          <w:tcPr>
            <w:tcW w:w="146" w:type="dxa"/>
            <w:tcBorders/>
            <w:shd w:fill="auto" w:val="clear"/>
            <w:vAlign w:val="center"/>
          </w:tcPr>
          <w:p>
            <w:pPr>
              <w:pStyle w:val="TableContents"/>
              <w:spacing w:lineRule="auto" w:line="252"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12,940</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293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Total assets acquired</w:t>
            </w:r>
          </w:p>
        </w:tc>
        <w:tc>
          <w:tcPr>
            <w:tcW w:w="146" w:type="dxa"/>
            <w:tcBorders/>
            <w:shd w:fill="auto" w:val="clear"/>
            <w:vAlign w:val="center"/>
          </w:tcPr>
          <w:p>
            <w:pPr>
              <w:pStyle w:val="TableContents"/>
              <w:spacing w:lineRule="auto" w:line="252" w:before="0" w:after="0"/>
              <w:ind w:left="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14,345</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3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591" w:type="dxa"/>
            <w:tcBorders/>
            <w:shd w:fill="auto" w:val="clear"/>
            <w:vAlign w:val="center"/>
          </w:tcPr>
          <w:p>
            <w:pPr>
              <w:pStyle w:val="TableContents"/>
              <w:spacing w:lineRule="auto" w:line="252" w:before="0" w:after="0"/>
              <w:ind w:left="0" w:right="0" w:firstLine="200"/>
              <w:jc w:val="center"/>
              <w:rPr/>
            </w:pPr>
            <w:r>
              <w:rPr/>
              <w:t> </w:t>
            </w:r>
          </w:p>
        </w:tc>
      </w:tr>
      <w:tr>
        <w:trPr/>
        <w:tc>
          <w:tcPr>
            <w:tcW w:w="2936"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Accrued expenses</w:t>
            </w:r>
          </w:p>
        </w:tc>
        <w:tc>
          <w:tcPr>
            <w:tcW w:w="146" w:type="dxa"/>
            <w:tcBorders/>
            <w:shd w:fill="auto" w:val="clear"/>
            <w:vAlign w:val="center"/>
          </w:tcPr>
          <w:p>
            <w:pPr>
              <w:pStyle w:val="TableContents"/>
              <w:spacing w:lineRule="auto" w:line="252"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293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Total liabilities assumed</w:t>
            </w:r>
          </w:p>
        </w:tc>
        <w:tc>
          <w:tcPr>
            <w:tcW w:w="146" w:type="dxa"/>
            <w:tcBorders/>
            <w:shd w:fill="auto" w:val="clear"/>
            <w:vAlign w:val="center"/>
          </w:tcPr>
          <w:p>
            <w:pPr>
              <w:pStyle w:val="TableContents"/>
              <w:spacing w:lineRule="auto" w:line="252" w:before="0" w:after="0"/>
              <w:ind w:left="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919</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591" w:type="dxa"/>
            <w:tcBorders/>
            <w:shd w:fill="auto" w:val="clear"/>
            <w:vAlign w:val="center"/>
          </w:tcPr>
          <w:p>
            <w:pPr>
              <w:pStyle w:val="TableContents"/>
              <w:spacing w:lineRule="auto" w:line="252" w:before="0" w:after="0"/>
              <w:ind w:left="0" w:right="0" w:firstLine="200"/>
              <w:jc w:val="center"/>
              <w:rPr/>
            </w:pPr>
            <w:r>
              <w:rPr/>
              <w:t> </w:t>
            </w:r>
          </w:p>
        </w:tc>
      </w:tr>
      <w:tr>
        <w:trPr/>
        <w:tc>
          <w:tcPr>
            <w:tcW w:w="2936"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Net identifiable assets acquired</w:t>
            </w:r>
          </w:p>
        </w:tc>
        <w:tc>
          <w:tcPr>
            <w:tcW w:w="146" w:type="dxa"/>
            <w:tcBorders/>
            <w:shd w:fill="auto" w:val="clear"/>
            <w:vAlign w:val="center"/>
          </w:tcPr>
          <w:p>
            <w:pPr>
              <w:pStyle w:val="TableContents"/>
              <w:spacing w:lineRule="auto" w:line="252" w:before="0" w:after="0"/>
              <w:ind w:left="10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13,426</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2936"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Goodwill</w:t>
            </w:r>
          </w:p>
        </w:tc>
        <w:tc>
          <w:tcPr>
            <w:tcW w:w="146" w:type="dxa"/>
            <w:tcBorders/>
            <w:shd w:fill="auto" w:val="clear"/>
            <w:vAlign w:val="center"/>
          </w:tcPr>
          <w:p>
            <w:pPr>
              <w:pStyle w:val="TableContents"/>
              <w:spacing w:lineRule="auto" w:line="252"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42,936</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293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Net assets acquired</w:t>
            </w:r>
          </w:p>
        </w:tc>
        <w:tc>
          <w:tcPr>
            <w:tcW w:w="146" w:type="dxa"/>
            <w:tcBorders/>
            <w:shd w:fill="auto" w:val="clear"/>
            <w:vAlign w:val="center"/>
          </w:tcPr>
          <w:p>
            <w:pPr>
              <w:pStyle w:val="TableContents"/>
              <w:spacing w:lineRule="auto" w:line="252" w:before="0" w:after="0"/>
              <w:ind w:left="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56,362</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table presents the provisional fair value of the identifiable intangible assets acquired:</w:t>
      </w:r>
    </w:p>
    <w:p>
      <w:pPr>
        <w:pStyle w:val="TextBody"/>
        <w:spacing w:lineRule="auto" w:line="273" w:before="0" w:after="0"/>
        <w:jc w:val="left"/>
        <w:rPr/>
      </w:pPr>
      <w:r>
        <w:rPr/>
        <w:t> </w:t>
      </w:r>
    </w:p>
    <w:tbl>
      <w:tblPr>
        <w:tblW w:w="6217" w:type="dxa"/>
        <w:jc w:val="left"/>
        <w:tblInd w:w="0" w:type="dxa"/>
        <w:tblCellMar>
          <w:top w:w="28" w:type="dxa"/>
          <w:left w:w="28" w:type="dxa"/>
          <w:bottom w:w="28" w:type="dxa"/>
          <w:right w:w="28" w:type="dxa"/>
        </w:tblCellMar>
      </w:tblPr>
      <w:tblGrid>
        <w:gridCol w:w="3766"/>
        <w:gridCol w:w="146"/>
        <w:gridCol w:w="211"/>
        <w:gridCol w:w="676"/>
        <w:gridCol w:w="146"/>
        <w:gridCol w:w="146"/>
        <w:gridCol w:w="1126"/>
      </w:tblGrid>
      <w:tr>
        <w:trPr/>
        <w:tc>
          <w:tcPr>
            <w:tcW w:w="3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r>
      <w:tr>
        <w:trPr/>
        <w:tc>
          <w:tcPr>
            <w:tcW w:w="37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2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r>
          </w:p>
        </w:tc>
      </w:tr>
      <w:tr>
        <w:trPr/>
        <w:tc>
          <w:tcPr>
            <w:tcW w:w="37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2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Average</w:t>
            </w:r>
          </w:p>
        </w:tc>
      </w:tr>
      <w:tr>
        <w:trPr/>
        <w:tc>
          <w:tcPr>
            <w:tcW w:w="37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2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Amortization</w:t>
            </w:r>
          </w:p>
        </w:tc>
      </w:tr>
      <w:tr>
        <w:trPr/>
        <w:tc>
          <w:tcPr>
            <w:tcW w:w="37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Period</w:t>
            </w:r>
          </w:p>
        </w:tc>
      </w:tr>
      <w:tr>
        <w:trPr/>
        <w:tc>
          <w:tcPr>
            <w:tcW w:w="37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Value of management and advisory contracts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9,450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r>
      <w:tr>
        <w:trPr/>
        <w:tc>
          <w:tcPr>
            <w:tcW w:w="37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Value of trade name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3,490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26" w:type="dxa"/>
            <w:tcBorders/>
            <w:shd w:fill="auto" w:val="clear"/>
            <w:vAlign w:val="center"/>
          </w:tcPr>
          <w:p>
            <w:pPr>
              <w:pStyle w:val="TableContents"/>
              <w:spacing w:lineRule="auto" w:line="252" w:before="0" w:after="0"/>
              <w:ind w:left="0" w:right="0" w:firstLine="200"/>
              <w:jc w:val="right"/>
              <w:rPr>
                <w:rFonts w:ascii="Times New Roman" w:hAnsi="Times New Roman"/>
                <w:b w:val="false"/>
                <w:sz w:val="20"/>
              </w:rPr>
            </w:pPr>
            <w:r>
              <w:rPr>
                <w:rFonts w:ascii="Times New Roman" w:hAnsi="Times New Roman"/>
                <w:b w:val="false"/>
                <w:sz w:val="20"/>
              </w:rPr>
              <w:t>10</w:t>
            </w:r>
          </w:p>
        </w:tc>
      </w:tr>
      <w:tr>
        <w:trPr/>
        <w:tc>
          <w:tcPr>
            <w:tcW w:w="3766"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Total identifiable intangible assets</w:t>
            </w:r>
          </w:p>
        </w:tc>
        <w:tc>
          <w:tcPr>
            <w:tcW w:w="146" w:type="dxa"/>
            <w:tcBorders/>
            <w:shd w:fill="auto" w:val="clear"/>
            <w:vAlign w:val="center"/>
          </w:tcPr>
          <w:p>
            <w:pPr>
              <w:pStyle w:val="TableContents"/>
              <w:spacing w:lineRule="auto" w:line="252"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12,940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2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In connection with the acquisition, Bonaccord assumed a Strategic Alliance Agreement ("SAA"), providing a third-party the right to receive 15% of the net management fee earnings, which includes the management fees minus applicable expenses, for Bonaccord Fund I ("Fund I"), paid quarterly, in exchange for funding certain amounts of capital commitments to the fund. See Note 5 for more information.</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Goodwill</w:t>
      </w:r>
    </w:p>
    <w:p>
      <w:pPr>
        <w:pStyle w:val="TextBody"/>
        <w:spacing w:lineRule="auto" w:line="273" w:before="120" w:after="0"/>
        <w:jc w:val="left"/>
        <w:rPr>
          <w:rFonts w:ascii="Times New Roman" w:hAnsi="Times New Roman"/>
          <w:sz w:val="20"/>
        </w:rPr>
      </w:pPr>
      <w:r>
        <w:rPr>
          <w:rFonts w:ascii="Times New Roman" w:hAnsi="Times New Roman"/>
          <w:b w:val="false"/>
          <w:sz w:val="20"/>
        </w:rPr>
        <w:t>The goodwill recorded as part of the acquisition includes the expected benefits that management believes will result from the acquisition, including the Company’s build out of its investment product offering. Approximately $42.9</w:t>
      </w:r>
      <w:r>
        <w:rPr>
          <w:rFonts w:ascii="Times New Roman" w:hAnsi="Times New Roman"/>
          <w:sz w:val="20"/>
        </w:rPr>
        <w:t xml:space="preserve"> </w:t>
      </w:r>
      <w:r>
        <w:rPr>
          <w:rFonts w:ascii="Times New Roman" w:hAnsi="Times New Roman"/>
          <w:b w:val="false"/>
          <w:sz w:val="20"/>
        </w:rPr>
        <w:t>million of goodwill is expected to be deductible for tax purposes.</w:t>
      </w:r>
      <w:r>
        <w:rPr>
          <w:rFonts w:ascii="Times New Roman" w:hAnsi="Times New Roman"/>
          <w:sz w:val="20"/>
        </w:rPr>
        <w:t xml:space="preserve"> </w:t>
      </w:r>
    </w:p>
    <w:p>
      <w:pPr>
        <w:pStyle w:val="TextBody"/>
        <w:spacing w:lineRule="auto" w:line="273" w:before="360" w:after="0"/>
        <w:jc w:val="both"/>
        <w:rPr>
          <w:rFonts w:ascii="Times New Roman" w:hAnsi="Times New Roman"/>
          <w:b/>
          <w:sz w:val="20"/>
        </w:rPr>
      </w:pPr>
      <w:r>
        <w:rPr>
          <w:rFonts w:ascii="Times New Roman" w:hAnsi="Times New Roman"/>
          <w:b/>
          <w:sz w:val="20"/>
        </w:rPr>
        <w:t>Acquisition of Hark</w:t>
      </w:r>
    </w:p>
    <w:p>
      <w:pPr>
        <w:pStyle w:val="TextBody"/>
        <w:spacing w:lineRule="auto" w:line="273" w:before="120" w:after="0"/>
        <w:jc w:val="left"/>
        <w:rPr>
          <w:rFonts w:ascii="Times New Roman" w:hAnsi="Times New Roman"/>
          <w:sz w:val="20"/>
        </w:rPr>
      </w:pPr>
      <w:r>
        <w:rPr>
          <w:rFonts w:ascii="Times New Roman" w:hAnsi="Times New Roman"/>
          <w:b w:val="false"/>
          <w:sz w:val="20"/>
        </w:rPr>
        <w:t>On September 30, 2021, the Company completed the purchase of Hark for total consideration of $7.2</w:t>
      </w:r>
      <w:r>
        <w:rPr>
          <w:rFonts w:ascii="Times New Roman" w:hAnsi="Times New Roman"/>
          <w:sz w:val="20"/>
        </w:rPr>
        <w:t xml:space="preserve"> </w:t>
      </w:r>
      <w:r>
        <w:rPr>
          <w:rFonts w:ascii="Times New Roman" w:hAnsi="Times New Roman"/>
          <w:b w:val="false"/>
          <w:sz w:val="20"/>
        </w:rPr>
        <w:t>million, which includes $5.0</w:t>
      </w:r>
      <w:r>
        <w:rPr>
          <w:rFonts w:ascii="Times New Roman" w:hAnsi="Times New Roman"/>
          <w:sz w:val="20"/>
        </w:rPr>
        <w:t xml:space="preserve"> </w:t>
      </w:r>
      <w:r>
        <w:rPr>
          <w:rFonts w:ascii="Times New Roman" w:hAnsi="Times New Roman"/>
          <w:b w:val="false"/>
          <w:sz w:val="20"/>
        </w:rPr>
        <w:t>million of cash and $2.2</w:t>
      </w:r>
      <w:r>
        <w:rPr>
          <w:rFonts w:ascii="Times New Roman" w:hAnsi="Times New Roman"/>
          <w:sz w:val="20"/>
        </w:rPr>
        <w:t xml:space="preserve"> </w:t>
      </w:r>
      <w:r>
        <w:rPr>
          <w:rFonts w:ascii="Times New Roman" w:hAnsi="Times New Roman"/>
          <w:b w:val="false"/>
          <w:sz w:val="20"/>
        </w:rPr>
        <w:t>million of estimated contingent consideration, with the fair value based on the scenario based method. The acquisition was accounted for as a business combination under the acquisition method of accounting pursuant to ASC 805.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The provisional fair value consisted of $2.5</w:t>
      </w:r>
      <w:r>
        <w:rPr>
          <w:rFonts w:ascii="Times New Roman" w:hAnsi="Times New Roman"/>
          <w:sz w:val="20"/>
        </w:rPr>
        <w:t xml:space="preserve"> </w:t>
      </w:r>
      <w:r>
        <w:rPr>
          <w:rFonts w:ascii="Times New Roman" w:hAnsi="Times New Roman"/>
          <w:b w:val="false"/>
          <w:sz w:val="20"/>
        </w:rPr>
        <w:t>million in net assets and $4.7</w:t>
      </w:r>
      <w:r>
        <w:rPr>
          <w:rFonts w:ascii="Times New Roman" w:hAnsi="Times New Roman"/>
          <w:sz w:val="20"/>
        </w:rPr>
        <w:t xml:space="preserve"> </w:t>
      </w:r>
      <w:r>
        <w:rPr>
          <w:rFonts w:ascii="Times New Roman" w:hAnsi="Times New Roman"/>
          <w:b w:val="false"/>
          <w:sz w:val="20"/>
        </w:rPr>
        <w:t>million in goodwill. The total contingent consideration payment will not exceed $5.4</w:t>
      </w:r>
      <w:r>
        <w:rPr>
          <w:rFonts w:ascii="Times New Roman" w:hAnsi="Times New Roman"/>
          <w:sz w:val="20"/>
        </w:rPr>
        <w:t xml:space="preserve"> </w:t>
      </w:r>
      <w:r>
        <w:rPr>
          <w:rFonts w:ascii="Times New Roman" w:hAnsi="Times New Roman"/>
          <w:b w:val="false"/>
          <w:sz w:val="20"/>
        </w:rPr>
        <w:t>million.</w:t>
      </w:r>
    </w:p>
    <w:p>
      <w:pPr>
        <w:pStyle w:val="TextBody"/>
        <w:spacing w:lineRule="auto" w:line="273" w:before="240" w:after="0"/>
        <w:jc w:val="left"/>
        <w:rPr>
          <w:rFonts w:ascii="Times New Roman" w:hAnsi="Times New Roman"/>
          <w:sz w:val="20"/>
        </w:rPr>
      </w:pPr>
      <w:r>
        <w:rPr>
          <w:rFonts w:ascii="Times New Roman" w:hAnsi="Times New Roman"/>
          <w:b w:val="false"/>
          <w:sz w:val="20"/>
        </w:rPr>
        <w:t>At the time of the acquisition, the Company entered into a Notice of Restricted Stock Units with an employee, which grants 95,455</w:t>
      </w:r>
      <w:r>
        <w:rPr>
          <w:rFonts w:ascii="Times New Roman" w:hAnsi="Times New Roman"/>
          <w:sz w:val="20"/>
        </w:rPr>
        <w:t xml:space="preserve"> </w:t>
      </w:r>
      <w:r>
        <w:rPr>
          <w:rFonts w:ascii="Times New Roman" w:hAnsi="Times New Roman"/>
          <w:b w:val="false"/>
          <w:sz w:val="20"/>
        </w:rPr>
        <w:t>Restricted Stock Units ("Hark Units") for meeting a certain performance metric. The Hark Units may not be transferred, sold, pledged, exchanged, assigned or otherwise encumbered or disposed of by any grantee until they have become vested. As of March 31, 2022, no</w:t>
      </w:r>
      <w:r>
        <w:rPr>
          <w:rFonts w:ascii="Times New Roman" w:hAnsi="Times New Roman"/>
          <w:sz w:val="20"/>
        </w:rPr>
        <w:t xml:space="preserve"> </w:t>
      </w:r>
      <w:r>
        <w:rPr>
          <w:rFonts w:ascii="Times New Roman" w:hAnsi="Times New Roman"/>
          <w:b w:val="false"/>
          <w:sz w:val="20"/>
        </w:rPr>
        <w:t>Hark Units have vested and no expense has been recorded in the Consolidated Statements of Operations as we have not determined that the achievement of the performance metric is probable.</w:t>
      </w:r>
    </w:p>
    <w:p>
      <w:pPr>
        <w:pStyle w:val="TextBody"/>
        <w:spacing w:lineRule="auto" w:line="273" w:before="24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360" w:after="0"/>
        <w:jc w:val="both"/>
        <w:rPr>
          <w:rFonts w:ascii="Times New Roman" w:hAnsi="Times New Roman"/>
          <w:b/>
          <w:sz w:val="20"/>
        </w:rPr>
      </w:pPr>
      <w:r>
        <w:rPr>
          <w:rFonts w:ascii="Times New Roman" w:hAnsi="Times New Roman"/>
          <w:b/>
          <w:sz w:val="20"/>
        </w:rPr>
        <w:t>Identifiable Intangible Assets</w:t>
      </w:r>
    </w:p>
    <w:p>
      <w:pPr>
        <w:pStyle w:val="TextBody"/>
        <w:spacing w:lineRule="auto" w:line="273" w:before="120" w:after="0"/>
        <w:jc w:val="left"/>
        <w:rPr>
          <w:rFonts w:ascii="Times New Roman" w:hAnsi="Times New Roman"/>
          <w:sz w:val="20"/>
        </w:rPr>
      </w:pPr>
      <w:r>
        <w:rPr>
          <w:rFonts w:ascii="Times New Roman" w:hAnsi="Times New Roman"/>
          <w:b w:val="false"/>
          <w:sz w:val="20"/>
        </w:rPr>
        <w:t>The fair value of management and advisory contracts acquired were estimated using the excess earnings method. Significant inputs to the valuation model include existing revenue, estimates of expenses and contributory asset charges, the economic life of the contracts and a discount rate based on a weighted average cost of capital.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fair value of trade names acquired were estimated using the relief from royalty method. Significant inputs to the valuation model include estimates of existing and future revenue, estimated royalty rate, economic life and a discount rate based on a weighted average cost of capital.</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fair value of technology acquired was estimated using the relief from royalty method. Significant inputs to the valuation model include a royalty rate, an estimated life and a discount rate.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management and advisory contracts, trade names and the acquired technology all have a finite useful life. The carrying value of the management fund and advisory contracts and trade names will be amortized in line with the pattern in which the economic benefits arise and are reviewed at least annually for indicators of impairment in value that is other than temporary. The technology will be amortized on a straight-line basis.</w:t>
      </w:r>
    </w:p>
    <w:p>
      <w:pPr>
        <w:pStyle w:val="TextBody"/>
        <w:spacing w:lineRule="auto" w:line="273" w:before="360" w:after="0"/>
        <w:jc w:val="both"/>
        <w:rPr>
          <w:rFonts w:ascii="Times New Roman" w:hAnsi="Times New Roman"/>
          <w:b/>
          <w:sz w:val="20"/>
        </w:rPr>
      </w:pPr>
      <w:r>
        <w:rPr>
          <w:rFonts w:ascii="Times New Roman" w:hAnsi="Times New Roman"/>
          <w:b/>
          <w:sz w:val="20"/>
        </w:rPr>
        <w:t>Pro-forma Financial Information</w:t>
      </w:r>
    </w:p>
    <w:p>
      <w:pPr>
        <w:pStyle w:val="TextBody"/>
        <w:spacing w:lineRule="auto" w:line="273" w:before="120" w:after="0"/>
        <w:jc w:val="both"/>
        <w:rPr>
          <w:rFonts w:ascii="Times New Roman" w:hAnsi="Times New Roman"/>
          <w:b w:val="false"/>
          <w:i/>
          <w:sz w:val="20"/>
        </w:rPr>
      </w:pPr>
      <w:r>
        <w:rPr>
          <w:rFonts w:ascii="Times New Roman" w:hAnsi="Times New Roman"/>
          <w:b w:val="false"/>
          <w:i/>
          <w:sz w:val="20"/>
        </w:rPr>
        <w:t>Prior Year Acquisition: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unaudited pro forma condensed consolidated results of operations of the Company assumes the acquisition of Bonaccord was completed on January 1, 2021:</w:t>
      </w:r>
    </w:p>
    <w:p>
      <w:pPr>
        <w:pStyle w:val="TextBody"/>
        <w:spacing w:lineRule="auto" w:line="273" w:before="0" w:after="0"/>
        <w:jc w:val="left"/>
        <w:rPr/>
      </w:pPr>
      <w:r>
        <w:rPr/>
        <w:t> </w:t>
      </w:r>
    </w:p>
    <w:tbl>
      <w:tblPr>
        <w:tblW w:w="5014" w:type="dxa"/>
        <w:jc w:val="left"/>
        <w:tblInd w:w="0" w:type="dxa"/>
        <w:tblCellMar>
          <w:top w:w="28" w:type="dxa"/>
          <w:left w:w="28" w:type="dxa"/>
          <w:bottom w:w="28" w:type="dxa"/>
          <w:right w:w="28" w:type="dxa"/>
        </w:tblCellMar>
      </w:tblPr>
      <w:tblGrid>
        <w:gridCol w:w="2611"/>
        <w:gridCol w:w="146"/>
        <w:gridCol w:w="211"/>
        <w:gridCol w:w="676"/>
        <w:gridCol w:w="146"/>
        <w:gridCol w:w="146"/>
        <w:gridCol w:w="211"/>
        <w:gridCol w:w="676"/>
        <w:gridCol w:w="191"/>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6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w:t>
              <w:br/>
              <w:t>Ended March 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6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43,281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36,455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 attributable to P10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7,792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3,248</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Pro-forma adjustments include revenue and net income (loss) of the acquired business for each period. Other pro forma adjustments include intangible amortization expense and interest expense based on debt issued in connection with the acquisition as if the acquisition were completed on January 1, 2021.</w:t>
      </w:r>
      <w:r>
        <w:rPr>
          <w:rFonts w:ascii="Times New Roman" w:hAnsi="Times New Roman"/>
          <w:sz w:val="20"/>
        </w:rPr>
        <w:t xml:space="preserve"> </w:t>
      </w:r>
    </w:p>
    <w:p>
      <w:pPr>
        <w:pStyle w:val="TextBody"/>
        <w:spacing w:lineRule="auto" w:line="273" w:before="360" w:after="0"/>
        <w:jc w:val="both"/>
        <w:rPr>
          <w:rFonts w:ascii="Times New Roman" w:hAnsi="Times New Roman"/>
          <w:b/>
          <w:sz w:val="20"/>
        </w:rPr>
      </w:pPr>
      <w:r>
        <w:rPr>
          <w:rFonts w:ascii="Times New Roman" w:hAnsi="Times New Roman"/>
          <w:b/>
          <w:sz w:val="20"/>
        </w:rPr>
        <w:t>Note 4. Revenue</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presents revenues disaggregated by product offering:</w:t>
      </w:r>
    </w:p>
    <w:p>
      <w:pPr>
        <w:pStyle w:val="TextBody"/>
        <w:spacing w:lineRule="auto" w:line="273" w:before="0" w:after="0"/>
        <w:jc w:val="both"/>
        <w:rPr/>
      </w:pPr>
      <w:r>
        <w:rPr/>
        <w:t> </w:t>
      </w:r>
    </w:p>
    <w:tbl>
      <w:tblPr>
        <w:tblW w:w="5244" w:type="dxa"/>
        <w:jc w:val="left"/>
        <w:tblInd w:w="0" w:type="dxa"/>
        <w:tblCellMar>
          <w:top w:w="28" w:type="dxa"/>
          <w:left w:w="28" w:type="dxa"/>
          <w:bottom w:w="28" w:type="dxa"/>
          <w:right w:w="28" w:type="dxa"/>
        </w:tblCellMar>
      </w:tblPr>
      <w:tblGrid>
        <w:gridCol w:w="2641"/>
        <w:gridCol w:w="146"/>
        <w:gridCol w:w="211"/>
        <w:gridCol w:w="676"/>
        <w:gridCol w:w="146"/>
        <w:gridCol w:w="146"/>
        <w:gridCol w:w="211"/>
        <w:gridCol w:w="676"/>
        <w:gridCol w:w="391"/>
      </w:tblGrid>
      <w:tr>
        <w:trPr/>
        <w:tc>
          <w:tcPr>
            <w:tcW w:w="2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6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w:t>
              <w:br/>
              <w:t>Ended March 31,</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26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Management and advisory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32,573</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6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Subscriptions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6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6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revenues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43,281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32,768</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160" w:after="0"/>
        <w:jc w:val="both"/>
        <w:rPr>
          <w:rFonts w:ascii="Times New Roman" w:hAnsi="Times New Roman"/>
          <w:sz w:val="20"/>
        </w:rPr>
      </w:pPr>
      <w:r>
        <w:rPr>
          <w:rFonts w:ascii="Times New Roman" w:hAnsi="Times New Roman"/>
          <w:b/>
          <w:sz w:val="20"/>
        </w:rPr>
        <w:t>Note 5. Strategic Alliance Expense</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connection with the Bonaccord acquisition, Bonaccord assumed a SAA. This SAA provides the third-party the right to receive 15% of the net management fee earnings, which includes the management fees minus applicable expenses, for Fund I, paid quarterly, in exchange for funding certain amounts of capital commitments to the fund. Net management fee earnings the third-party has the right to receive is based on the total capital committed.</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Within 60 days following the final closing of the next fund, Bonaccord Fund II ("Fund II"), the third-party has the opportunity to acquire equity interests in Bonaccord based on the amount of commitment made to subsequent Funds II and III that ranges from 0.1%-9.9% of equity in Bonaccord. If within 60 days of the final closing of Funds II and III, the third-party has not met specific equity commitments in the SAA, Bonaccord may elect to repurchase the equity interests at fair market value. In addition to this SAA, Bonaccord entered into another agreement with a third-party, similar to a placement fee arrangement, whereby the third party will receive 5% of net management fee revenues for Fund I. This expense is reported on the Consolidated Statements of Operations as strategic alliance expense in operating expenses. For the three months ended March 31, 2022, the strategic alliance expense reported was $0.2</w:t>
      </w:r>
      <w:r>
        <w:rPr>
          <w:rFonts w:ascii="Times New Roman" w:hAnsi="Times New Roman"/>
          <w:sz w:val="20"/>
        </w:rPr>
        <w:t xml:space="preserve"> </w:t>
      </w:r>
      <w:r>
        <w:rPr>
          <w:rFonts w:ascii="Times New Roman" w:hAnsi="Times New Roman"/>
          <w:b w:val="false"/>
          <w:sz w:val="20"/>
        </w:rPr>
        <w:t>million. In the three months ended March 31, 2021, there was no</w:t>
      </w:r>
      <w:r>
        <w:rPr>
          <w:rFonts w:ascii="Times New Roman" w:hAnsi="Times New Roman"/>
          <w:sz w:val="20"/>
        </w:rPr>
        <w:t xml:space="preserve"> </w:t>
      </w:r>
      <w:r>
        <w:rPr>
          <w:rFonts w:ascii="Times New Roman" w:hAnsi="Times New Roman"/>
          <w:b w:val="false"/>
          <w:sz w:val="20"/>
        </w:rPr>
        <w:t>strategic alliance expense.</w:t>
      </w:r>
    </w:p>
    <w:p>
      <w:pPr>
        <w:pStyle w:val="TextBody"/>
        <w:spacing w:lineRule="auto" w:line="273" w:before="360" w:after="0"/>
        <w:jc w:val="both"/>
        <w:rPr>
          <w:rFonts w:ascii="Times New Roman" w:hAnsi="Times New Roman"/>
          <w:b/>
          <w:sz w:val="20"/>
        </w:rPr>
      </w:pPr>
      <w:r>
        <w:rPr>
          <w:rFonts w:ascii="Times New Roman" w:hAnsi="Times New Roman"/>
          <w:b/>
          <w:sz w:val="20"/>
        </w:rPr>
        <w:t>Note 6. Note Receivable</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Company's note receivable consists of an Advance Agreement and Secured Promissory Note that was executed on September 30, 2021 between the Company and BCP Partners Holdings, LP ("BCP") to lend funds to certain employees to be used to pay general partner commitments to certain funds managed by Bonaccord. This agreement provides for a note to BCP for $5.0</w:t>
      </w:r>
      <w:r>
        <w:rPr>
          <w:rFonts w:ascii="Times New Roman" w:hAnsi="Times New Roman"/>
          <w:sz w:val="20"/>
        </w:rPr>
        <w:t xml:space="preserve"> </w:t>
      </w:r>
      <w:r>
        <w:rPr>
          <w:rFonts w:ascii="Times New Roman" w:hAnsi="Times New Roman"/>
          <w:b w:val="false"/>
          <w:sz w:val="20"/>
        </w:rPr>
        <w:t>million, of which $2.8</w:t>
      </w:r>
      <w:r>
        <w:rPr>
          <w:rFonts w:ascii="Times New Roman" w:hAnsi="Times New Roman"/>
          <w:sz w:val="20"/>
        </w:rPr>
        <w:t xml:space="preserve"> </w:t>
      </w:r>
      <w:r>
        <w:rPr>
          <w:rFonts w:ascii="Times New Roman" w:hAnsi="Times New Roman"/>
          <w:b w:val="false"/>
          <w:sz w:val="20"/>
        </w:rPr>
        <w:t>million was drawn as of March 31, 2022 with a maturity date of September 30, 2031. The note will earn interest at the greater of (i) the applicable federal rate that must be charged to avoid imputation of interest under Section 1274(d) of the U.S. Internal Revenue Code and (ii) 5.5%. Interest will be paid on December 31st of each year commencing December 31, 2021, with any unpaid accrued interest being capitalized and added to the outstanding principal balance.</w:t>
      </w:r>
      <w:r>
        <w:rPr>
          <w:rFonts w:ascii="Times New Roman" w:hAnsi="Times New Roman"/>
          <w:sz w:val="20"/>
        </w:rPr>
        <w:t xml:space="preserve"> </w:t>
      </w:r>
      <w:r>
        <w:rPr>
          <w:rFonts w:ascii="Times New Roman" w:hAnsi="Times New Roman"/>
          <w:b w:val="false"/>
          <w:sz w:val="20"/>
        </w:rPr>
        <w:t>There was no</w:t>
      </w:r>
      <w:r>
        <w:rPr>
          <w:rFonts w:ascii="Times New Roman" w:hAnsi="Times New Roman"/>
          <w:sz w:val="20"/>
        </w:rPr>
        <w:t xml:space="preserve"> </w:t>
      </w:r>
      <w:r>
        <w:rPr>
          <w:rFonts w:ascii="Times New Roman" w:hAnsi="Times New Roman"/>
          <w:b w:val="false"/>
          <w:sz w:val="20"/>
        </w:rPr>
        <w:t>cash paid for interest as of December 31, 2021. Principal payments will be made periodically as mandatorily required payments from available cash flows at BCP. As of March 31, 2022 and December 31, 2021, the outstanding balance was $2.8</w:t>
      </w:r>
      <w:r>
        <w:rPr>
          <w:rFonts w:ascii="Times New Roman" w:hAnsi="Times New Roman"/>
          <w:sz w:val="20"/>
        </w:rPr>
        <w:t xml:space="preserve"> </w:t>
      </w:r>
      <w:r>
        <w:rPr>
          <w:rFonts w:ascii="Times New Roman" w:hAnsi="Times New Roman"/>
          <w:b w:val="false"/>
          <w:sz w:val="20"/>
        </w:rPr>
        <w:t>million and $2.6</w:t>
      </w:r>
      <w:r>
        <w:rPr>
          <w:rFonts w:ascii="Times New Roman" w:hAnsi="Times New Roman"/>
          <w:sz w:val="20"/>
        </w:rPr>
        <w:t xml:space="preserve"> </w:t>
      </w:r>
      <w:r>
        <w:rPr>
          <w:rFonts w:ascii="Times New Roman" w:hAnsi="Times New Roman"/>
          <w:b w:val="false"/>
          <w:sz w:val="20"/>
        </w:rPr>
        <w:t>million, respectively. The Company recognized interest income of $0.1</w:t>
      </w:r>
      <w:r>
        <w:rPr>
          <w:rFonts w:ascii="Times New Roman" w:hAnsi="Times New Roman"/>
          <w:sz w:val="20"/>
        </w:rPr>
        <w:t xml:space="preserve"> </w:t>
      </w:r>
      <w:r>
        <w:rPr>
          <w:rFonts w:ascii="Times New Roman" w:hAnsi="Times New Roman"/>
          <w:b w:val="false"/>
          <w:sz w:val="20"/>
        </w:rPr>
        <w:t>million and $0</w:t>
      </w:r>
      <w:r>
        <w:rPr>
          <w:rFonts w:ascii="Times New Roman" w:hAnsi="Times New Roman"/>
          <w:sz w:val="20"/>
        </w:rPr>
        <w:t xml:space="preserve"> </w:t>
      </w:r>
      <w:r>
        <w:rPr>
          <w:rFonts w:ascii="Times New Roman" w:hAnsi="Times New Roman"/>
          <w:b w:val="false"/>
          <w:sz w:val="20"/>
        </w:rPr>
        <w:t>for the three months ended March 31, 2022 and March 31, 2021, respectively. This is presented in other revenue on the Consolidated Statement of Operations.</w:t>
      </w:r>
    </w:p>
    <w:p>
      <w:pPr>
        <w:pStyle w:val="TextBody"/>
        <w:spacing w:lineRule="auto" w:line="273" w:before="360" w:after="0"/>
        <w:jc w:val="left"/>
        <w:rPr>
          <w:rFonts w:ascii="Times New Roman" w:hAnsi="Times New Roman"/>
          <w:b/>
          <w:sz w:val="20"/>
        </w:rPr>
      </w:pPr>
      <w:r>
        <w:rPr>
          <w:rFonts w:ascii="Times New Roman" w:hAnsi="Times New Roman"/>
          <w:b/>
          <w:sz w:val="20"/>
        </w:rPr>
        <w:t>Note 7. Variable Interest Entities</w:t>
      </w:r>
    </w:p>
    <w:p>
      <w:pPr>
        <w:pStyle w:val="TextBody"/>
        <w:spacing w:lineRule="auto" w:line="273" w:before="120" w:after="0"/>
        <w:jc w:val="left"/>
        <w:rPr>
          <w:rFonts w:ascii="Times New Roman" w:hAnsi="Times New Roman"/>
          <w:b/>
          <w:sz w:val="20"/>
        </w:rPr>
      </w:pPr>
      <w:r>
        <w:rPr>
          <w:rFonts w:ascii="Times New Roman" w:hAnsi="Times New Roman"/>
          <w:b/>
          <w:sz w:val="20"/>
        </w:rPr>
        <w:t>Consolidated VIEs</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consolidates certain VIEs for which it is the primary beneficiary. VIEs consist of certain operating entities not wholly owned by the Company and include Holdco, RCP 2, RCP 3, TrueBridge, Hark and Bonaccord. See Note 2 for more information on the Company</w:t>
      </w:r>
      <w:r>
        <w:rPr>
          <w:rFonts w:ascii="Times New Roman" w:hAnsi="Times New Roman"/>
          <w:sz w:val="20"/>
        </w:rPr>
        <w:t>’</w:t>
      </w:r>
      <w:r>
        <w:rPr>
          <w:rFonts w:ascii="Times New Roman" w:hAnsi="Times New Roman"/>
          <w:b w:val="false"/>
          <w:sz w:val="20"/>
        </w:rPr>
        <w:t>s accounting policies related to the consolidation of VIEs. The assets of the consolidated VIEs totaled $398.6</w:t>
      </w:r>
      <w:r>
        <w:rPr>
          <w:rFonts w:ascii="Times New Roman" w:hAnsi="Times New Roman"/>
          <w:sz w:val="20"/>
        </w:rPr>
        <w:t xml:space="preserve"> </w:t>
      </w:r>
      <w:r>
        <w:rPr>
          <w:rFonts w:ascii="Times New Roman" w:hAnsi="Times New Roman"/>
          <w:b w:val="false"/>
          <w:sz w:val="20"/>
        </w:rPr>
        <w:t>million and $413.2</w:t>
      </w:r>
      <w:r>
        <w:rPr>
          <w:rFonts w:ascii="Times New Roman" w:hAnsi="Times New Roman"/>
          <w:sz w:val="20"/>
        </w:rPr>
        <w:t xml:space="preserve"> </w:t>
      </w:r>
      <w:r>
        <w:rPr>
          <w:rFonts w:ascii="Times New Roman" w:hAnsi="Times New Roman"/>
          <w:b w:val="false"/>
          <w:sz w:val="20"/>
        </w:rPr>
        <w:t>million as of March 31, 2022 and December 31, 2021, respectively. The liabilities of the consolidated VIEs totaled $47.2</w:t>
      </w:r>
      <w:r>
        <w:rPr>
          <w:rFonts w:ascii="Times New Roman" w:hAnsi="Times New Roman"/>
          <w:sz w:val="20"/>
        </w:rPr>
        <w:t xml:space="preserve"> </w:t>
      </w:r>
      <w:r>
        <w:rPr>
          <w:rFonts w:ascii="Times New Roman" w:hAnsi="Times New Roman"/>
          <w:b w:val="false"/>
          <w:sz w:val="20"/>
        </w:rPr>
        <w:t>million and $53.6</w:t>
      </w:r>
      <w:r>
        <w:rPr>
          <w:rFonts w:ascii="Times New Roman" w:hAnsi="Times New Roman"/>
          <w:sz w:val="20"/>
        </w:rPr>
        <w:t xml:space="preserve"> </w:t>
      </w:r>
      <w:r>
        <w:rPr>
          <w:rFonts w:ascii="Times New Roman" w:hAnsi="Times New Roman"/>
          <w:b w:val="false"/>
          <w:sz w:val="20"/>
        </w:rPr>
        <w:t>million as of March 31, 2022 and December 31, 2021, respectively. The assets of our consolidated VIE’s are owned by those entities and not generally available to satisfy P10’s obligations, and the liabilities of our consolidated VIE’s are obligations of those entities and their creditors do not generally have recourse to the assets of P10.</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Unconsolidated VIEs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w:t>
      </w:r>
    </w:p>
    <w:p>
      <w:pPr>
        <w:pStyle w:val="TextBody"/>
        <w:spacing w:lineRule="auto" w:line="273" w:before="360" w:after="0"/>
        <w:jc w:val="both"/>
        <w:rPr>
          <w:rFonts w:ascii="Times New Roman" w:hAnsi="Times New Roman"/>
          <w:b/>
          <w:sz w:val="20"/>
        </w:rPr>
      </w:pPr>
      <w:r>
        <w:rPr>
          <w:rFonts w:ascii="Times New Roman" w:hAnsi="Times New Roman"/>
          <w:b/>
          <w:sz w:val="20"/>
        </w:rPr>
        <w:t>Note 8. Investment in Unconsolidated Subsidiaries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Company’s investment in unconsolidated subsidiaries consist of equity method investments primarily related to ECG’s tax credit finance and asset management activities.</w:t>
      </w:r>
    </w:p>
    <w:p>
      <w:pPr>
        <w:pStyle w:val="TextBody"/>
        <w:spacing w:lineRule="auto" w:line="273" w:before="240" w:after="0"/>
        <w:jc w:val="left"/>
        <w:rPr>
          <w:rFonts w:ascii="Times New Roman" w:hAnsi="Times New Roman"/>
          <w:sz w:val="20"/>
        </w:rPr>
      </w:pPr>
      <w:r>
        <w:rPr>
          <w:rFonts w:ascii="Times New Roman" w:hAnsi="Times New Roman"/>
          <w:b w:val="false"/>
          <w:sz w:val="20"/>
        </w:rPr>
        <w:t>As of March 31, 2022, investment in unconsolidated subsidiaries totaled $2.0</w:t>
      </w:r>
      <w:r>
        <w:rPr>
          <w:rFonts w:ascii="Times New Roman" w:hAnsi="Times New Roman"/>
          <w:sz w:val="20"/>
        </w:rPr>
        <w:t xml:space="preserve"> </w:t>
      </w:r>
      <w:r>
        <w:rPr>
          <w:rFonts w:ascii="Times New Roman" w:hAnsi="Times New Roman"/>
          <w:b w:val="false"/>
          <w:sz w:val="20"/>
        </w:rPr>
        <w:t>million, of which $0.2</w:t>
      </w:r>
      <w:r>
        <w:rPr>
          <w:rFonts w:ascii="Times New Roman" w:hAnsi="Times New Roman"/>
          <w:sz w:val="20"/>
        </w:rPr>
        <w:t xml:space="preserve"> </w:t>
      </w:r>
      <w:r>
        <w:rPr>
          <w:rFonts w:ascii="Times New Roman" w:hAnsi="Times New Roman"/>
          <w:b w:val="false"/>
          <w:sz w:val="20"/>
        </w:rPr>
        <w:t>million related to ECG’s tax credit finance businesses and $1.8</w:t>
      </w:r>
      <w:r>
        <w:rPr>
          <w:rFonts w:ascii="Times New Roman" w:hAnsi="Times New Roman"/>
          <w:sz w:val="20"/>
        </w:rPr>
        <w:t xml:space="preserve"> </w:t>
      </w:r>
      <w:r>
        <w:rPr>
          <w:rFonts w:ascii="Times New Roman" w:hAnsi="Times New Roman"/>
          <w:b w:val="false"/>
          <w:sz w:val="20"/>
        </w:rPr>
        <w:t>million related to ECG’s asset management businesses. As of December 31, 2021, investment in unconsolidated subsidiaries totaled $1.8</w:t>
      </w:r>
      <w:r>
        <w:rPr>
          <w:rFonts w:ascii="Times New Roman" w:hAnsi="Times New Roman"/>
          <w:sz w:val="20"/>
        </w:rPr>
        <w:t xml:space="preserve"> </w:t>
      </w:r>
      <w:r>
        <w:rPr>
          <w:rFonts w:ascii="Times New Roman" w:hAnsi="Times New Roman"/>
          <w:b w:val="false"/>
          <w:sz w:val="20"/>
        </w:rPr>
        <w:t>million, of which $1.6</w:t>
      </w:r>
      <w:r>
        <w:rPr>
          <w:rFonts w:ascii="Times New Roman" w:hAnsi="Times New Roman"/>
          <w:sz w:val="20"/>
        </w:rPr>
        <w:t xml:space="preserve"> </w:t>
      </w:r>
      <w:r>
        <w:rPr>
          <w:rFonts w:ascii="Times New Roman" w:hAnsi="Times New Roman"/>
          <w:b w:val="false"/>
          <w:sz w:val="20"/>
        </w:rPr>
        <w:t>million related to ECG’s asset management businesses and $0.2</w:t>
      </w:r>
      <w:r>
        <w:rPr>
          <w:rFonts w:ascii="Times New Roman" w:hAnsi="Times New Roman"/>
          <w:sz w:val="20"/>
        </w:rPr>
        <w:t xml:space="preserve"> </w:t>
      </w:r>
      <w:r>
        <w:rPr>
          <w:rFonts w:ascii="Times New Roman" w:hAnsi="Times New Roman"/>
          <w:b w:val="false"/>
          <w:sz w:val="20"/>
        </w:rPr>
        <w:t>million related to ECG’s tax credit finance businesses.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Asset Management</w:t>
      </w:r>
    </w:p>
    <w:p>
      <w:pPr>
        <w:pStyle w:val="TextBody"/>
        <w:spacing w:lineRule="auto" w:line="273" w:before="120" w:after="0"/>
        <w:jc w:val="left"/>
        <w:rPr>
          <w:rFonts w:ascii="Times New Roman" w:hAnsi="Times New Roman"/>
          <w:sz w:val="20"/>
        </w:rPr>
      </w:pPr>
      <w:r>
        <w:rPr>
          <w:rFonts w:ascii="Times New Roman" w:hAnsi="Times New Roman"/>
          <w:b w:val="false"/>
          <w:sz w:val="20"/>
        </w:rPr>
        <w:t>ECG manages some of its alternative asset management funds through various unconsolidated subsidiaries and records these investments under the equity method of accounting. ECG recorded its share of income in the amount of $0.3</w:t>
      </w:r>
      <w:r>
        <w:rPr>
          <w:rFonts w:ascii="Times New Roman" w:hAnsi="Times New Roman"/>
          <w:sz w:val="20"/>
        </w:rPr>
        <w:t xml:space="preserve"> </w:t>
      </w:r>
      <w:r>
        <w:rPr>
          <w:rFonts w:ascii="Times New Roman" w:hAnsi="Times New Roman"/>
          <w:b w:val="false"/>
          <w:sz w:val="20"/>
        </w:rPr>
        <w:t>million for the three months ended March 31, 2022</w:t>
      </w:r>
      <w:r>
        <w:rPr>
          <w:rFonts w:ascii="Times New Roman" w:hAnsi="Times New Roman"/>
          <w:sz w:val="20"/>
        </w:rPr>
        <w:t xml:space="preserve"> </w:t>
      </w:r>
      <w:r>
        <w:rPr>
          <w:rFonts w:ascii="Times New Roman" w:hAnsi="Times New Roman"/>
          <w:b w:val="false"/>
          <w:sz w:val="20"/>
        </w:rPr>
        <w:t>and $0.2</w:t>
      </w:r>
      <w:r>
        <w:rPr>
          <w:rFonts w:ascii="Times New Roman" w:hAnsi="Times New Roman"/>
          <w:sz w:val="20"/>
        </w:rPr>
        <w:t xml:space="preserve"> </w:t>
      </w:r>
      <w:r>
        <w:rPr>
          <w:rFonts w:ascii="Times New Roman" w:hAnsi="Times New Roman"/>
          <w:b w:val="false"/>
          <w:sz w:val="20"/>
        </w:rPr>
        <w:t>million for the three months ended March 31, 2021. For the three months ended March 31, 2022, ECG made</w:t>
      </w:r>
      <w:r>
        <w:rPr>
          <w:rFonts w:ascii="Times New Roman" w:hAnsi="Times New Roman"/>
          <w:sz w:val="20"/>
        </w:rPr>
        <w:t xml:space="preserve"> </w:t>
      </w:r>
      <w:r>
        <w:rPr>
          <w:rFonts w:ascii="Times New Roman" w:hAnsi="Times New Roman"/>
          <w:b w:val="false"/>
          <w:sz w:val="20"/>
        </w:rPr>
        <w:t>$0</w:t>
      </w:r>
      <w:r>
        <w:rPr>
          <w:rFonts w:ascii="Times New Roman" w:hAnsi="Times New Roman"/>
          <w:sz w:val="20"/>
        </w:rPr>
        <w:t xml:space="preserve"> </w:t>
      </w:r>
      <w:r>
        <w:rPr>
          <w:rFonts w:ascii="Times New Roman" w:hAnsi="Times New Roman"/>
          <w:b w:val="false"/>
          <w:sz w:val="20"/>
        </w:rPr>
        <w:t>capital contributions and received distributions of $0.1</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p>
    <w:p>
      <w:pPr>
        <w:pStyle w:val="TextBody"/>
        <w:spacing w:lineRule="auto" w:line="273" w:before="360" w:after="0"/>
        <w:jc w:val="both"/>
        <w:rPr>
          <w:rFonts w:ascii="Times New Roman" w:hAnsi="Times New Roman"/>
          <w:sz w:val="20"/>
        </w:rPr>
      </w:pPr>
      <w:r>
        <w:rPr>
          <w:rFonts w:ascii="Times New Roman" w:hAnsi="Times New Roman"/>
          <w:b w:val="false"/>
          <w:i/>
          <w:sz w:val="20"/>
        </w:rPr>
        <w:t>Tax Credit Finance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ECG provides a wide range of tax credit transactions and consulting services through various entities which are wholly owned subsidiaries of Enhanced Tax Credit Finance, LLC (“ETCF”), which is a wholly owned subsidiary of ECG. Some of these subsidiaries own nominal interests, typically under 1.0%, in various VIEs and record these investments under the measurement alternative described in Note 2 above. For the three months ended March 31, 2022, ECG made $0</w:t>
      </w:r>
      <w:r>
        <w:rPr>
          <w:rFonts w:ascii="Times New Roman" w:hAnsi="Times New Roman"/>
          <w:sz w:val="20"/>
        </w:rPr>
        <w:t xml:space="preserve"> </w:t>
      </w:r>
      <w:r>
        <w:rPr>
          <w:rFonts w:ascii="Times New Roman" w:hAnsi="Times New Roman"/>
          <w:b w:val="false"/>
          <w:sz w:val="20"/>
        </w:rPr>
        <w:t>of capital contributions and received distributions of $0.</w:t>
      </w:r>
      <w:r>
        <w:rPr>
          <w:rFonts w:ascii="Times New Roman" w:hAnsi="Times New Roman"/>
          <w:sz w:val="20"/>
        </w:rPr>
        <w:t xml:space="preserve"> </w:t>
      </w:r>
    </w:p>
    <w:p>
      <w:pPr>
        <w:pStyle w:val="TextBody"/>
        <w:spacing w:lineRule="auto" w:line="273" w:before="360" w:after="0"/>
        <w:jc w:val="both"/>
        <w:rPr>
          <w:rFonts w:ascii="Times New Roman" w:hAnsi="Times New Roman"/>
          <w:b/>
          <w:sz w:val="20"/>
        </w:rPr>
      </w:pPr>
      <w:r>
        <w:rPr>
          <w:rFonts w:ascii="Times New Roman" w:hAnsi="Times New Roman"/>
          <w:b/>
          <w:sz w:val="20"/>
        </w:rPr>
        <w:t>Note 9. Property and Equipment</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Property and equipment consist of the following:</w:t>
      </w:r>
    </w:p>
    <w:p>
      <w:pPr>
        <w:pStyle w:val="TextBody"/>
        <w:spacing w:lineRule="auto" w:line="273" w:before="0" w:after="0"/>
        <w:jc w:val="both"/>
        <w:rPr/>
      </w:pPr>
      <w:r>
        <w:rPr/>
        <w:t> </w:t>
      </w:r>
    </w:p>
    <w:tbl>
      <w:tblPr>
        <w:tblW w:w="5205" w:type="dxa"/>
        <w:jc w:val="left"/>
        <w:tblInd w:w="0" w:type="dxa"/>
        <w:tblCellMar>
          <w:top w:w="28" w:type="dxa"/>
          <w:left w:w="28" w:type="dxa"/>
          <w:bottom w:w="28" w:type="dxa"/>
          <w:right w:w="28" w:type="dxa"/>
        </w:tblCellMar>
      </w:tblPr>
      <w:tblGrid>
        <w:gridCol w:w="2116"/>
        <w:gridCol w:w="146"/>
        <w:gridCol w:w="303"/>
        <w:gridCol w:w="732"/>
        <w:gridCol w:w="151"/>
        <w:gridCol w:w="146"/>
        <w:gridCol w:w="356"/>
        <w:gridCol w:w="859"/>
        <w:gridCol w:w="396"/>
      </w:tblGrid>
      <w:tr>
        <w:trPr/>
        <w:tc>
          <w:tcPr>
            <w:tcW w:w="2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21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As of March 31,</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As of December 31,</w:t>
            </w:r>
          </w:p>
        </w:tc>
        <w:tc>
          <w:tcPr>
            <w:tcW w:w="396" w:type="dxa"/>
            <w:tcBorders/>
            <w:shd w:fill="auto" w:val="clear"/>
            <w:vAlign w:val="center"/>
          </w:tcPr>
          <w:p>
            <w:pPr>
              <w:pStyle w:val="TableContents"/>
              <w:spacing w:lineRule="auto" w:line="252" w:before="0" w:after="0"/>
              <w:ind w:left="0" w:right="0" w:hanging="0"/>
              <w:jc w:val="center"/>
              <w:rPr/>
            </w:pPr>
            <w:r>
              <w:rPr/>
              <w:t> </w:t>
            </w:r>
          </w:p>
        </w:tc>
      </w:tr>
      <w:tr>
        <w:trPr/>
        <w:tc>
          <w:tcPr>
            <w:tcW w:w="21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5"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shd w:fill="auto" w:val="clear"/>
            <w:vAlign w:val="center"/>
          </w:tcPr>
          <w:p>
            <w:pPr>
              <w:pStyle w:val="TableContents"/>
              <w:spacing w:lineRule="auto" w:line="252" w:before="0" w:after="0"/>
              <w:ind w:left="0" w:right="0" w:hanging="0"/>
              <w:jc w:val="center"/>
              <w:rPr/>
            </w:pPr>
            <w:r>
              <w:rPr/>
              <w:t> </w:t>
            </w:r>
          </w:p>
        </w:tc>
        <w:tc>
          <w:tcPr>
            <w:tcW w:w="396" w:type="dxa"/>
            <w:tcBorders/>
            <w:shd w:fill="auto" w:val="clear"/>
            <w:vAlign w:val="center"/>
          </w:tcPr>
          <w:p>
            <w:pPr>
              <w:pStyle w:val="TableContents"/>
              <w:spacing w:lineRule="auto" w:line="252" w:before="0" w:after="0"/>
              <w:ind w:left="0" w:right="0" w:hanging="0"/>
              <w:jc w:val="center"/>
              <w:rPr/>
            </w:pPr>
            <w:r>
              <w:rPr/>
              <w:t> </w:t>
            </w:r>
          </w:p>
        </w:tc>
      </w:tr>
      <w:tr>
        <w:trPr/>
        <w:tc>
          <w:tcPr>
            <w:tcW w:w="21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2022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2021</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Computers and purchased software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73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471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859"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387</w:t>
            </w:r>
          </w:p>
        </w:tc>
        <w:tc>
          <w:tcPr>
            <w:tcW w:w="396" w:type="dxa"/>
            <w:tcBorders/>
            <w:shd w:fill="auto" w:val="clear"/>
            <w:vAlign w:val="center"/>
          </w:tcPr>
          <w:p>
            <w:pPr>
              <w:pStyle w:val="TableContents"/>
              <w:spacing w:lineRule="auto" w:line="252" w:before="0" w:after="0"/>
              <w:ind w:left="0" w:right="0" w:hanging="0"/>
              <w:jc w:val="left"/>
              <w:rPr/>
            </w:pPr>
            <w:r>
              <w:rPr/>
              <w:t> </w:t>
            </w:r>
          </w:p>
        </w:tc>
      </w:tr>
      <w:tr>
        <w:trPr/>
        <w:tc>
          <w:tcPr>
            <w:tcW w:w="21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Furniture and fixtures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 w:type="dxa"/>
            <w:tcBorders/>
            <w:shd w:fill="auto" w:val="clear"/>
            <w:vAlign w:val="center"/>
          </w:tcPr>
          <w:p>
            <w:pPr>
              <w:pStyle w:val="TableContents"/>
              <w:spacing w:lineRule="auto" w:line="252" w:before="0" w:after="0"/>
              <w:ind w:left="0" w:right="0" w:hanging="0"/>
              <w:jc w:val="left"/>
              <w:rPr/>
            </w:pPr>
            <w:r>
              <w:rPr/>
              <w:t> </w:t>
            </w:r>
          </w:p>
        </w:tc>
        <w:tc>
          <w:tcPr>
            <w:tcW w:w="73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633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left"/>
              <w:rPr/>
            </w:pPr>
            <w:r>
              <w:rPr/>
              <w:t> </w:t>
            </w:r>
          </w:p>
        </w:tc>
        <w:tc>
          <w:tcPr>
            <w:tcW w:w="859"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461</w:t>
            </w:r>
          </w:p>
        </w:tc>
        <w:tc>
          <w:tcPr>
            <w:tcW w:w="396" w:type="dxa"/>
            <w:tcBorders/>
            <w:shd w:fill="auto" w:val="clear"/>
            <w:vAlign w:val="center"/>
          </w:tcPr>
          <w:p>
            <w:pPr>
              <w:pStyle w:val="TableContents"/>
              <w:spacing w:lineRule="auto" w:line="252" w:before="0" w:after="0"/>
              <w:ind w:left="0" w:right="0" w:hanging="0"/>
              <w:jc w:val="left"/>
              <w:rPr/>
            </w:pPr>
            <w:r>
              <w:rPr/>
              <w:t> </w:t>
            </w:r>
          </w:p>
        </w:tc>
      </w:tr>
      <w:tr>
        <w:trPr/>
        <w:tc>
          <w:tcPr>
            <w:tcW w:w="21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 w:type="dxa"/>
            <w:tcBorders/>
            <w:shd w:fill="auto" w:val="clear"/>
            <w:vAlign w:val="center"/>
          </w:tcPr>
          <w:p>
            <w:pPr>
              <w:pStyle w:val="TableContents"/>
              <w:spacing w:lineRule="auto" w:line="252" w:before="0" w:after="0"/>
              <w:ind w:left="0" w:right="0" w:hanging="0"/>
              <w:jc w:val="left"/>
              <w:rPr/>
            </w:pPr>
            <w:r>
              <w:rPr/>
              <w:t> </w:t>
            </w:r>
          </w:p>
        </w:tc>
        <w:tc>
          <w:tcPr>
            <w:tcW w:w="73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576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left"/>
              <w:rPr/>
            </w:pPr>
            <w:r>
              <w:rPr/>
              <w:t> </w:t>
            </w:r>
          </w:p>
        </w:tc>
        <w:tc>
          <w:tcPr>
            <w:tcW w:w="859"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601</w:t>
            </w:r>
          </w:p>
        </w:tc>
        <w:tc>
          <w:tcPr>
            <w:tcW w:w="396" w:type="dxa"/>
            <w:tcBorders/>
            <w:shd w:fill="auto" w:val="clear"/>
            <w:vAlign w:val="center"/>
          </w:tcPr>
          <w:p>
            <w:pPr>
              <w:pStyle w:val="TableContents"/>
              <w:spacing w:lineRule="auto" w:line="252" w:before="0" w:after="0"/>
              <w:ind w:left="0" w:right="0" w:hanging="0"/>
              <w:jc w:val="left"/>
              <w:rPr/>
            </w:pPr>
            <w:r>
              <w:rPr/>
              <w:t> </w:t>
            </w:r>
          </w:p>
        </w:tc>
      </w:tr>
      <w:tr>
        <w:trPr/>
        <w:tc>
          <w:tcPr>
            <w:tcW w:w="21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1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73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1,683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859"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1,452</w:t>
            </w:r>
          </w:p>
        </w:tc>
        <w:tc>
          <w:tcPr>
            <w:tcW w:w="396" w:type="dxa"/>
            <w:tcBorders/>
            <w:shd w:fill="auto" w:val="clear"/>
            <w:vAlign w:val="center"/>
          </w:tcPr>
          <w:p>
            <w:pPr>
              <w:pStyle w:val="TableContents"/>
              <w:spacing w:lineRule="auto" w:line="252" w:before="0" w:after="0"/>
              <w:ind w:left="0" w:right="0" w:hanging="0"/>
              <w:jc w:val="left"/>
              <w:rPr/>
            </w:pPr>
            <w:r>
              <w:rPr/>
              <w:t> </w:t>
            </w:r>
          </w:p>
        </w:tc>
      </w:tr>
      <w:tr>
        <w:trPr/>
        <w:tc>
          <w:tcPr>
            <w:tcW w:w="21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Less: accumulated depreciation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(534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(471</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14"/>
              </w:rPr>
            </w:pPr>
            <w:r>
              <w:rPr>
                <w:rFonts w:ascii="Times New Roman" w:hAnsi="Times New Roman"/>
                <w:b w:val="false"/>
                <w:sz w:val="14"/>
              </w:rPr>
              <w:t>)</w:t>
            </w:r>
          </w:p>
        </w:tc>
      </w:tr>
      <w:tr>
        <w:trPr/>
        <w:tc>
          <w:tcPr>
            <w:tcW w:w="2116" w:type="dxa"/>
            <w:tcBorders/>
            <w:shd w:fill="auto" w:val="clear"/>
            <w:vAlign w:val="center"/>
          </w:tcPr>
          <w:p>
            <w:pPr>
              <w:pStyle w:val="TableContents"/>
              <w:spacing w:lineRule="auto" w:line="252" w:before="0" w:after="0"/>
              <w:ind w:left="200" w:right="0" w:hanging="0"/>
              <w:jc w:val="left"/>
              <w:rPr>
                <w:rFonts w:ascii="Times New Roman" w:hAnsi="Times New Roman"/>
                <w:b w:val="false"/>
                <w:sz w:val="14"/>
              </w:rPr>
            </w:pPr>
            <w:r>
              <w:rPr>
                <w:rFonts w:ascii="Times New Roman" w:hAnsi="Times New Roman"/>
                <w:b w:val="false"/>
                <w:sz w:val="14"/>
              </w:rPr>
              <w:t>Total 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1,149</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85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981</w:t>
            </w:r>
          </w:p>
        </w:tc>
        <w:tc>
          <w:tcPr>
            <w:tcW w:w="3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97" w:before="160" w:after="0"/>
        <w:jc w:val="left"/>
        <w:rPr>
          <w:rFonts w:ascii="Times New Roman" w:hAnsi="Times New Roman"/>
          <w:b/>
          <w:sz w:val="20"/>
        </w:rPr>
      </w:pPr>
      <w:r>
        <w:rPr>
          <w:rFonts w:ascii="Times New Roman" w:hAnsi="Times New Roman"/>
          <w:b/>
          <w:sz w:val="20"/>
        </w:rPr>
        <w:t>Note 10. Goodwill and Intangibles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Changes in goodwill for the three months ended March 31, 2022 are as follows:</w:t>
      </w:r>
    </w:p>
    <w:p>
      <w:pPr>
        <w:pStyle w:val="TextBody"/>
        <w:spacing w:lineRule="auto" w:line="273" w:before="0" w:after="0"/>
        <w:jc w:val="left"/>
        <w:rPr/>
      </w:pPr>
      <w:r>
        <w:rPr/>
        <w:t> </w:t>
      </w:r>
    </w:p>
    <w:tbl>
      <w:tblPr>
        <w:tblW w:w="4035" w:type="dxa"/>
        <w:jc w:val="left"/>
        <w:tblInd w:w="0" w:type="dxa"/>
        <w:tblCellMar>
          <w:top w:w="28" w:type="dxa"/>
          <w:left w:w="28" w:type="dxa"/>
          <w:bottom w:w="28" w:type="dxa"/>
          <w:right w:w="28" w:type="dxa"/>
        </w:tblCellMar>
      </w:tblPr>
      <w:tblGrid>
        <w:gridCol w:w="2686"/>
        <w:gridCol w:w="146"/>
        <w:gridCol w:w="211"/>
        <w:gridCol w:w="781"/>
        <w:gridCol w:w="21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Balance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418,701</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Purchase price adjustment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86"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Increase from acquisitions</w:t>
            </w:r>
          </w:p>
        </w:tc>
        <w:tc>
          <w:tcPr>
            <w:tcW w:w="146" w:type="dxa"/>
            <w:tcBorders/>
            <w:shd w:fill="auto" w:val="clear"/>
            <w:vAlign w:val="center"/>
          </w:tcPr>
          <w:p>
            <w:pPr>
              <w:pStyle w:val="TableContents"/>
              <w:spacing w:lineRule="auto" w:line="252"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Balance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418,690</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Intangibles consists of the following:</w:t>
      </w:r>
    </w:p>
    <w:p>
      <w:pPr>
        <w:pStyle w:val="TextBody"/>
        <w:spacing w:lineRule="auto" w:line="273" w:before="0" w:after="0"/>
        <w:jc w:val="left"/>
        <w:rPr/>
      </w:pPr>
      <w:r>
        <w:rPr/>
        <w:t> </w:t>
      </w:r>
    </w:p>
    <w:tbl>
      <w:tblPr>
        <w:tblW w:w="7818" w:type="dxa"/>
        <w:jc w:val="left"/>
        <w:tblInd w:w="0" w:type="dxa"/>
        <w:tblCellMar>
          <w:top w:w="28" w:type="dxa"/>
          <w:left w:w="28" w:type="dxa"/>
          <w:bottom w:w="28" w:type="dxa"/>
          <w:right w:w="28" w:type="dxa"/>
        </w:tblCellMar>
      </w:tblPr>
      <w:tblGrid>
        <w:gridCol w:w="3271"/>
        <w:gridCol w:w="146"/>
        <w:gridCol w:w="265"/>
        <w:gridCol w:w="980"/>
        <w:gridCol w:w="146"/>
        <w:gridCol w:w="146"/>
        <w:gridCol w:w="240"/>
        <w:gridCol w:w="841"/>
        <w:gridCol w:w="166"/>
        <w:gridCol w:w="146"/>
        <w:gridCol w:w="229"/>
        <w:gridCol w:w="851"/>
        <w:gridCol w:w="391"/>
      </w:tblGrid>
      <w:tr>
        <w:trPr/>
        <w:tc>
          <w:tcPr>
            <w:tcW w:w="3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01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 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2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 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Net Carrying</w:t>
              <w:br/>
              <w:t>Amount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Indefinite-lived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5"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81"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80"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Trade names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17,350</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indefinite-lived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17,380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17,380</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Finite-lived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081"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80"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Trade names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21,440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(2,187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19,253</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Management and advisory contracts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151,166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(66,575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84,591</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8,195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(6,777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1,418</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finite-lived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180,801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(75,539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105,262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198,181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(75,539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122,642</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tbl>
      <w:tblPr>
        <w:tblW w:w="7818" w:type="dxa"/>
        <w:jc w:val="left"/>
        <w:tblInd w:w="0" w:type="dxa"/>
        <w:tblCellMar>
          <w:top w:w="28" w:type="dxa"/>
          <w:left w:w="28" w:type="dxa"/>
          <w:bottom w:w="28" w:type="dxa"/>
          <w:right w:w="28" w:type="dxa"/>
        </w:tblCellMar>
      </w:tblPr>
      <w:tblGrid>
        <w:gridCol w:w="3271"/>
        <w:gridCol w:w="146"/>
        <w:gridCol w:w="265"/>
        <w:gridCol w:w="980"/>
        <w:gridCol w:w="146"/>
        <w:gridCol w:w="146"/>
        <w:gridCol w:w="240"/>
        <w:gridCol w:w="841"/>
        <w:gridCol w:w="166"/>
        <w:gridCol w:w="146"/>
        <w:gridCol w:w="229"/>
        <w:gridCol w:w="851"/>
        <w:gridCol w:w="391"/>
      </w:tblGrid>
      <w:tr>
        <w:trPr/>
        <w:tc>
          <w:tcPr>
            <w:tcW w:w="3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01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 December 31, 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2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 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Net Carrying</w:t>
              <w:br/>
              <w:t>Amount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Indefinite-lived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5"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81"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80"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Trade names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17,350</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indefinite-lived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17,380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17,380</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Finite-lived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081"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80"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Trade names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21,440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(1,785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19,655</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Management and advisory contracts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151,166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(60,934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shd w:fill="auto" w:val="clear"/>
            <w:vAlign w:val="center"/>
          </w:tcPr>
          <w:p>
            <w:pPr>
              <w:pStyle w:val="TableContents"/>
              <w:spacing w:lineRule="auto" w:line="252" w:before="0" w:after="0"/>
              <w:ind w:left="0" w:right="0" w:hanging="0"/>
              <w:jc w:val="left"/>
              <w:rPr/>
            </w:pPr>
            <w:r>
              <w:rPr/>
              <w:t> </w:t>
            </w:r>
          </w:p>
        </w:tc>
        <w:tc>
          <w:tcPr>
            <w:tcW w:w="8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90,232</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8,160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(6,639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finite-lived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180,766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(69,358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111,408</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198,146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(69,358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128,788</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Management and advisory contracts and finite lived trade names are amortized over 7</w:t>
      </w:r>
      <w:r>
        <w:rPr>
          <w:rFonts w:ascii="Times New Roman" w:hAnsi="Times New Roman"/>
          <w:sz w:val="20"/>
        </w:rPr>
        <w:t xml:space="preserve"> </w:t>
      </w:r>
      <w:r>
        <w:rPr>
          <w:rFonts w:ascii="Times New Roman" w:hAnsi="Times New Roman"/>
          <w:b w:val="false"/>
          <w:sz w:val="20"/>
        </w:rPr>
        <w:t>- 16</w:t>
      </w:r>
      <w:r>
        <w:rPr>
          <w:rFonts w:ascii="Times New Roman" w:hAnsi="Times New Roman"/>
          <w:sz w:val="20"/>
        </w:rPr>
        <w:t xml:space="preserve"> </w:t>
      </w:r>
      <w:r>
        <w:rPr>
          <w:rFonts w:ascii="Times New Roman" w:hAnsi="Times New Roman"/>
          <w:b w:val="false"/>
          <w:sz w:val="20"/>
        </w:rPr>
        <w:t>years and are being amortized in line with pattern in which the economic benefits are expected to arise. Technology is amortized on a straight-line basis over 4</w:t>
      </w:r>
      <w:r>
        <w:rPr>
          <w:rFonts w:ascii="Times New Roman" w:hAnsi="Times New Roman"/>
          <w:sz w:val="20"/>
        </w:rPr>
        <w:t xml:space="preserve"> </w:t>
      </w:r>
      <w:r>
        <w:rPr>
          <w:rFonts w:ascii="Times New Roman" w:hAnsi="Times New Roman"/>
          <w:b w:val="false"/>
          <w:sz w:val="20"/>
        </w:rPr>
        <w:t>years. The amortization expense for each of the next five years and thereafter are as follows:</w:t>
      </w:r>
    </w:p>
    <w:p>
      <w:pPr>
        <w:pStyle w:val="TextBody"/>
        <w:spacing w:lineRule="auto" w:line="273" w:before="0" w:after="0"/>
        <w:jc w:val="both"/>
        <w:rPr/>
      </w:pPr>
      <w:r>
        <w:rPr/>
        <w:t> </w:t>
      </w:r>
    </w:p>
    <w:tbl>
      <w:tblPr>
        <w:tblW w:w="3010" w:type="dxa"/>
        <w:jc w:val="left"/>
        <w:tblInd w:w="0" w:type="dxa"/>
        <w:tblCellMar>
          <w:top w:w="28" w:type="dxa"/>
          <w:left w:w="28" w:type="dxa"/>
          <w:bottom w:w="28" w:type="dxa"/>
          <w:right w:w="28" w:type="dxa"/>
        </w:tblCellMar>
      </w:tblPr>
      <w:tblGrid>
        <w:gridCol w:w="1681"/>
        <w:gridCol w:w="146"/>
        <w:gridCol w:w="211"/>
        <w:gridCol w:w="781"/>
        <w:gridCol w:w="1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Remainder of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18,479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21,155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17,590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13,807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10,878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23,353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6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105,262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97" w:before="160" w:after="0"/>
        <w:jc w:val="left"/>
        <w:rPr>
          <w:rFonts w:ascii="Times New Roman" w:hAnsi="Times New Roman"/>
          <w:b/>
          <w:sz w:val="20"/>
        </w:rPr>
      </w:pPr>
      <w:r>
        <w:rPr>
          <w:rFonts w:ascii="Times New Roman" w:hAnsi="Times New Roman"/>
          <w:b/>
          <w:sz w:val="20"/>
        </w:rPr>
        <w:t>Note 11. Fair Value Measurements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measures certain liabilities at fair value on a recurring basis. The following tables provide details regarding the classification of these liabilities within the fair value hierarchy as of the dates presented:</w:t>
      </w:r>
    </w:p>
    <w:p>
      <w:pPr>
        <w:pStyle w:val="TextBody"/>
        <w:spacing w:lineRule="auto" w:line="297" w:before="0" w:after="0"/>
        <w:jc w:val="left"/>
        <w:rPr/>
      </w:pPr>
      <w:r>
        <w:rPr/>
        <w:t> </w:t>
      </w:r>
    </w:p>
    <w:tbl>
      <w:tblPr>
        <w:tblW w:w="7532" w:type="dxa"/>
        <w:jc w:val="left"/>
        <w:tblInd w:w="0" w:type="dxa"/>
        <w:tblCellMar>
          <w:top w:w="28" w:type="dxa"/>
          <w:left w:w="28" w:type="dxa"/>
          <w:bottom w:w="28" w:type="dxa"/>
          <w:right w:w="28" w:type="dxa"/>
        </w:tblCellMar>
      </w:tblPr>
      <w:tblGrid>
        <w:gridCol w:w="3106"/>
        <w:gridCol w:w="393"/>
        <w:gridCol w:w="312"/>
        <w:gridCol w:w="146"/>
        <w:gridCol w:w="146"/>
        <w:gridCol w:w="435"/>
        <w:gridCol w:w="345"/>
        <w:gridCol w:w="146"/>
        <w:gridCol w:w="146"/>
        <w:gridCol w:w="211"/>
        <w:gridCol w:w="676"/>
        <w:gridCol w:w="146"/>
        <w:gridCol w:w="146"/>
        <w:gridCol w:w="211"/>
        <w:gridCol w:w="676"/>
        <w:gridCol w:w="291"/>
      </w:tblGrid>
      <w:tr>
        <w:trPr/>
        <w:tc>
          <w:tcPr>
            <w:tcW w:w="310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106" w:type="dxa"/>
            <w:tcBorders/>
            <w:shd w:fill="auto" w:val="clear"/>
            <w:vAlign w:val="center"/>
          </w:tcPr>
          <w:p>
            <w:pPr>
              <w:pStyle w:val="TableContents"/>
              <w:spacing w:lineRule="auto" w:line="252" w:before="0" w:after="0"/>
              <w:ind w:left="0" w:right="0" w:hanging="0"/>
              <w:jc w:val="left"/>
              <w:rPr/>
            </w:pPr>
            <w:r>
              <w:rPr/>
              <w:t> </w:t>
            </w:r>
          </w:p>
        </w:tc>
        <w:tc>
          <w:tcPr>
            <w:tcW w:w="4135"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As of March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106" w:type="dxa"/>
            <w:tcBorders/>
            <w:shd w:fill="auto" w:val="clear"/>
            <w:vAlign w:val="center"/>
          </w:tcPr>
          <w:p>
            <w:pPr>
              <w:pStyle w:val="TableContents"/>
              <w:spacing w:lineRule="auto" w:line="252" w:before="0" w:after="0"/>
              <w:ind w:left="0" w:right="0" w:hanging="0"/>
              <w:jc w:val="left"/>
              <w:rPr/>
            </w:pPr>
            <w:r>
              <w:rPr/>
              <w:t> </w:t>
            </w:r>
          </w:p>
        </w:tc>
        <w:tc>
          <w:tcPr>
            <w:tcW w:w="7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I</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8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II</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III</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10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Liabilities</w:t>
            </w:r>
          </w:p>
        </w:tc>
        <w:tc>
          <w:tcPr>
            <w:tcW w:w="70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310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Contingent consideration obligation</w:t>
            </w:r>
          </w:p>
        </w:tc>
        <w:tc>
          <w:tcPr>
            <w:tcW w:w="3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23,090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23,090</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1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liabilities</w:t>
            </w:r>
          </w:p>
        </w:tc>
        <w:tc>
          <w:tcPr>
            <w:tcW w:w="3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23,090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23,090</w:t>
            </w:r>
          </w:p>
        </w:tc>
        <w:tc>
          <w:tcPr>
            <w:tcW w:w="2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106" w:type="dxa"/>
            <w:tcBorders/>
            <w:shd w:fill="auto" w:val="clear"/>
            <w:vAlign w:val="center"/>
          </w:tcPr>
          <w:p>
            <w:pPr>
              <w:pStyle w:val="TableContents"/>
              <w:spacing w:lineRule="auto" w:line="252" w:before="0" w:after="0"/>
              <w:ind w:left="0" w:right="0" w:hanging="0"/>
              <w:jc w:val="left"/>
              <w:rPr/>
            </w:pPr>
            <w:r>
              <w:rPr/>
              <w:t> </w:t>
            </w:r>
          </w:p>
        </w:tc>
        <w:tc>
          <w:tcPr>
            <w:tcW w:w="70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291" w:type="dxa"/>
            <w:tcBorders/>
            <w:shd w:fill="auto" w:val="clear"/>
            <w:vAlign w:val="center"/>
          </w:tcPr>
          <w:p>
            <w:pPr>
              <w:pStyle w:val="TableContents"/>
              <w:spacing w:lineRule="auto" w:line="252" w:before="0" w:after="0"/>
              <w:ind w:left="0" w:right="0" w:hanging="0"/>
              <w:jc w:val="left"/>
              <w:rPr/>
            </w:pPr>
            <w:r>
              <w:rPr/>
              <w:t> </w:t>
            </w:r>
          </w:p>
        </w:tc>
      </w:tr>
      <w:tr>
        <w:trPr/>
        <w:tc>
          <w:tcPr>
            <w:tcW w:w="3106" w:type="dxa"/>
            <w:tcBorders/>
            <w:shd w:fill="auto" w:val="clear"/>
            <w:vAlign w:val="center"/>
          </w:tcPr>
          <w:p>
            <w:pPr>
              <w:pStyle w:val="TableContents"/>
              <w:spacing w:lineRule="auto" w:line="252" w:before="0" w:after="0"/>
              <w:ind w:left="0" w:right="0" w:hanging="0"/>
              <w:jc w:val="left"/>
              <w:rPr/>
            </w:pPr>
            <w:r>
              <w:rPr/>
              <w:t> </w:t>
            </w:r>
          </w:p>
        </w:tc>
        <w:tc>
          <w:tcPr>
            <w:tcW w:w="70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291" w:type="dxa"/>
            <w:tcBorders/>
            <w:shd w:fill="auto" w:val="clear"/>
            <w:vAlign w:val="center"/>
          </w:tcPr>
          <w:p>
            <w:pPr>
              <w:pStyle w:val="TableContents"/>
              <w:spacing w:lineRule="auto" w:line="252" w:before="0" w:after="0"/>
              <w:ind w:left="0" w:right="0" w:hanging="0"/>
              <w:jc w:val="left"/>
              <w:rPr/>
            </w:pPr>
            <w:r>
              <w:rPr/>
              <w:t> </w:t>
            </w:r>
          </w:p>
        </w:tc>
      </w:tr>
      <w:tr>
        <w:trPr/>
        <w:tc>
          <w:tcPr>
            <w:tcW w:w="3106" w:type="dxa"/>
            <w:tcBorders/>
            <w:shd w:fill="auto" w:val="clear"/>
            <w:vAlign w:val="center"/>
          </w:tcPr>
          <w:p>
            <w:pPr>
              <w:pStyle w:val="TableContents"/>
              <w:spacing w:lineRule="auto" w:line="252" w:before="0" w:after="0"/>
              <w:ind w:left="0" w:right="0" w:hanging="0"/>
              <w:jc w:val="left"/>
              <w:rPr/>
            </w:pPr>
            <w:r>
              <w:rPr/>
              <w:t> </w:t>
            </w:r>
          </w:p>
        </w:tc>
        <w:tc>
          <w:tcPr>
            <w:tcW w:w="4135"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As of December 31, 2021</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106" w:type="dxa"/>
            <w:tcBorders/>
            <w:shd w:fill="auto" w:val="clear"/>
            <w:vAlign w:val="center"/>
          </w:tcPr>
          <w:p>
            <w:pPr>
              <w:pStyle w:val="TableContents"/>
              <w:spacing w:lineRule="auto" w:line="252" w:before="0" w:after="0"/>
              <w:ind w:left="0" w:right="0" w:hanging="0"/>
              <w:jc w:val="left"/>
              <w:rPr/>
            </w:pPr>
            <w:r>
              <w:rPr/>
              <w:t> </w:t>
            </w:r>
          </w:p>
        </w:tc>
        <w:tc>
          <w:tcPr>
            <w:tcW w:w="7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I</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8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II</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III</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10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Liabilities</w:t>
            </w:r>
          </w:p>
        </w:tc>
        <w:tc>
          <w:tcPr>
            <w:tcW w:w="70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310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Contingent consideration obligation</w:t>
            </w:r>
          </w:p>
        </w:tc>
        <w:tc>
          <w:tcPr>
            <w:tcW w:w="3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22,963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22,963</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1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liabilities</w:t>
            </w:r>
          </w:p>
        </w:tc>
        <w:tc>
          <w:tcPr>
            <w:tcW w:w="3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22,963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22,963</w:t>
            </w:r>
          </w:p>
        </w:tc>
        <w:tc>
          <w:tcPr>
            <w:tcW w:w="2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For the liabilities presented in the tables above, there were no changes in fair value hierarchy levels during the periods ended March 31, 2022 and December 31, 2021.</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The changes in the fair value of Level III financial instruments are set forth below:</w:t>
      </w:r>
    </w:p>
    <w:p>
      <w:pPr>
        <w:pStyle w:val="TextBody"/>
        <w:spacing w:lineRule="auto" w:line="273" w:before="0" w:after="0"/>
        <w:jc w:val="left"/>
        <w:rPr/>
      </w:pPr>
      <w:r>
        <w:rPr/>
        <w:t> </w:t>
      </w:r>
    </w:p>
    <w:tbl>
      <w:tblPr>
        <w:tblW w:w="7873" w:type="dxa"/>
        <w:jc w:val="left"/>
        <w:tblInd w:w="0" w:type="dxa"/>
        <w:tblCellMar>
          <w:top w:w="28" w:type="dxa"/>
          <w:left w:w="28" w:type="dxa"/>
          <w:bottom w:w="28" w:type="dxa"/>
          <w:right w:w="28" w:type="dxa"/>
        </w:tblCellMar>
      </w:tblPr>
      <w:tblGrid>
        <w:gridCol w:w="2236"/>
        <w:gridCol w:w="146"/>
        <w:gridCol w:w="146"/>
        <w:gridCol w:w="146"/>
        <w:gridCol w:w="146"/>
        <w:gridCol w:w="631"/>
        <w:gridCol w:w="1784"/>
        <w:gridCol w:w="146"/>
        <w:gridCol w:w="146"/>
        <w:gridCol w:w="537"/>
        <w:gridCol w:w="1518"/>
        <w:gridCol w:w="291"/>
      </w:tblGrid>
      <w:tr>
        <w:trPr/>
        <w:tc>
          <w:tcPr>
            <w:tcW w:w="22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236"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Contingent Consideration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For the 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0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For the Year Ended December 31,</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2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4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2021</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236"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Balance, beginning of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784"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22,963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51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593</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2236" w:type="dxa"/>
            <w:tcBorders/>
            <w:shd w:fill="auto" w:val="clear"/>
            <w:vAlign w:val="center"/>
          </w:tcPr>
          <w:p>
            <w:pPr>
              <w:pStyle w:val="TableContents"/>
              <w:spacing w:lineRule="auto" w:line="252" w:before="0" w:after="0"/>
              <w:ind w:left="100" w:right="0" w:hanging="0"/>
              <w:jc w:val="left"/>
              <w:rPr/>
            </w:pPr>
            <w:r>
              <w:rPr/>
              <w:t>   </w:t>
            </w:r>
            <w:r>
              <w:rPr>
                <w:rFonts w:ascii="Times New Roman" w:hAnsi="Times New Roman"/>
                <w:b w:val="false"/>
                <w:sz w:val="14"/>
              </w:rPr>
              <w:t>Additions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left"/>
              <w:rPr/>
            </w:pPr>
            <w:r>
              <w:rPr/>
              <w:t> </w:t>
            </w:r>
          </w:p>
        </w:tc>
        <w:tc>
          <w:tcPr>
            <w:tcW w:w="1784"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left"/>
              <w:rPr/>
            </w:pPr>
            <w:r>
              <w:rPr/>
              <w:t> </w:t>
            </w:r>
          </w:p>
        </w:tc>
        <w:tc>
          <w:tcPr>
            <w:tcW w:w="151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19,625</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2236" w:type="dxa"/>
            <w:tcBorders/>
            <w:shd w:fill="auto" w:val="clear"/>
            <w:vAlign w:val="center"/>
          </w:tcPr>
          <w:p>
            <w:pPr>
              <w:pStyle w:val="TableContents"/>
              <w:spacing w:lineRule="auto" w:line="252" w:before="0" w:after="0"/>
              <w:ind w:left="100" w:right="0" w:hanging="0"/>
              <w:jc w:val="left"/>
              <w:rPr/>
            </w:pPr>
            <w:r>
              <w:rPr/>
              <w:t>   </w:t>
            </w:r>
            <w:r>
              <w:rPr>
                <w:rFonts w:ascii="Times New Roman" w:hAnsi="Times New Roman"/>
                <w:b w:val="false"/>
                <w:sz w:val="14"/>
              </w:rPr>
              <w:t>Change in fair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left"/>
              <w:rPr/>
            </w:pPr>
            <w:r>
              <w:rPr/>
              <w:t> </w:t>
            </w:r>
          </w:p>
        </w:tc>
        <w:tc>
          <w:tcPr>
            <w:tcW w:w="1784"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left"/>
              <w:rPr/>
            </w:pPr>
            <w:r>
              <w:rPr/>
              <w:t> </w:t>
            </w:r>
          </w:p>
        </w:tc>
        <w:tc>
          <w:tcPr>
            <w:tcW w:w="151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3,472</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2236" w:type="dxa"/>
            <w:tcBorders/>
            <w:shd w:fill="auto" w:val="clear"/>
            <w:vAlign w:val="center"/>
          </w:tcPr>
          <w:p>
            <w:pPr>
              <w:pStyle w:val="TableContents"/>
              <w:spacing w:lineRule="auto" w:line="252" w:before="0" w:after="0"/>
              <w:ind w:left="100" w:right="0" w:hanging="0"/>
              <w:jc w:val="left"/>
              <w:rPr/>
            </w:pPr>
            <w:r>
              <w:rPr/>
              <w:t>   </w:t>
            </w:r>
            <w:r>
              <w:rPr>
                <w:rFonts w:ascii="Times New Roman" w:hAnsi="Times New Roman"/>
                <w:b w:val="false"/>
                <w:sz w:val="14"/>
              </w:rPr>
              <w:t>Settlements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(727</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r>
      <w:tr>
        <w:trPr/>
        <w:tc>
          <w:tcPr>
            <w:tcW w:w="2236"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Balance,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7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23,090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51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22,963</w:t>
            </w:r>
          </w:p>
        </w:tc>
        <w:tc>
          <w:tcPr>
            <w:tcW w:w="2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rFonts w:ascii="Times New Roman" w:hAnsi="Times New Roman"/>
          <w:b w:val="false"/>
          <w:sz w:val="20"/>
        </w:rPr>
      </w:pPr>
      <w:r>
        <w:rPr>
          <w:rFonts w:ascii="Times New Roman" w:hAnsi="Times New Roman"/>
          <w:b w:val="false"/>
          <w:sz w:val="20"/>
        </w:rPr>
        <w:t>The fair value of the contingent consideration liability represents the fair value of future payments upon satisfaction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pStyle w:val="TextBody"/>
        <w:spacing w:lineRule="auto" w:line="297" w:before="360" w:after="0"/>
        <w:jc w:val="left"/>
        <w:rPr>
          <w:rFonts w:ascii="Times New Roman" w:hAnsi="Times New Roman"/>
          <w:b/>
          <w:sz w:val="20"/>
        </w:rPr>
      </w:pPr>
      <w:r>
        <w:rPr>
          <w:rFonts w:ascii="Times New Roman" w:hAnsi="Times New Roman"/>
          <w:b/>
          <w:sz w:val="20"/>
        </w:rPr>
        <w:t>Note 12. Debt Obligations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Debt obligations consists of the following:</w:t>
      </w:r>
    </w:p>
    <w:p>
      <w:pPr>
        <w:pStyle w:val="TextBody"/>
        <w:spacing w:lineRule="auto" w:line="273" w:before="0" w:after="0"/>
        <w:jc w:val="both"/>
        <w:rPr/>
      </w:pPr>
      <w:r>
        <w:rPr/>
        <w:t> </w:t>
      </w:r>
    </w:p>
    <w:tbl>
      <w:tblPr>
        <w:tblW w:w="6612" w:type="dxa"/>
        <w:jc w:val="left"/>
        <w:tblInd w:w="0" w:type="dxa"/>
        <w:tblCellMar>
          <w:top w:w="28" w:type="dxa"/>
          <w:left w:w="28" w:type="dxa"/>
          <w:bottom w:w="28" w:type="dxa"/>
          <w:right w:w="28" w:type="dxa"/>
        </w:tblCellMar>
      </w:tblPr>
      <w:tblGrid>
        <w:gridCol w:w="3856"/>
        <w:gridCol w:w="146"/>
        <w:gridCol w:w="211"/>
        <w:gridCol w:w="781"/>
        <w:gridCol w:w="166"/>
        <w:gridCol w:w="146"/>
        <w:gridCol w:w="233"/>
        <w:gridCol w:w="862"/>
        <w:gridCol w:w="211"/>
      </w:tblGrid>
      <w:tr>
        <w:trPr/>
        <w:tc>
          <w:tcPr>
            <w:tcW w:w="3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3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38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Gross revolving credit facility state tax credits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Debt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Revolving credit facility state tax credits,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Revolver facility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65,900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90,900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Debt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(2,802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(3,163</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Revolver facility,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63,098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87,737</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Term Loan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125,000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125,000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Debt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(233</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Term loan,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124,596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124,767</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debt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187,690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212,496</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160" w:after="0"/>
        <w:jc w:val="both"/>
        <w:rPr>
          <w:rFonts w:ascii="Times New Roman" w:hAnsi="Times New Roman"/>
          <w:b/>
          <w:sz w:val="20"/>
        </w:rPr>
      </w:pPr>
      <w:r>
        <w:rPr>
          <w:rFonts w:ascii="Times New Roman" w:hAnsi="Times New Roman"/>
          <w:b/>
          <w:sz w:val="20"/>
        </w:rPr>
        <w:t>Refinancing</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On December 22, 2021, the Company extinguished its debt outstanding with HPS, as described below in the Credit and Guaranty Facility section and simultaneously entered into a new credit agreement with JP Morgan Chase Bank, N.A. ("JP Morgan") in order to gain more favorable interest terms. The Company used the proceeds from the new credit agreement with JP Morgan not only to repay the outstanding balance with HPS but also to repay the notes payable to sellers as described below in the Notes Payable to Sellers section.</w:t>
      </w:r>
    </w:p>
    <w:p>
      <w:pPr>
        <w:pStyle w:val="TextBody"/>
        <w:spacing w:lineRule="auto" w:line="273" w:before="360" w:after="0"/>
        <w:jc w:val="both"/>
        <w:rPr>
          <w:rFonts w:ascii="Times New Roman" w:hAnsi="Times New Roman"/>
          <w:b/>
          <w:sz w:val="20"/>
        </w:rPr>
      </w:pPr>
      <w:r>
        <w:rPr>
          <w:rFonts w:ascii="Times New Roman" w:hAnsi="Times New Roman"/>
          <w:b/>
          <w:sz w:val="20"/>
        </w:rPr>
        <w:t>Revolving Credit Facility State Tax Credits</w:t>
      </w:r>
    </w:p>
    <w:p>
      <w:pPr>
        <w:pStyle w:val="TextBody"/>
        <w:spacing w:lineRule="auto" w:line="273" w:before="120" w:after="0"/>
        <w:jc w:val="left"/>
        <w:rPr>
          <w:rFonts w:ascii="Times New Roman" w:hAnsi="Times New Roman"/>
          <w:sz w:val="20"/>
        </w:rPr>
      </w:pPr>
      <w:r>
        <w:rPr>
          <w:rFonts w:ascii="Times New Roman" w:hAnsi="Times New Roman"/>
          <w:b w:val="false"/>
          <w:sz w:val="20"/>
        </w:rPr>
        <w:t>Enhanced State Tax Credit Fund III, LLC, a subsidiary of ECG, has a $10</w:t>
      </w:r>
      <w:r>
        <w:rPr>
          <w:rFonts w:ascii="Times New Roman" w:hAnsi="Times New Roman"/>
          <w:sz w:val="20"/>
        </w:rPr>
        <w:t xml:space="preserve"> </w:t>
      </w:r>
      <w:r>
        <w:rPr>
          <w:rFonts w:ascii="Times New Roman" w:hAnsi="Times New Roman"/>
          <w:b w:val="false"/>
          <w:sz w:val="20"/>
        </w:rPr>
        <w:t>million revolving credit facility with a regional financial institution the funds from which can be used solely for the purchase of allocable state tax credits from various state tax credit incentive programs. The facility bears interest at 0.25% above the Prime Rate and matures on June 15, 2022. As of March 31, 2022 and December 31, 2021, the credit facility had an outstanding balance of $0.0</w:t>
      </w:r>
      <w:r>
        <w:rPr>
          <w:rFonts w:ascii="Times New Roman" w:hAnsi="Times New Roman"/>
          <w:sz w:val="20"/>
        </w:rPr>
        <w:t xml:space="preserve"> </w:t>
      </w:r>
      <w:r>
        <w:rPr>
          <w:rFonts w:ascii="Times New Roman" w:hAnsi="Times New Roman"/>
          <w:b w:val="false"/>
          <w:sz w:val="20"/>
        </w:rPr>
        <w:t>million and $0.0</w:t>
      </w:r>
      <w:r>
        <w:rPr>
          <w:rFonts w:ascii="Times New Roman" w:hAnsi="Times New Roman"/>
          <w:sz w:val="20"/>
        </w:rPr>
        <w:t xml:space="preserve"> </w:t>
      </w:r>
      <w:r>
        <w:rPr>
          <w:rFonts w:ascii="Times New Roman" w:hAnsi="Times New Roman"/>
          <w:b w:val="false"/>
          <w:sz w:val="20"/>
        </w:rPr>
        <w:t>million, respectively, and is reported net of unamortized debt issuance costs on our Consolidated Balance Sheets. As of March 31, 2022 and December 31, 2021, the Company’s investment in allocable state tax credits was $0</w:t>
      </w:r>
      <w:r>
        <w:rPr>
          <w:rFonts w:ascii="Times New Roman" w:hAnsi="Times New Roman"/>
          <w:sz w:val="20"/>
        </w:rPr>
        <w:t xml:space="preserve"> </w:t>
      </w:r>
      <w:r>
        <w:rPr>
          <w:rFonts w:ascii="Times New Roman" w:hAnsi="Times New Roman"/>
          <w:b w:val="false"/>
          <w:sz w:val="20"/>
        </w:rPr>
        <w:t>and $0. For the three months ended March 31, 2022 and 2021 $0</w:t>
      </w:r>
      <w:r>
        <w:rPr>
          <w:rFonts w:ascii="Times New Roman" w:hAnsi="Times New Roman"/>
          <w:sz w:val="20"/>
        </w:rPr>
        <w:t xml:space="preserve"> </w:t>
      </w:r>
      <w:r>
        <w:rPr>
          <w:rFonts w:ascii="Times New Roman" w:hAnsi="Times New Roman"/>
          <w:b w:val="false"/>
          <w:sz w:val="20"/>
        </w:rPr>
        <w:t>and $0</w:t>
      </w:r>
      <w:r>
        <w:rPr>
          <w:rFonts w:ascii="Times New Roman" w:hAnsi="Times New Roman"/>
          <w:sz w:val="20"/>
        </w:rPr>
        <w:t xml:space="preserve"> </w:t>
      </w:r>
      <w:r>
        <w:rPr>
          <w:rFonts w:ascii="Times New Roman" w:hAnsi="Times New Roman"/>
          <w:b w:val="false"/>
          <w:sz w:val="20"/>
        </w:rPr>
        <w:t>interest expense was incurred, respectively.</w:t>
      </w:r>
    </w:p>
    <w:p>
      <w:pPr>
        <w:pStyle w:val="TextBody"/>
        <w:spacing w:lineRule="auto" w:line="273" w:before="360" w:after="0"/>
        <w:jc w:val="both"/>
        <w:rPr>
          <w:rFonts w:ascii="Times New Roman" w:hAnsi="Times New Roman"/>
          <w:b/>
          <w:sz w:val="20"/>
        </w:rPr>
      </w:pPr>
      <w:r>
        <w:rPr>
          <w:rFonts w:ascii="Times New Roman" w:hAnsi="Times New Roman"/>
          <w:b/>
          <w:sz w:val="20"/>
        </w:rPr>
        <w:t>Notes Payable to Sellers</w:t>
      </w:r>
    </w:p>
    <w:p>
      <w:pPr>
        <w:pStyle w:val="TextBody"/>
        <w:spacing w:lineRule="auto" w:line="297" w:before="120" w:after="0"/>
        <w:jc w:val="left"/>
        <w:rPr>
          <w:rFonts w:ascii="Times New Roman" w:hAnsi="Times New Roman"/>
          <w:sz w:val="20"/>
        </w:rPr>
      </w:pPr>
      <w:r>
        <w:rPr>
          <w:rFonts w:ascii="Times New Roman" w:hAnsi="Times New Roman"/>
          <w:b w:val="false"/>
          <w:sz w:val="20"/>
        </w:rPr>
        <w:t>On October 5, 2017, the Company issued Secured Promissory Notes Payable (“2017 Seller Notes”) in the amount of $81.3</w:t>
      </w:r>
      <w:r>
        <w:rPr>
          <w:rFonts w:ascii="Times New Roman" w:hAnsi="Times New Roman"/>
          <w:sz w:val="20"/>
        </w:rPr>
        <w:t xml:space="preserve"> </w:t>
      </w:r>
      <w:r>
        <w:rPr>
          <w:rFonts w:ascii="Times New Roman" w:hAnsi="Times New Roman"/>
          <w:b w:val="false"/>
          <w:sz w:val="20"/>
        </w:rPr>
        <w:t>million to the owners of RCP 2 in connection with the acquisition of that entity. The 2017 Seller Notes were set to mature on January 15, 2025. On December 23, 2021, the Company used the proceeds from the new credit agreement with JP Morgan to repay the outstanding balance of the 2017 Sellers Notes.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97" w:before="240" w:after="0"/>
        <w:jc w:val="left"/>
        <w:rPr>
          <w:rFonts w:ascii="Times New Roman" w:hAnsi="Times New Roman"/>
          <w:sz w:val="20"/>
        </w:rPr>
      </w:pPr>
      <w:r>
        <w:rPr>
          <w:rFonts w:ascii="Times New Roman" w:hAnsi="Times New Roman"/>
          <w:b w:val="false"/>
          <w:sz w:val="20"/>
        </w:rPr>
        <w:t>On January 3, 2018, the Company issued Secured Promissory Notes Payable (“2018 Seller Notes”) in the amount of $22.1</w:t>
      </w:r>
      <w:r>
        <w:rPr>
          <w:rFonts w:ascii="Times New Roman" w:hAnsi="Times New Roman"/>
          <w:sz w:val="20"/>
        </w:rPr>
        <w:t xml:space="preserve"> </w:t>
      </w:r>
      <w:r>
        <w:rPr>
          <w:rFonts w:ascii="Times New Roman" w:hAnsi="Times New Roman"/>
          <w:b w:val="false"/>
          <w:sz w:val="20"/>
        </w:rPr>
        <w:t>million to the owners of RCP 3 in connection with the acquisition of that entity. The 2018 Seller Notes were set to mature on January 15, 2025. On December 23, 2021, the Company used the proceeds from the new credit agreement with JP Morgan to repay the outstanding balance of the 2018 Sellers Notes.</w:t>
      </w:r>
    </w:p>
    <w:p>
      <w:pPr>
        <w:pStyle w:val="TextBody"/>
        <w:spacing w:lineRule="auto" w:line="297" w:before="240" w:after="0"/>
        <w:jc w:val="left"/>
        <w:rPr>
          <w:rFonts w:ascii="Times New Roman" w:hAnsi="Times New Roman"/>
          <w:sz w:val="20"/>
        </w:rPr>
      </w:pPr>
      <w:r>
        <w:rPr>
          <w:rFonts w:ascii="Times New Roman" w:hAnsi="Times New Roman"/>
          <w:b w:val="false"/>
          <w:sz w:val="20"/>
        </w:rPr>
        <w:t>On January 3, 2018, the Company issued tax amortization benefits in the amount of $48.4</w:t>
      </w:r>
      <w:r>
        <w:rPr>
          <w:rFonts w:ascii="Times New Roman" w:hAnsi="Times New Roman"/>
          <w:sz w:val="20"/>
        </w:rPr>
        <w:t xml:space="preserve"> </w:t>
      </w:r>
      <w:r>
        <w:rPr>
          <w:rFonts w:ascii="Times New Roman" w:hAnsi="Times New Roman"/>
          <w:b w:val="false"/>
          <w:sz w:val="20"/>
        </w:rPr>
        <w:t>million (“TAB Payments”) to the owners of RCP 3 in connection with the acquisition of that entity. The TAB Payments were set to mature on April 15, 2037. On December 23, 2021, the Company used the proceeds from the new credit agreement with JP Morgan to repay the outstanding balance of the TAB Payments.</w:t>
      </w:r>
      <w:r>
        <w:rPr>
          <w:rFonts w:ascii="Times New Roman" w:hAnsi="Times New Roman"/>
          <w:sz w:val="20"/>
        </w:rPr>
        <w:t xml:space="preserve"> </w:t>
      </w:r>
    </w:p>
    <w:p>
      <w:pPr>
        <w:pStyle w:val="TextBody"/>
        <w:spacing w:lineRule="auto" w:line="297" w:before="240" w:after="0"/>
        <w:jc w:val="left"/>
        <w:rPr>
          <w:rFonts w:ascii="Times New Roman" w:hAnsi="Times New Roman"/>
          <w:b w:val="false"/>
          <w:sz w:val="20"/>
        </w:rPr>
      </w:pPr>
      <w:r>
        <w:rPr>
          <w:rFonts w:ascii="Times New Roman" w:hAnsi="Times New Roman"/>
          <w:b w:val="false"/>
          <w:sz w:val="20"/>
        </w:rPr>
        <w:t>The 2017 Seller Notes, the 2018 Seller Notes and the TAB Payments are collectively referred to as “Notes Payable to Sellers” on our Consolidated Financial Statements.</w:t>
      </w:r>
    </w:p>
    <w:p>
      <w:pPr>
        <w:pStyle w:val="TextBody"/>
        <w:spacing w:lineRule="auto" w:line="297" w:before="240" w:after="0"/>
        <w:jc w:val="left"/>
        <w:rPr>
          <w:rFonts w:ascii="Times New Roman" w:hAnsi="Times New Roman"/>
          <w:sz w:val="20"/>
        </w:rPr>
      </w:pPr>
      <w:r>
        <w:rPr>
          <w:rFonts w:ascii="Times New Roman" w:hAnsi="Times New Roman"/>
          <w:b w:val="false"/>
          <w:sz w:val="20"/>
        </w:rPr>
        <w:t>Noncash interest expense was recorded on a periodic basis for the Notes Payable to Sellers. During the three months ended March 31, 2022 and March 31, 2021, we recorded combined interest expense on the 2018 Seller Notes and 2017 Seller Notes in the amount of $0, $0.2</w:t>
      </w:r>
      <w:r>
        <w:rPr>
          <w:rFonts w:ascii="Times New Roman" w:hAnsi="Times New Roman"/>
          <w:sz w:val="20"/>
        </w:rPr>
        <w:t xml:space="preserve"> </w:t>
      </w:r>
      <w:r>
        <w:rPr>
          <w:rFonts w:ascii="Times New Roman" w:hAnsi="Times New Roman"/>
          <w:b w:val="false"/>
          <w:sz w:val="20"/>
        </w:rPr>
        <w:t>million, respectively. During the three months ended March 31, 2022, we recorded $0</w:t>
      </w:r>
      <w:r>
        <w:rPr>
          <w:rFonts w:ascii="Times New Roman" w:hAnsi="Times New Roman"/>
          <w:sz w:val="20"/>
        </w:rPr>
        <w:t xml:space="preserve"> </w:t>
      </w:r>
      <w:r>
        <w:rPr>
          <w:rFonts w:ascii="Times New Roman" w:hAnsi="Times New Roman"/>
          <w:b w:val="false"/>
          <w:sz w:val="20"/>
        </w:rPr>
        <w:t>in interest expense related to the TAB Payments. For the three months ended March 31, 2021, we recorded $0.2</w:t>
      </w:r>
      <w:r>
        <w:rPr>
          <w:rFonts w:ascii="Times New Roman" w:hAnsi="Times New Roman"/>
          <w:sz w:val="20"/>
        </w:rPr>
        <w:t xml:space="preserve"> </w:t>
      </w:r>
      <w:r>
        <w:rPr>
          <w:rFonts w:ascii="Times New Roman" w:hAnsi="Times New Roman"/>
          <w:b w:val="false"/>
          <w:sz w:val="20"/>
        </w:rPr>
        <w:t>million on the TAB Payments.</w:t>
      </w:r>
      <w:r>
        <w:rPr>
          <w:rFonts w:ascii="Times New Roman" w:hAnsi="Times New Roman"/>
          <w:sz w:val="20"/>
        </w:rPr>
        <w:t xml:space="preserve"> </w:t>
      </w:r>
    </w:p>
    <w:p>
      <w:pPr>
        <w:pStyle w:val="TextBody"/>
        <w:spacing w:lineRule="auto" w:line="297" w:before="360" w:after="0"/>
        <w:jc w:val="both"/>
        <w:rPr>
          <w:rFonts w:ascii="Times New Roman" w:hAnsi="Times New Roman"/>
          <w:b/>
          <w:sz w:val="20"/>
        </w:rPr>
      </w:pPr>
      <w:r>
        <w:rPr>
          <w:rFonts w:ascii="Times New Roman" w:hAnsi="Times New Roman"/>
          <w:b/>
          <w:sz w:val="20"/>
        </w:rPr>
        <w:t>Credit and Guaranty Facility</w:t>
      </w:r>
    </w:p>
    <w:p>
      <w:pPr>
        <w:pStyle w:val="TextBody"/>
        <w:spacing w:lineRule="auto" w:line="297" w:before="120" w:after="0"/>
        <w:jc w:val="left"/>
        <w:rPr>
          <w:rFonts w:ascii="Times New Roman" w:hAnsi="Times New Roman"/>
          <w:sz w:val="20"/>
        </w:rPr>
      </w:pPr>
      <w:r>
        <w:rPr>
          <w:rFonts w:ascii="Times New Roman" w:hAnsi="Times New Roman"/>
          <w:b w:val="false"/>
          <w:sz w:val="20"/>
        </w:rPr>
        <w:t>The Company’s subsidiary, Holdco, entered into the Credit and Guaranty Facility (the "Facility") with HPS as administrative agent and collateral agent on October 7, 2017. The Facility initially provided for a $130.0</w:t>
      </w:r>
      <w:r>
        <w:rPr>
          <w:rFonts w:ascii="Times New Roman" w:hAnsi="Times New Roman"/>
          <w:sz w:val="20"/>
        </w:rPr>
        <w:t xml:space="preserve"> </w:t>
      </w:r>
      <w:r>
        <w:rPr>
          <w:rFonts w:ascii="Times New Roman" w:hAnsi="Times New Roman"/>
          <w:b w:val="false"/>
          <w:sz w:val="20"/>
        </w:rPr>
        <w:t>million senior secured credit facility in order to refinance the existing debt obligations of RCP Advisors and provide for the financing to repay the Seller Notes due resulting from the acquisition of RCP Advisors. The Facility provided for a $125</w:t>
      </w:r>
      <w:r>
        <w:rPr>
          <w:rFonts w:ascii="Times New Roman" w:hAnsi="Times New Roman"/>
          <w:sz w:val="20"/>
        </w:rPr>
        <w:t xml:space="preserve"> </w:t>
      </w:r>
      <w:r>
        <w:rPr>
          <w:rFonts w:ascii="Times New Roman" w:hAnsi="Times New Roman"/>
          <w:b w:val="false"/>
          <w:sz w:val="20"/>
        </w:rPr>
        <w:t>million five-year</w:t>
      </w:r>
      <w:r>
        <w:rPr>
          <w:rFonts w:ascii="Times New Roman" w:hAnsi="Times New Roman"/>
          <w:sz w:val="20"/>
        </w:rPr>
        <w:t xml:space="preserve"> </w:t>
      </w:r>
      <w:r>
        <w:rPr>
          <w:rFonts w:ascii="Times New Roman" w:hAnsi="Times New Roman"/>
          <w:b w:val="false"/>
          <w:sz w:val="20"/>
        </w:rPr>
        <w:t>term, subject to certain EBITDA levels and conditions, and a $5</w:t>
      </w:r>
      <w:r>
        <w:rPr>
          <w:rFonts w:ascii="Times New Roman" w:hAnsi="Times New Roman"/>
          <w:sz w:val="20"/>
        </w:rPr>
        <w:t xml:space="preserve"> </w:t>
      </w:r>
      <w:r>
        <w:rPr>
          <w:rFonts w:ascii="Times New Roman" w:hAnsi="Times New Roman"/>
          <w:b w:val="false"/>
          <w:sz w:val="20"/>
        </w:rPr>
        <w:t>million one-year line of credit. The line of credit was repaid and subsequently expired during 2018. Holdco was permitted to draw up to $125</w:t>
      </w:r>
      <w:r>
        <w:rPr>
          <w:rFonts w:ascii="Times New Roman" w:hAnsi="Times New Roman"/>
          <w:sz w:val="20"/>
        </w:rPr>
        <w:t xml:space="preserve"> </w:t>
      </w:r>
      <w:r>
        <w:rPr>
          <w:rFonts w:ascii="Times New Roman" w:hAnsi="Times New Roman"/>
          <w:b w:val="false"/>
          <w:sz w:val="20"/>
        </w:rPr>
        <w:t>million in aggregate on the term loan in tranches through July 31, 2019.</w:t>
      </w:r>
      <w:r>
        <w:rPr>
          <w:rFonts w:ascii="Times New Roman" w:hAnsi="Times New Roman"/>
          <w:sz w:val="20"/>
        </w:rPr>
        <w:t xml:space="preserve"> </w:t>
      </w:r>
    </w:p>
    <w:p>
      <w:pPr>
        <w:pStyle w:val="TextBody"/>
        <w:spacing w:lineRule="auto" w:line="297" w:before="240" w:after="0"/>
        <w:jc w:val="left"/>
        <w:rPr>
          <w:rFonts w:ascii="Times New Roman" w:hAnsi="Times New Roman"/>
          <w:sz w:val="20"/>
        </w:rPr>
      </w:pPr>
      <w:r>
        <w:rPr>
          <w:rFonts w:ascii="Times New Roman" w:hAnsi="Times New Roman"/>
          <w:b w:val="false"/>
          <w:sz w:val="20"/>
        </w:rPr>
        <w:t>On October 2, 2020 and December 14, 2020, in connection with the acquisitions of TrueBridge and Enhanced, the term loan under the Facility was amended adding an additional $91.4</w:t>
      </w:r>
      <w:r>
        <w:rPr>
          <w:rFonts w:ascii="Times New Roman" w:hAnsi="Times New Roman"/>
          <w:sz w:val="20"/>
        </w:rPr>
        <w:t xml:space="preserve"> </w:t>
      </w:r>
      <w:r>
        <w:rPr>
          <w:rFonts w:ascii="Times New Roman" w:hAnsi="Times New Roman"/>
          <w:b w:val="false"/>
          <w:sz w:val="20"/>
        </w:rPr>
        <w:t>million and $68.0</w:t>
      </w:r>
      <w:r>
        <w:rPr>
          <w:rFonts w:ascii="Times New Roman" w:hAnsi="Times New Roman"/>
          <w:sz w:val="20"/>
        </w:rPr>
        <w:t xml:space="preserve"> </w:t>
      </w:r>
      <w:r>
        <w:rPr>
          <w:rFonts w:ascii="Times New Roman" w:hAnsi="Times New Roman"/>
          <w:b w:val="false"/>
          <w:sz w:val="20"/>
        </w:rPr>
        <w:t>million to the Facility, respectively.</w:t>
      </w:r>
    </w:p>
    <w:p>
      <w:pPr>
        <w:pStyle w:val="TextBody"/>
        <w:spacing w:lineRule="auto" w:line="297" w:before="240" w:after="0"/>
        <w:jc w:val="left"/>
        <w:rPr>
          <w:rFonts w:ascii="Times New Roman" w:hAnsi="Times New Roman"/>
          <w:sz w:val="20"/>
        </w:rPr>
      </w:pPr>
      <w:r>
        <w:rPr>
          <w:rFonts w:ascii="Times New Roman" w:hAnsi="Times New Roman"/>
          <w:b w:val="false"/>
          <w:sz w:val="20"/>
        </w:rPr>
        <w:t>On September 30, 2021, in connection with the acquisition of Bonaccord, the term loan under the Facility was amended adding an additional $35.0</w:t>
      </w:r>
      <w:r>
        <w:rPr>
          <w:rFonts w:ascii="Times New Roman" w:hAnsi="Times New Roman"/>
          <w:sz w:val="20"/>
        </w:rPr>
        <w:t xml:space="preserve"> </w:t>
      </w:r>
      <w:r>
        <w:rPr>
          <w:rFonts w:ascii="Times New Roman" w:hAnsi="Times New Roman"/>
          <w:b w:val="false"/>
          <w:sz w:val="20"/>
        </w:rPr>
        <w:t>million to the Facility.</w:t>
      </w:r>
    </w:p>
    <w:p>
      <w:pPr>
        <w:pStyle w:val="TextBody"/>
        <w:spacing w:lineRule="auto" w:line="297" w:before="240" w:after="0"/>
        <w:jc w:val="left"/>
        <w:rPr>
          <w:rFonts w:ascii="Times New Roman" w:hAnsi="Times New Roman"/>
          <w:sz w:val="20"/>
        </w:rPr>
      </w:pPr>
      <w:r>
        <w:rPr>
          <w:rFonts w:ascii="Times New Roman" w:hAnsi="Times New Roman"/>
          <w:b w:val="false"/>
          <w:sz w:val="20"/>
        </w:rPr>
        <w:t>On October 28, 2021, a payment of $88.6</w:t>
      </w:r>
      <w:r>
        <w:rPr>
          <w:rFonts w:ascii="Times New Roman" w:hAnsi="Times New Roman"/>
          <w:sz w:val="20"/>
        </w:rPr>
        <w:t xml:space="preserve"> </w:t>
      </w:r>
      <w:r>
        <w:rPr>
          <w:rFonts w:ascii="Times New Roman" w:hAnsi="Times New Roman"/>
          <w:b w:val="false"/>
          <w:sz w:val="20"/>
        </w:rPr>
        <w:t>million was made, which included an optional repayment of $86.8</w:t>
      </w:r>
      <w:r>
        <w:rPr>
          <w:rFonts w:ascii="Times New Roman" w:hAnsi="Times New Roman"/>
          <w:sz w:val="20"/>
        </w:rPr>
        <w:t xml:space="preserve"> </w:t>
      </w:r>
      <w:r>
        <w:rPr>
          <w:rFonts w:ascii="Times New Roman" w:hAnsi="Times New Roman"/>
          <w:b w:val="false"/>
          <w:sz w:val="20"/>
        </w:rPr>
        <w:t>million, required prepayment penalty of $1.2</w:t>
      </w:r>
      <w:r>
        <w:rPr>
          <w:rFonts w:ascii="Times New Roman" w:hAnsi="Times New Roman"/>
          <w:sz w:val="20"/>
        </w:rPr>
        <w:t xml:space="preserve"> </w:t>
      </w:r>
      <w:r>
        <w:rPr>
          <w:rFonts w:ascii="Times New Roman" w:hAnsi="Times New Roman"/>
          <w:b w:val="false"/>
          <w:sz w:val="20"/>
        </w:rPr>
        <w:t>million, and an accrued interest payment of $0.6</w:t>
      </w:r>
      <w:r>
        <w:rPr>
          <w:rFonts w:ascii="Times New Roman" w:hAnsi="Times New Roman"/>
          <w:sz w:val="20"/>
        </w:rPr>
        <w:t xml:space="preserve"> </w:t>
      </w:r>
      <w:r>
        <w:rPr>
          <w:rFonts w:ascii="Times New Roman" w:hAnsi="Times New Roman"/>
          <w:b w:val="false"/>
          <w:sz w:val="20"/>
        </w:rPr>
        <w:t>million.</w:t>
      </w:r>
    </w:p>
    <w:p>
      <w:pPr>
        <w:pStyle w:val="TextBody"/>
        <w:spacing w:lineRule="auto" w:line="297" w:before="240" w:after="0"/>
        <w:jc w:val="left"/>
        <w:rPr>
          <w:rFonts w:ascii="Times New Roman" w:hAnsi="Times New Roman"/>
          <w:sz w:val="20"/>
        </w:rPr>
      </w:pPr>
      <w:r>
        <w:rPr>
          <w:rFonts w:ascii="Times New Roman" w:hAnsi="Times New Roman"/>
          <w:b w:val="false"/>
          <w:sz w:val="20"/>
        </w:rPr>
        <w:t>On December 22, 2021, the remaining principal balance of $200</w:t>
      </w:r>
      <w:r>
        <w:rPr>
          <w:rFonts w:ascii="Times New Roman" w:hAnsi="Times New Roman"/>
          <w:sz w:val="20"/>
        </w:rPr>
        <w:t xml:space="preserve"> </w:t>
      </w:r>
      <w:r>
        <w:rPr>
          <w:rFonts w:ascii="Times New Roman" w:hAnsi="Times New Roman"/>
          <w:b w:val="false"/>
          <w:sz w:val="20"/>
        </w:rPr>
        <w:t>million was repaid using the proceeds of the new credit facility with JP Morgan. In accordance with the Facility, the Company also paid the remaining accrued interest balance of $2.1</w:t>
      </w:r>
      <w:r>
        <w:rPr>
          <w:rFonts w:ascii="Times New Roman" w:hAnsi="Times New Roman"/>
          <w:sz w:val="20"/>
        </w:rPr>
        <w:t xml:space="preserve"> </w:t>
      </w:r>
      <w:r>
        <w:rPr>
          <w:rFonts w:ascii="Times New Roman" w:hAnsi="Times New Roman"/>
          <w:b w:val="false"/>
          <w:sz w:val="20"/>
        </w:rPr>
        <w:t>million and an early extinguishment fee of $3.7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p>
    <w:p>
      <w:pPr>
        <w:pStyle w:val="TextBody"/>
        <w:spacing w:lineRule="auto" w:line="273" w:before="360" w:after="0"/>
        <w:jc w:val="both"/>
        <w:rPr>
          <w:rFonts w:ascii="Times New Roman" w:hAnsi="Times New Roman"/>
          <w:b/>
          <w:sz w:val="20"/>
        </w:rPr>
      </w:pPr>
      <w:r>
        <w:rPr>
          <w:rFonts w:ascii="Times New Roman" w:hAnsi="Times New Roman"/>
          <w:b/>
          <w:sz w:val="20"/>
        </w:rPr>
        <w:t>Revolving Credit Facility and Term Loan</w:t>
      </w:r>
    </w:p>
    <w:p>
      <w:pPr>
        <w:pStyle w:val="TextBody"/>
        <w:spacing w:lineRule="auto" w:line="273" w:before="120" w:after="0"/>
        <w:jc w:val="left"/>
        <w:rPr>
          <w:rFonts w:ascii="Times New Roman" w:hAnsi="Times New Roman"/>
          <w:sz w:val="20"/>
        </w:rPr>
      </w:pPr>
      <w:r>
        <w:rPr>
          <w:rFonts w:ascii="Times New Roman" w:hAnsi="Times New Roman"/>
          <w:b w:val="false"/>
          <w:sz w:val="20"/>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w:t>
      </w:r>
      <w:r>
        <w:rPr>
          <w:rFonts w:ascii="Times New Roman" w:hAnsi="Times New Roman"/>
          <w:sz w:val="20"/>
        </w:rPr>
        <w:t xml:space="preserve"> </w:t>
      </w:r>
      <w:r>
        <w:rPr>
          <w:rFonts w:ascii="Times New Roman" w:hAnsi="Times New Roman"/>
          <w:b w:val="false"/>
          <w:sz w:val="20"/>
        </w:rPr>
        <w:t>million (the "Revolver Facility"). The second is a term loan for $125</w:t>
      </w:r>
      <w:r>
        <w:rPr>
          <w:rFonts w:ascii="Times New Roman" w:hAnsi="Times New Roman"/>
          <w:sz w:val="20"/>
        </w:rPr>
        <w:t xml:space="preserve"> </w:t>
      </w:r>
      <w:r>
        <w:rPr>
          <w:rFonts w:ascii="Times New Roman" w:hAnsi="Times New Roman"/>
          <w:b w:val="false"/>
          <w:sz w:val="20"/>
        </w:rPr>
        <w:t>million (the "Term Loan"). In addition to the Term Loan and Revolver Facility, the Credit Agreement also includes a $125</w:t>
      </w:r>
      <w:r>
        <w:rPr>
          <w:rFonts w:ascii="Times New Roman" w:hAnsi="Times New Roman"/>
          <w:sz w:val="20"/>
        </w:rPr>
        <w:t xml:space="preserve"> </w:t>
      </w:r>
      <w:r>
        <w:rPr>
          <w:rFonts w:ascii="Times New Roman" w:hAnsi="Times New Roman"/>
          <w:b w:val="false"/>
          <w:sz w:val="20"/>
        </w:rPr>
        <w:t>million accordion feature.</w:t>
      </w:r>
    </w:p>
    <w:p>
      <w:pPr>
        <w:pStyle w:val="TextBody"/>
        <w:spacing w:lineRule="auto" w:line="273" w:before="240" w:after="0"/>
        <w:jc w:val="left"/>
        <w:rPr>
          <w:rFonts w:ascii="Times New Roman" w:hAnsi="Times New Roman"/>
          <w:sz w:val="20"/>
        </w:rPr>
      </w:pPr>
      <w:r>
        <w:rPr>
          <w:rFonts w:ascii="Times New Roman" w:hAnsi="Times New Roman"/>
          <w:b w:val="false"/>
          <w:sz w:val="20"/>
        </w:rPr>
        <w:t>Both facilities are "Term SOFR Loans" meaning loans bearing interest based upon the "Adjusted Term SOFR Rate". The Adjusted Term SOFR Rate is the Secured Overnight Financing Rate ("SOFR") at the date of election, plus 0.10%.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Company can elect one or three months for the Revolver Facility and three or six months for the Term Loan. The Company elected a six month SOFR rate at the time of draw for the term loan and a one month SOFR rate for the Revolver Facility at the time of draw. Principal is contractually repaid at a rate of 1.25% on the term loan quarterly effective March 31, 2023. The Revolving Credit Facility has no contractual principal repayments until maturity, which is December 22, 2025</w:t>
      </w:r>
      <w:r>
        <w:rPr>
          <w:rFonts w:ascii="Times New Roman" w:hAnsi="Times New Roman"/>
          <w:sz w:val="20"/>
        </w:rPr>
        <w:t xml:space="preserve"> </w:t>
      </w:r>
      <w:r>
        <w:rPr>
          <w:rFonts w:ascii="Times New Roman" w:hAnsi="Times New Roman"/>
          <w:b w:val="false"/>
          <w:sz w:val="20"/>
        </w:rPr>
        <w:t>for both facilities.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Credit Agreement contains affirmative and negative covenants typical of such financing transactions, and specific financial covenants which require P10 to maintain a minimum leverage ratio. As of March 31, 2022, P10 was in compliance with its financial covenants required under the facility. In February 2022, the Company repaid $25</w:t>
      </w:r>
      <w:r>
        <w:rPr>
          <w:rFonts w:ascii="Times New Roman" w:hAnsi="Times New Roman"/>
          <w:sz w:val="20"/>
        </w:rPr>
        <w:t xml:space="preserve"> </w:t>
      </w:r>
      <w:r>
        <w:rPr>
          <w:rFonts w:ascii="Times New Roman" w:hAnsi="Times New Roman"/>
          <w:b w:val="false"/>
          <w:sz w:val="20"/>
        </w:rPr>
        <w:t>million of the principal balance outstanding on the revolving credit facility. As of March 31, 2022, the balance drawn on the revolving credit facility is $65.9</w:t>
      </w:r>
      <w:r>
        <w:rPr>
          <w:rFonts w:ascii="Times New Roman" w:hAnsi="Times New Roman"/>
          <w:sz w:val="20"/>
        </w:rPr>
        <w:t xml:space="preserve"> </w:t>
      </w:r>
      <w:r>
        <w:rPr>
          <w:rFonts w:ascii="Times New Roman" w:hAnsi="Times New Roman"/>
          <w:b w:val="false"/>
          <w:sz w:val="20"/>
        </w:rPr>
        <w:t>million and on the term loan, the balance is $125.0</w:t>
      </w:r>
      <w:r>
        <w:rPr>
          <w:rFonts w:ascii="Times New Roman" w:hAnsi="Times New Roman"/>
          <w:sz w:val="20"/>
        </w:rPr>
        <w:t xml:space="preserve"> </w:t>
      </w:r>
      <w:r>
        <w:rPr>
          <w:rFonts w:ascii="Times New Roman" w:hAnsi="Times New Roman"/>
          <w:b w:val="false"/>
          <w:sz w:val="20"/>
        </w:rPr>
        <w:t>million. The balance as of December 31, 2021 was $90.9</w:t>
      </w:r>
      <w:r>
        <w:rPr>
          <w:rFonts w:ascii="Times New Roman" w:hAnsi="Times New Roman"/>
          <w:sz w:val="20"/>
        </w:rPr>
        <w:t xml:space="preserve"> </w:t>
      </w:r>
      <w:r>
        <w:rPr>
          <w:rFonts w:ascii="Times New Roman" w:hAnsi="Times New Roman"/>
          <w:b w:val="false"/>
          <w:sz w:val="20"/>
        </w:rPr>
        <w:t>million on the revolving credit facility and $125</w:t>
      </w:r>
      <w:r>
        <w:rPr>
          <w:rFonts w:ascii="Times New Roman" w:hAnsi="Times New Roman"/>
          <w:sz w:val="20"/>
        </w:rPr>
        <w:t xml:space="preserve"> </w:t>
      </w:r>
      <w:r>
        <w:rPr>
          <w:rFonts w:ascii="Times New Roman" w:hAnsi="Times New Roman"/>
          <w:b w:val="false"/>
          <w:sz w:val="20"/>
        </w:rPr>
        <w:t>million on the term loan. For the three months ended March 31, 2022 and March 31, 2021, $0.9</w:t>
      </w:r>
      <w:r>
        <w:rPr>
          <w:rFonts w:ascii="Times New Roman" w:hAnsi="Times New Roman"/>
          <w:sz w:val="20"/>
        </w:rPr>
        <w:t xml:space="preserve"> </w:t>
      </w:r>
      <w:r>
        <w:rPr>
          <w:rFonts w:ascii="Times New Roman" w:hAnsi="Times New Roman"/>
          <w:b w:val="false"/>
          <w:sz w:val="20"/>
        </w:rPr>
        <w:t>million and $0</w:t>
      </w:r>
      <w:r>
        <w:rPr>
          <w:rFonts w:ascii="Times New Roman" w:hAnsi="Times New Roman"/>
          <w:sz w:val="20"/>
        </w:rPr>
        <w:t xml:space="preserve"> </w:t>
      </w:r>
      <w:r>
        <w:rPr>
          <w:rFonts w:ascii="Times New Roman" w:hAnsi="Times New Roman"/>
          <w:b w:val="false"/>
          <w:sz w:val="20"/>
        </w:rPr>
        <w:t>of interest expense was incurred, respectively.</w:t>
      </w:r>
    </w:p>
    <w:p>
      <w:pPr>
        <w:pStyle w:val="TextBody"/>
        <w:spacing w:lineRule="auto" w:line="273" w:before="360" w:after="0"/>
        <w:jc w:val="both"/>
        <w:rPr>
          <w:rFonts w:ascii="Times New Roman" w:hAnsi="Times New Roman"/>
          <w:b/>
          <w:sz w:val="20"/>
        </w:rPr>
      </w:pPr>
      <w:r>
        <w:rPr>
          <w:rFonts w:ascii="Times New Roman" w:hAnsi="Times New Roman"/>
          <w:b/>
          <w:sz w:val="20"/>
        </w:rPr>
        <w:t>Debt Payable</w:t>
      </w:r>
    </w:p>
    <w:p>
      <w:pPr>
        <w:pStyle w:val="TextBody"/>
        <w:spacing w:lineRule="auto" w:line="273" w:before="120" w:after="0"/>
        <w:jc w:val="left"/>
        <w:rPr>
          <w:rFonts w:ascii="Times New Roman" w:hAnsi="Times New Roman"/>
          <w:sz w:val="20"/>
        </w:rPr>
      </w:pPr>
      <w:r>
        <w:rPr>
          <w:rFonts w:ascii="Times New Roman" w:hAnsi="Times New Roman"/>
          <w:b w:val="false"/>
          <w:sz w:val="20"/>
        </w:rPr>
        <w:t>Future principal maturities of debt as of March 31, 2022 are as follows:</w:t>
      </w:r>
      <w:r>
        <w:rPr>
          <w:rFonts w:ascii="Times New Roman" w:hAnsi="Times New Roman"/>
          <w:sz w:val="20"/>
        </w:rPr>
        <w:t xml:space="preserve"> </w:t>
      </w:r>
    </w:p>
    <w:p>
      <w:pPr>
        <w:pStyle w:val="TextBody"/>
        <w:spacing w:lineRule="auto" w:line="273" w:before="0" w:after="0"/>
        <w:jc w:val="both"/>
        <w:rPr/>
      </w:pPr>
      <w:r>
        <w:rPr/>
        <w:t> </w:t>
      </w:r>
    </w:p>
    <w:tbl>
      <w:tblPr>
        <w:tblW w:w="1870" w:type="dxa"/>
        <w:jc w:val="left"/>
        <w:tblInd w:w="0" w:type="dxa"/>
        <w:tblCellMar>
          <w:top w:w="28" w:type="dxa"/>
          <w:left w:w="28" w:type="dxa"/>
          <w:bottom w:w="28" w:type="dxa"/>
          <w:right w:w="28" w:type="dxa"/>
        </w:tblCellMar>
      </w:tblPr>
      <w:tblGrid>
        <w:gridCol w:w="541"/>
        <w:gridCol w:w="146"/>
        <w:gridCol w:w="211"/>
        <w:gridCol w:w="781"/>
        <w:gridCol w:w="191"/>
      </w:tblGrid>
      <w:tr>
        <w:trPr/>
        <w:tc>
          <w:tcPr>
            <w:tcW w:w="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6,250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6,250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178,400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190,900</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160" w:after="0"/>
        <w:jc w:val="both"/>
        <w:rPr>
          <w:rFonts w:ascii="Times New Roman" w:hAnsi="Times New Roman"/>
          <w:b/>
          <w:sz w:val="20"/>
        </w:rPr>
      </w:pPr>
      <w:r>
        <w:rPr>
          <w:rFonts w:ascii="Times New Roman" w:hAnsi="Times New Roman"/>
          <w:b/>
          <w:sz w:val="20"/>
        </w:rPr>
        <w:t>Debt Issuance Costs</w:t>
      </w:r>
    </w:p>
    <w:p>
      <w:pPr>
        <w:pStyle w:val="TextBody"/>
        <w:spacing w:lineRule="auto" w:line="273" w:before="120" w:after="0"/>
        <w:jc w:val="left"/>
        <w:rPr>
          <w:rFonts w:ascii="Times New Roman" w:hAnsi="Times New Roman"/>
          <w:sz w:val="20"/>
        </w:rPr>
      </w:pPr>
      <w:r>
        <w:rPr>
          <w:rFonts w:ascii="Times New Roman" w:hAnsi="Times New Roman"/>
          <w:b w:val="false"/>
          <w:sz w:val="20"/>
        </w:rPr>
        <w:t>Debt issuance costs are offset against the Revolving Credit Facility State Tax Credits, the Credit and Guaranty Facility, and the Revolver Facility and Term Loan. Unamortized debt issuance costs for the Credit and Guaranty Facility as of March 31, 2022 and December 31, 2021</w:t>
      </w:r>
      <w:r>
        <w:rPr>
          <w:rFonts w:ascii="Times New Roman" w:hAnsi="Times New Roman"/>
          <w:sz w:val="20"/>
        </w:rPr>
        <w:t xml:space="preserve"> </w:t>
      </w:r>
      <w:r>
        <w:rPr>
          <w:rFonts w:ascii="Times New Roman" w:hAnsi="Times New Roman"/>
          <w:b w:val="false"/>
          <w:sz w:val="20"/>
        </w:rPr>
        <w:t>were $0</w:t>
      </w:r>
      <w:r>
        <w:rPr>
          <w:rFonts w:ascii="Times New Roman" w:hAnsi="Times New Roman"/>
          <w:sz w:val="20"/>
        </w:rPr>
        <w:t xml:space="preserve"> </w:t>
      </w:r>
      <w:r>
        <w:rPr>
          <w:rFonts w:ascii="Times New Roman" w:hAnsi="Times New Roman"/>
          <w:b w:val="false"/>
          <w:sz w:val="20"/>
        </w:rPr>
        <w:t>and $0, respectively. Unamortized debt issuance costs for the Revolving Credit Facility State Tax Credits as of March 31, 2022 and December 31, 2021</w:t>
      </w:r>
      <w:r>
        <w:rPr>
          <w:rFonts w:ascii="Times New Roman" w:hAnsi="Times New Roman"/>
          <w:sz w:val="20"/>
        </w:rPr>
        <w:t xml:space="preserve"> </w:t>
      </w:r>
      <w:r>
        <w:rPr>
          <w:rFonts w:ascii="Times New Roman" w:hAnsi="Times New Roman"/>
          <w:b w:val="false"/>
          <w:sz w:val="20"/>
        </w:rPr>
        <w:t>were $4 thousand and $8</w:t>
      </w:r>
      <w:r>
        <w:rPr>
          <w:rFonts w:ascii="Times New Roman" w:hAnsi="Times New Roman"/>
          <w:sz w:val="20"/>
        </w:rPr>
        <w:t xml:space="preserve"> </w:t>
      </w:r>
      <w:r>
        <w:rPr>
          <w:rFonts w:ascii="Times New Roman" w:hAnsi="Times New Roman"/>
          <w:b w:val="false"/>
          <w:sz w:val="20"/>
        </w:rPr>
        <w:t>thousand, respectively. Unamortized debt issuance costs for the Revolver Facility and Term Loan as of March 31, 2022</w:t>
      </w:r>
      <w:r>
        <w:rPr>
          <w:rFonts w:ascii="Times New Roman" w:hAnsi="Times New Roman"/>
          <w:sz w:val="20"/>
        </w:rPr>
        <w:t xml:space="preserve"> </w:t>
      </w:r>
      <w:r>
        <w:rPr>
          <w:rFonts w:ascii="Times New Roman" w:hAnsi="Times New Roman"/>
          <w:b w:val="false"/>
          <w:sz w:val="20"/>
        </w:rPr>
        <w:t>and December 31, 2021 were $3.2</w:t>
      </w:r>
      <w:r>
        <w:rPr>
          <w:rFonts w:ascii="Times New Roman" w:hAnsi="Times New Roman"/>
          <w:sz w:val="20"/>
        </w:rPr>
        <w:t xml:space="preserve"> </w:t>
      </w:r>
      <w:r>
        <w:rPr>
          <w:rFonts w:ascii="Times New Roman" w:hAnsi="Times New Roman"/>
          <w:b w:val="false"/>
          <w:sz w:val="20"/>
        </w:rPr>
        <w:t>million and $3.4</w:t>
      </w:r>
      <w:r>
        <w:rPr>
          <w:rFonts w:ascii="Times New Roman" w:hAnsi="Times New Roman"/>
          <w:sz w:val="20"/>
        </w:rPr>
        <w:t xml:space="preserve"> </w:t>
      </w:r>
      <w:r>
        <w:rPr>
          <w:rFonts w:ascii="Times New Roman" w:hAnsi="Times New Roman"/>
          <w:b w:val="false"/>
          <w:sz w:val="20"/>
        </w:rPr>
        <w:t>million, respectively.</w:t>
      </w:r>
    </w:p>
    <w:p>
      <w:pPr>
        <w:pStyle w:val="TextBody"/>
        <w:spacing w:lineRule="auto" w:line="273" w:before="240" w:after="0"/>
        <w:jc w:val="left"/>
        <w:rPr>
          <w:rFonts w:ascii="Times New Roman" w:hAnsi="Times New Roman"/>
          <w:sz w:val="20"/>
        </w:rPr>
      </w:pPr>
      <w:r>
        <w:rPr>
          <w:rFonts w:ascii="Times New Roman" w:hAnsi="Times New Roman"/>
          <w:b w:val="false"/>
          <w:sz w:val="20"/>
        </w:rPr>
        <w:t>Amortization expense related to debt issuance costs totaled $0.2</w:t>
      </w:r>
      <w:r>
        <w:rPr>
          <w:rFonts w:ascii="Times New Roman" w:hAnsi="Times New Roman"/>
          <w:sz w:val="20"/>
        </w:rPr>
        <w:t xml:space="preserve"> </w:t>
      </w:r>
      <w:r>
        <w:rPr>
          <w:rFonts w:ascii="Times New Roman" w:hAnsi="Times New Roman"/>
          <w:b w:val="false"/>
          <w:sz w:val="20"/>
        </w:rPr>
        <w:t>million for the three months ended March 31, 2022 and $0.7</w:t>
      </w:r>
      <w:r>
        <w:rPr>
          <w:rFonts w:ascii="Times New Roman" w:hAnsi="Times New Roman"/>
          <w:sz w:val="20"/>
        </w:rPr>
        <w:t xml:space="preserve"> </w:t>
      </w:r>
      <w:r>
        <w:rPr>
          <w:rFonts w:ascii="Times New Roman" w:hAnsi="Times New Roman"/>
          <w:b w:val="false"/>
          <w:sz w:val="20"/>
        </w:rPr>
        <w:t>million for the three months ended March 31, 2021. This is reported in interest expense, net on the Consolidated Statements of Operations. During the three months ended March 31, 2022 and March 31, 2021, we recorded $8</w:t>
      </w:r>
      <w:r>
        <w:rPr>
          <w:rFonts w:ascii="Times New Roman" w:hAnsi="Times New Roman"/>
          <w:sz w:val="20"/>
        </w:rPr>
        <w:t xml:space="preserve"> </w:t>
      </w:r>
      <w:r>
        <w:rPr>
          <w:rFonts w:ascii="Times New Roman" w:hAnsi="Times New Roman"/>
          <w:b w:val="false"/>
          <w:sz w:val="20"/>
        </w:rPr>
        <w:t>thousand and $0.1</w:t>
      </w:r>
      <w:r>
        <w:rPr>
          <w:rFonts w:ascii="Times New Roman" w:hAnsi="Times New Roman"/>
          <w:sz w:val="20"/>
        </w:rPr>
        <w:t xml:space="preserve"> </w:t>
      </w:r>
      <w:r>
        <w:rPr>
          <w:rFonts w:ascii="Times New Roman" w:hAnsi="Times New Roman"/>
          <w:b w:val="false"/>
          <w:sz w:val="20"/>
        </w:rPr>
        <w:t>million in debt issuance costs, respectively, which is included in debt obligations on the Consolidated Balance Sheets.</w:t>
      </w:r>
      <w:r>
        <w:rPr>
          <w:rFonts w:ascii="Times New Roman" w:hAnsi="Times New Roman"/>
          <w:sz w:val="20"/>
        </w:rPr>
        <w:t xml:space="preserve"> </w:t>
      </w:r>
    </w:p>
    <w:p>
      <w:pPr>
        <w:pStyle w:val="TextBody"/>
        <w:spacing w:lineRule="auto" w:line="273" w:before="360" w:after="0"/>
        <w:jc w:val="both"/>
        <w:rPr>
          <w:rFonts w:ascii="Times New Roman" w:hAnsi="Times New Roman"/>
          <w:b/>
          <w:sz w:val="20"/>
        </w:rPr>
      </w:pPr>
      <w:r>
        <w:rPr>
          <w:rFonts w:ascii="Times New Roman" w:hAnsi="Times New Roman"/>
          <w:b/>
          <w:sz w:val="20"/>
        </w:rPr>
        <w:t>Note 13. Related Party Transactions</w:t>
      </w:r>
    </w:p>
    <w:p>
      <w:pPr>
        <w:pStyle w:val="TextBody"/>
        <w:spacing w:lineRule="auto" w:line="273" w:before="240" w:after="0"/>
        <w:jc w:val="left"/>
        <w:rPr>
          <w:rFonts w:ascii="Times New Roman" w:hAnsi="Times New Roman"/>
          <w:sz w:val="20"/>
        </w:rPr>
      </w:pPr>
      <w:r>
        <w:rPr>
          <w:rFonts w:ascii="Times New Roman" w:hAnsi="Times New Roman"/>
          <w:b w:val="false"/>
          <w:sz w:val="20"/>
        </w:rPr>
        <w:t>Effective January 1, 2021, the Company entered into a sublease with 210 Capital, LLC, a related party, for office space serving as our corporate headquarters. The monthly rent expense is $20.3</w:t>
      </w:r>
      <w:r>
        <w:rPr>
          <w:rFonts w:ascii="Times New Roman" w:hAnsi="Times New Roman"/>
          <w:sz w:val="20"/>
        </w:rPr>
        <w:t xml:space="preserve"> </w:t>
      </w:r>
      <w:r>
        <w:rPr>
          <w:rFonts w:ascii="Times New Roman" w:hAnsi="Times New Roman"/>
          <w:b w:val="false"/>
          <w:sz w:val="20"/>
        </w:rPr>
        <w:t>thousand, and the lease expires December 31, 2029. P10 has paid $0.1</w:t>
      </w:r>
      <w:r>
        <w:rPr>
          <w:rFonts w:ascii="Times New Roman" w:hAnsi="Times New Roman"/>
          <w:sz w:val="20"/>
        </w:rPr>
        <w:t xml:space="preserve"> </w:t>
      </w:r>
      <w:r>
        <w:rPr>
          <w:rFonts w:ascii="Times New Roman" w:hAnsi="Times New Roman"/>
          <w:b w:val="false"/>
          <w:sz w:val="20"/>
        </w:rPr>
        <w:t>million and $0.1</w:t>
      </w:r>
      <w:r>
        <w:rPr>
          <w:rFonts w:ascii="Times New Roman" w:hAnsi="Times New Roman"/>
          <w:sz w:val="20"/>
        </w:rPr>
        <w:t xml:space="preserve"> </w:t>
      </w:r>
      <w:r>
        <w:rPr>
          <w:rFonts w:ascii="Times New Roman" w:hAnsi="Times New Roman"/>
          <w:b w:val="false"/>
          <w:sz w:val="20"/>
        </w:rPr>
        <w:t>million in rent to 210 Capital, LLC for the three months ended March 31, 2022 and March 31, 2021, respectively.</w:t>
      </w:r>
    </w:p>
    <w:p>
      <w:pPr>
        <w:pStyle w:val="TextBody"/>
        <w:spacing w:lineRule="auto" w:line="273" w:before="240" w:after="0"/>
        <w:jc w:val="left"/>
        <w:rPr>
          <w:rFonts w:ascii="Times New Roman" w:hAnsi="Times New Roman"/>
          <w:sz w:val="20"/>
        </w:rPr>
      </w:pPr>
      <w:r>
        <w:rPr>
          <w:rFonts w:ascii="Times New Roman" w:hAnsi="Times New Roman"/>
          <w:b w:val="false"/>
          <w:sz w:val="20"/>
        </w:rPr>
        <w:t>Effective April 1, 2020, P10 Intermediate paid a quarterly management fee of $250</w:t>
      </w:r>
      <w:r>
        <w:rPr>
          <w:rFonts w:ascii="Times New Roman" w:hAnsi="Times New Roman"/>
          <w:sz w:val="20"/>
        </w:rPr>
        <w:t xml:space="preserve"> </w:t>
      </w:r>
      <w:r>
        <w:rPr>
          <w:rFonts w:ascii="Times New Roman" w:hAnsi="Times New Roman"/>
          <w:b w:val="false"/>
          <w:sz w:val="20"/>
        </w:rPr>
        <w:t>thousand to Keystone Capital XXX, LLC, which was the holder of the Series B preferred shares issued by P10 Intermediate in connection with the acquisition of Five Points. As a result of that agreement, P10 Intermediate paid $0.1</w:t>
      </w:r>
      <w:r>
        <w:rPr>
          <w:rFonts w:ascii="Times New Roman" w:hAnsi="Times New Roman"/>
          <w:sz w:val="20"/>
        </w:rPr>
        <w:t xml:space="preserve"> </w:t>
      </w:r>
      <w:r>
        <w:rPr>
          <w:rFonts w:ascii="Times New Roman" w:hAnsi="Times New Roman"/>
          <w:b w:val="false"/>
          <w:sz w:val="20"/>
        </w:rPr>
        <w:t>million and $0.3</w:t>
      </w:r>
      <w:r>
        <w:rPr>
          <w:rFonts w:ascii="Times New Roman" w:hAnsi="Times New Roman"/>
          <w:sz w:val="20"/>
        </w:rPr>
        <w:t xml:space="preserve"> </w:t>
      </w:r>
      <w:r>
        <w:rPr>
          <w:rFonts w:ascii="Times New Roman" w:hAnsi="Times New Roman"/>
          <w:b w:val="false"/>
          <w:sz w:val="20"/>
        </w:rPr>
        <w:t>million for the three months ended March 31, 2022 and March 31, 2021, respectively. This management fee was terminated effective October 20, 2021 when the Company's redeemable noncontrolling interest was converted to Class B shares in connection with the Company's IPO.</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described in Note 1, through its subsidiaries, the Company serves as the investment manager to the Funds. Certain expenses incurred by the Funds are paid upfront and are reimbursed from the Funds as permissible per fund agreements. As of March 31, 2022, the total accounts receivable from the Funds totaled $3.1</w:t>
      </w:r>
      <w:r>
        <w:rPr>
          <w:rFonts w:ascii="Times New Roman" w:hAnsi="Times New Roman"/>
          <w:sz w:val="20"/>
        </w:rPr>
        <w:t xml:space="preserve"> </w:t>
      </w:r>
      <w:r>
        <w:rPr>
          <w:rFonts w:ascii="Times New Roman" w:hAnsi="Times New Roman"/>
          <w:b w:val="false"/>
          <w:sz w:val="20"/>
        </w:rPr>
        <w:t>million, of which $1.8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related to</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reimbursable expenses and $1.4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related to fees earned but not yet received. As of December 31, 2021, the total accounts receivable from the Funds totaled $2.4</w:t>
      </w:r>
      <w:r>
        <w:rPr>
          <w:rFonts w:ascii="Times New Roman" w:hAnsi="Times New Roman"/>
          <w:sz w:val="20"/>
        </w:rPr>
        <w:t xml:space="preserve"> </w:t>
      </w:r>
      <w:r>
        <w:rPr>
          <w:rFonts w:ascii="Times New Roman" w:hAnsi="Times New Roman"/>
          <w:b w:val="false"/>
          <w:sz w:val="20"/>
        </w:rPr>
        <w:t>million, of which $1.6</w:t>
      </w:r>
      <w:r>
        <w:rPr>
          <w:rFonts w:ascii="Times New Roman" w:hAnsi="Times New Roman"/>
          <w:sz w:val="20"/>
        </w:rPr>
        <w:t xml:space="preserve"> </w:t>
      </w:r>
      <w:r>
        <w:rPr>
          <w:rFonts w:ascii="Times New Roman" w:hAnsi="Times New Roman"/>
          <w:b w:val="false"/>
          <w:sz w:val="20"/>
        </w:rPr>
        <w:t>million related to reimbursable expenses and $0.8</w:t>
      </w:r>
      <w:r>
        <w:rPr>
          <w:rFonts w:ascii="Times New Roman" w:hAnsi="Times New Roman"/>
          <w:sz w:val="20"/>
        </w:rPr>
        <w:t xml:space="preserve"> </w:t>
      </w:r>
      <w:r>
        <w:rPr>
          <w:rFonts w:ascii="Times New Roman" w:hAnsi="Times New Roman"/>
          <w:b w:val="false"/>
          <w:sz w:val="20"/>
        </w:rPr>
        <w:t>million related to fees earned but not yet received. In certain instances, the Company may incur expenses related to specific products that never materialize.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and new projects undertaken by Enhanced PC. In exchange for those services, which commenced on January 1, 2021, ECG receives advisory fees from Enhanced PC based on a declining fixed fee schedule, initially totaling $76.0</w:t>
      </w:r>
      <w:r>
        <w:rPr>
          <w:rFonts w:ascii="Times New Roman" w:hAnsi="Times New Roman"/>
          <w:sz w:val="20"/>
        </w:rPr>
        <w:t xml:space="preserve"> </w:t>
      </w:r>
      <w:r>
        <w:rPr>
          <w:rFonts w:ascii="Times New Roman" w:hAnsi="Times New Roman"/>
          <w:b w:val="false"/>
          <w:sz w:val="20"/>
        </w:rPr>
        <w:t>million over 7 years. As a result of new projects during 2021, ECG will receive additional advisory fees from Enhanced PC totaling $1.6</w:t>
      </w:r>
      <w:r>
        <w:rPr>
          <w:rFonts w:ascii="Times New Roman" w:hAnsi="Times New Roman"/>
          <w:sz w:val="20"/>
        </w:rPr>
        <w:t xml:space="preserve"> </w:t>
      </w:r>
      <w:r>
        <w:rPr>
          <w:rFonts w:ascii="Times New Roman" w:hAnsi="Times New Roman"/>
          <w:b w:val="false"/>
          <w:sz w:val="20"/>
        </w:rPr>
        <w:t>million over 7 years, based on a declining fixed fee schedule. This agreement is subject to customary termination provisions. For the three months ended March 31, 2022 and March 31, 2021, advisory fees earned or recognized under this agreement were $4.3</w:t>
      </w:r>
      <w:r>
        <w:rPr>
          <w:rFonts w:ascii="Times New Roman" w:hAnsi="Times New Roman"/>
          <w:sz w:val="20"/>
        </w:rPr>
        <w:t xml:space="preserve"> </w:t>
      </w:r>
      <w:r>
        <w:rPr>
          <w:rFonts w:ascii="Times New Roman" w:hAnsi="Times New Roman"/>
          <w:b w:val="false"/>
          <w:sz w:val="20"/>
        </w:rPr>
        <w:t>million and $4.8</w:t>
      </w:r>
      <w:r>
        <w:rPr>
          <w:rFonts w:ascii="Times New Roman" w:hAnsi="Times New Roman"/>
          <w:sz w:val="20"/>
        </w:rPr>
        <w:t xml:space="preserve"> </w:t>
      </w:r>
      <w:r>
        <w:rPr>
          <w:rFonts w:ascii="Times New Roman" w:hAnsi="Times New Roman"/>
          <w:b w:val="false"/>
          <w:sz w:val="20"/>
        </w:rPr>
        <w:t>million, respectively, and are reported in management and advisory fees on the Consolidated Statement of Operations. As of March 31, 2022 and December 31, 2021, the receivable balance was $13.6</w:t>
      </w:r>
      <w:r>
        <w:rPr>
          <w:rFonts w:ascii="Times New Roman" w:hAnsi="Times New Roman"/>
          <w:sz w:val="20"/>
        </w:rPr>
        <w:t xml:space="preserve"> </w:t>
      </w:r>
      <w:r>
        <w:rPr>
          <w:rFonts w:ascii="Times New Roman" w:hAnsi="Times New Roman"/>
          <w:b w:val="false"/>
          <w:sz w:val="20"/>
        </w:rPr>
        <w:t>million and $9.5</w:t>
      </w:r>
      <w:r>
        <w:rPr>
          <w:rFonts w:ascii="Times New Roman" w:hAnsi="Times New Roman"/>
          <w:sz w:val="20"/>
        </w:rPr>
        <w:t xml:space="preserve"> </w:t>
      </w:r>
      <w:r>
        <w:rPr>
          <w:rFonts w:ascii="Times New Roman" w:hAnsi="Times New Roman"/>
          <w:b w:val="false"/>
          <w:sz w:val="20"/>
        </w:rPr>
        <w:t>million, respectively, and is included in due from related parties on the Consolidated Balance Sheets.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to Enhanced PC at the direction of ECG. The Company recognized $2.2</w:t>
      </w:r>
      <w:r>
        <w:rPr>
          <w:rFonts w:ascii="Times New Roman" w:hAnsi="Times New Roman"/>
          <w:sz w:val="20"/>
        </w:rPr>
        <w:t xml:space="preserve"> </w:t>
      </w:r>
      <w:r>
        <w:rPr>
          <w:rFonts w:ascii="Times New Roman" w:hAnsi="Times New Roman"/>
          <w:b w:val="false"/>
          <w:sz w:val="20"/>
        </w:rPr>
        <w:t>million and $2.8</w:t>
      </w:r>
      <w:r>
        <w:rPr>
          <w:rFonts w:ascii="Times New Roman" w:hAnsi="Times New Roman"/>
          <w:sz w:val="20"/>
        </w:rPr>
        <w:t xml:space="preserve"> </w:t>
      </w:r>
      <w:r>
        <w:rPr>
          <w:rFonts w:ascii="Times New Roman" w:hAnsi="Times New Roman"/>
          <w:b w:val="false"/>
          <w:sz w:val="20"/>
        </w:rPr>
        <w:t>million for the three months ended March 31, 2022 and March 31, 2021, respectively, related to this agreement within compensation and benefits on our Consolidated Statements of Operations.</w:t>
      </w:r>
    </w:p>
    <w:p>
      <w:pPr>
        <w:pStyle w:val="TextBody"/>
        <w:spacing w:lineRule="auto" w:line="273" w:before="240" w:after="0"/>
        <w:jc w:val="left"/>
        <w:rPr>
          <w:rFonts w:ascii="Times New Roman" w:hAnsi="Times New Roman"/>
          <w:sz w:val="20"/>
        </w:rPr>
      </w:pPr>
      <w:r>
        <w:rPr>
          <w:rFonts w:ascii="Times New Roman" w:hAnsi="Times New Roman"/>
          <w:b w:val="false"/>
          <w:sz w:val="20"/>
        </w:rPr>
        <w:t>On September 10, 2021, Enhanced entered into a strategic partnership with Crossroads Systems, Inc,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 The Company recognized $0.4</w:t>
      </w:r>
      <w:r>
        <w:rPr>
          <w:rFonts w:ascii="Times New Roman" w:hAnsi="Times New Roman"/>
          <w:sz w:val="20"/>
        </w:rPr>
        <w:t xml:space="preserve"> </w:t>
      </w:r>
      <w:r>
        <w:rPr>
          <w:rFonts w:ascii="Times New Roman" w:hAnsi="Times New Roman"/>
          <w:b w:val="false"/>
          <w:sz w:val="20"/>
        </w:rPr>
        <w:t>million for the three months ended March 31, 2022, which is included in management and advisory fees on the Consolidated Statements of Operations. No</w:t>
      </w:r>
      <w:r>
        <w:rPr>
          <w:rFonts w:ascii="Times New Roman" w:hAnsi="Times New Roman"/>
          <w:sz w:val="20"/>
        </w:rPr>
        <w:t xml:space="preserve"> </w:t>
      </w:r>
      <w:r>
        <w:rPr>
          <w:rFonts w:ascii="Times New Roman" w:hAnsi="Times New Roman"/>
          <w:b w:val="false"/>
          <w:sz w:val="20"/>
        </w:rPr>
        <w:t>revenues were recognized for the three months ended March 31, 2021.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Upon the closing of the Bonaccord acquisition on September 30, 2021, an Advance Agreement and Secured Promissory Note was signed with BCP, an entity that was formed by employees of the Company. For details, see Note 6.</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utilizes services from Altvia, a technology platform for private capital markets. For the three months ended March 31, 2022 and March 31, 2021 the Company paid Altvia $0.1</w:t>
      </w:r>
      <w:r>
        <w:rPr>
          <w:rFonts w:ascii="Times New Roman" w:hAnsi="Times New Roman"/>
          <w:sz w:val="20"/>
        </w:rPr>
        <w:t xml:space="preserve"> </w:t>
      </w:r>
      <w:r>
        <w:rPr>
          <w:rFonts w:ascii="Times New Roman" w:hAnsi="Times New Roman"/>
          <w:b w:val="false"/>
          <w:sz w:val="20"/>
        </w:rPr>
        <w:t>million and $0.1</w:t>
      </w:r>
      <w:r>
        <w:rPr>
          <w:rFonts w:ascii="Times New Roman" w:hAnsi="Times New Roman"/>
          <w:sz w:val="20"/>
        </w:rPr>
        <w:t xml:space="preserve"> </w:t>
      </w:r>
      <w:r>
        <w:rPr>
          <w:rFonts w:ascii="Times New Roman" w:hAnsi="Times New Roman"/>
          <w:b w:val="false"/>
          <w:sz w:val="20"/>
        </w:rPr>
        <w:t>million respectively.</w:t>
      </w:r>
    </w:p>
    <w:p>
      <w:pPr>
        <w:pStyle w:val="TextBody"/>
        <w:spacing w:lineRule="auto" w:line="273" w:before="360" w:after="0"/>
        <w:jc w:val="both"/>
        <w:rPr>
          <w:rFonts w:ascii="Times New Roman" w:hAnsi="Times New Roman"/>
          <w:b/>
          <w:sz w:val="20"/>
        </w:rPr>
      </w:pPr>
      <w:r>
        <w:rPr>
          <w:rFonts w:ascii="Times New Roman" w:hAnsi="Times New Roman"/>
          <w:b/>
          <w:sz w:val="20"/>
        </w:rPr>
        <w:t>Note 14. Commitments and Contingencies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20"/>
        </w:rPr>
      </w:pPr>
      <w:r>
        <w:rPr>
          <w:rFonts w:ascii="Times New Roman" w:hAnsi="Times New Roman"/>
          <w:b/>
          <w:sz w:val="20"/>
        </w:rPr>
        <w:t>Operating Leases</w:t>
      </w:r>
    </w:p>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leases office space and various equipment under non-cancelable operating leases, with the longest lease expiring in 2032. These lease agreements provide for various renewal options. Rent expense for the various leased office space and equipment was approximately $0.8</w:t>
      </w:r>
      <w:r>
        <w:rPr>
          <w:rFonts w:ascii="Times New Roman" w:hAnsi="Times New Roman"/>
          <w:sz w:val="20"/>
        </w:rPr>
        <w:t xml:space="preserve"> </w:t>
      </w:r>
      <w:r>
        <w:rPr>
          <w:rFonts w:ascii="Times New Roman" w:hAnsi="Times New Roman"/>
          <w:b w:val="false"/>
          <w:sz w:val="20"/>
        </w:rPr>
        <w:t>million for the three months ended March 31, 2022 and $0.5</w:t>
      </w:r>
      <w:r>
        <w:rPr>
          <w:rFonts w:ascii="Times New Roman" w:hAnsi="Times New Roman"/>
          <w:sz w:val="20"/>
        </w:rPr>
        <w:t xml:space="preserve"> </w:t>
      </w:r>
      <w:r>
        <w:rPr>
          <w:rFonts w:ascii="Times New Roman" w:hAnsi="Times New Roman"/>
          <w:b w:val="false"/>
          <w:sz w:val="20"/>
        </w:rPr>
        <w:t>million for the three months ended March 31, 2021.</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following table presents information regarding the Company’s operating leases as of March 31, 2022:</w:t>
      </w:r>
    </w:p>
    <w:p>
      <w:pPr>
        <w:pStyle w:val="TextBody"/>
        <w:spacing w:lineRule="auto" w:line="273" w:before="0" w:after="0"/>
        <w:jc w:val="both"/>
        <w:rPr/>
      </w:pPr>
      <w:r>
        <w:rPr/>
        <w:t> </w:t>
      </w:r>
    </w:p>
    <w:tbl>
      <w:tblPr>
        <w:tblW w:w="5475" w:type="dxa"/>
        <w:jc w:val="left"/>
        <w:tblInd w:w="0" w:type="dxa"/>
        <w:tblCellMar>
          <w:top w:w="28" w:type="dxa"/>
          <w:left w:w="28" w:type="dxa"/>
          <w:bottom w:w="28" w:type="dxa"/>
          <w:right w:w="28" w:type="dxa"/>
        </w:tblCellMar>
      </w:tblPr>
      <w:tblGrid>
        <w:gridCol w:w="4126"/>
        <w:gridCol w:w="146"/>
        <w:gridCol w:w="211"/>
        <w:gridCol w:w="676"/>
        <w:gridCol w:w="316"/>
      </w:tblGrid>
      <w:tr>
        <w:trPr/>
        <w:tc>
          <w:tcPr>
            <w:tcW w:w="4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1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14,193</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41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15,296</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41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paid for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586</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41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remaining lease term (in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7.54</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41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discount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4.65</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future contractual lease payments as of March 31, 2022 are as follows:</w:t>
      </w:r>
    </w:p>
    <w:p>
      <w:pPr>
        <w:pStyle w:val="TextBody"/>
        <w:spacing w:lineRule="auto" w:line="273" w:before="0" w:after="0"/>
        <w:jc w:val="left"/>
        <w:rPr/>
      </w:pPr>
      <w:r>
        <w:rPr/>
        <w:t> </w:t>
      </w:r>
    </w:p>
    <w:tbl>
      <w:tblPr>
        <w:tblW w:w="4230" w:type="dxa"/>
        <w:jc w:val="left"/>
        <w:tblInd w:w="0" w:type="dxa"/>
        <w:tblCellMar>
          <w:top w:w="28" w:type="dxa"/>
          <w:left w:w="28" w:type="dxa"/>
          <w:bottom w:w="28" w:type="dxa"/>
          <w:right w:w="28" w:type="dxa"/>
        </w:tblCellMar>
      </w:tblPr>
      <w:tblGrid>
        <w:gridCol w:w="2986"/>
        <w:gridCol w:w="146"/>
        <w:gridCol w:w="211"/>
        <w:gridCol w:w="676"/>
        <w:gridCol w:w="211"/>
      </w:tblGrid>
      <w:tr>
        <w:trPr/>
        <w:tc>
          <w:tcPr>
            <w:tcW w:w="29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Remainder of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1,599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2,937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3,184</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2,028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1,690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8,061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undiscounted lease payments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19,499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discount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(3,243</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construction allowance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15,296</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60" w:after="0"/>
        <w:jc w:val="both"/>
        <w:rPr>
          <w:rFonts w:ascii="Times New Roman" w:hAnsi="Times New Roman"/>
          <w:b/>
          <w:sz w:val="20"/>
        </w:rPr>
      </w:pPr>
      <w:r>
        <w:rPr>
          <w:rFonts w:ascii="Times New Roman" w:hAnsi="Times New Roman"/>
          <w:b/>
          <w:sz w:val="20"/>
        </w:rPr>
        <w:t>Contingencies</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do not believe that any of these matters, individually or in the aggregate, will result in losses that are materially in excess of amounts already recognized, if any.</w:t>
      </w:r>
    </w:p>
    <w:p>
      <w:pPr>
        <w:pStyle w:val="TextBody"/>
        <w:spacing w:lineRule="auto" w:line="297" w:before="360" w:after="0"/>
        <w:jc w:val="left"/>
        <w:rPr>
          <w:rFonts w:ascii="Times New Roman" w:hAnsi="Times New Roman"/>
          <w:b/>
          <w:sz w:val="20"/>
        </w:rPr>
      </w:pPr>
      <w:r>
        <w:rPr>
          <w:rFonts w:ascii="Times New Roman" w:hAnsi="Times New Roman"/>
          <w:b/>
          <w:sz w:val="20"/>
        </w:rPr>
        <w:t>Note 15. Income Taxes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these methodologies, the Company’s effective income tax rate for the three months ended March 31, 2022 and 2021 was 25.82% and 22.98%, respectively. The effective tax rate differs from the federal statutory rate of 21% due primarily to state and local income taxes.</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March 31, 2022, the Company has recorded a $12.8</w:t>
      </w:r>
      <w:r>
        <w:rPr>
          <w:rFonts w:ascii="Times New Roman" w:hAnsi="Times New Roman"/>
          <w:sz w:val="20"/>
        </w:rPr>
        <w:t xml:space="preserve"> </w:t>
      </w:r>
      <w:r>
        <w:rPr>
          <w:rFonts w:ascii="Times New Roman" w:hAnsi="Times New Roman"/>
          <w:b w:val="false"/>
          <w:sz w:val="20"/>
        </w:rPr>
        <w:t>million valuation allowance against deferred tax assets. There was no change to the valuation allowance during the period.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pStyle w:val="TextBody"/>
        <w:spacing w:lineRule="auto" w:line="273" w:before="360" w:after="0"/>
        <w:jc w:val="left"/>
        <w:rPr>
          <w:rFonts w:ascii="Times New Roman" w:hAnsi="Times New Roman"/>
          <w:b/>
          <w:sz w:val="20"/>
        </w:rPr>
      </w:pPr>
      <w:r>
        <w:rPr>
          <w:rFonts w:ascii="Times New Roman" w:hAnsi="Times New Roman"/>
          <w:b/>
          <w:sz w:val="20"/>
        </w:rPr>
        <w:t>Note 16. Stockholders' Equity</w:t>
      </w:r>
    </w:p>
    <w:p>
      <w:pPr>
        <w:pStyle w:val="TextBody"/>
        <w:spacing w:lineRule="auto" w:line="273" w:before="120" w:after="0"/>
        <w:jc w:val="left"/>
        <w:rPr>
          <w:rFonts w:ascii="Times New Roman" w:hAnsi="Times New Roman"/>
          <w:b/>
          <w:sz w:val="20"/>
        </w:rPr>
      </w:pPr>
      <w:r>
        <w:rPr>
          <w:rFonts w:ascii="Times New Roman" w:hAnsi="Times New Roman"/>
          <w:b/>
          <w:sz w:val="20"/>
        </w:rPr>
        <w:t>Equity-Based Compensation</w:t>
      </w:r>
    </w:p>
    <w:p>
      <w:pPr>
        <w:pStyle w:val="TextBody"/>
        <w:spacing w:lineRule="auto" w:line="273" w:before="120" w:after="0"/>
        <w:jc w:val="left"/>
        <w:rPr>
          <w:rFonts w:ascii="Times New Roman" w:hAnsi="Times New Roman"/>
          <w:sz w:val="20"/>
        </w:rPr>
      </w:pPr>
      <w:r>
        <w:rPr>
          <w:rFonts w:ascii="Times New Roman" w:hAnsi="Times New Roman"/>
          <w:b w:val="false"/>
          <w:sz w:val="20"/>
        </w:rPr>
        <w:t>On July 20, 2021, the Board of Directors approved the P10 Holdings, Inc. 2021 Stock Incentive Plan (the "Plan"), which replaced the 2018 Incentive Plan, our previously existing equity compensation plan. The Plan provides for the issuance of 3,000,000</w:t>
      </w:r>
      <w:r>
        <w:rPr>
          <w:rFonts w:ascii="Times New Roman" w:hAnsi="Times New Roman"/>
          <w:sz w:val="20"/>
        </w:rPr>
        <w:t xml:space="preserve"> </w:t>
      </w:r>
      <w:r>
        <w:rPr>
          <w:rFonts w:ascii="Times New Roman" w:hAnsi="Times New Roman"/>
          <w:b w:val="false"/>
          <w:sz w:val="20"/>
        </w:rPr>
        <w:t>shares available for grant, in addition to those approved in the 2018 Incentive Plan ("2018 Plan"), for a total of 9,300,000</w:t>
      </w:r>
      <w:r>
        <w:rPr>
          <w:rFonts w:ascii="Times New Roman" w:hAnsi="Times New Roman"/>
          <w:sz w:val="20"/>
        </w:rPr>
        <w:t xml:space="preserve"> </w:t>
      </w:r>
      <w:r>
        <w:rPr>
          <w:rFonts w:ascii="Times New Roman" w:hAnsi="Times New Roman"/>
          <w:b w:val="false"/>
          <w:sz w:val="20"/>
        </w:rPr>
        <w:t>shares (previously unadjusted for the stock split of 12,000,000). The Compensation Committee of the Board of Directors may issue equity-based awards including stock options, stock appreciation rights, restricted stock units and restricted stock awards. Options previously granted under the 2018 Incentive Plan vest over a period of up to five years. The term of each option is no more than ten years</w:t>
      </w:r>
      <w:r>
        <w:rPr>
          <w:rFonts w:ascii="Times New Roman" w:hAnsi="Times New Roman"/>
          <w:sz w:val="20"/>
        </w:rPr>
        <w:t xml:space="preserve"> </w:t>
      </w:r>
      <w:r>
        <w:rPr>
          <w:rFonts w:ascii="Times New Roman" w:hAnsi="Times New Roman"/>
          <w:b w:val="false"/>
          <w:sz w:val="20"/>
        </w:rPr>
        <w:t>from the date of grant. When the options are exercised, the Board of Directors has the option of issuing shares of common stock or paying a lump sum cash payment on the exercise date equal to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difference between the common stock’s fair market value on the exercise date and the option price. All future awards will be granted under the Plan, and no</w:t>
      </w:r>
      <w:r>
        <w:rPr>
          <w:rFonts w:ascii="Times New Roman" w:hAnsi="Times New Roman"/>
          <w:sz w:val="20"/>
        </w:rPr>
        <w:t xml:space="preserve"> </w:t>
      </w:r>
      <w:r>
        <w:rPr>
          <w:rFonts w:ascii="Times New Roman" w:hAnsi="Times New Roman"/>
          <w:b w:val="false"/>
          <w:sz w:val="20"/>
        </w:rPr>
        <w:t>additional awards will be granted under the 2018 Plan.</w:t>
      </w:r>
    </w:p>
    <w:p>
      <w:pPr>
        <w:pStyle w:val="TextBody"/>
        <w:spacing w:lineRule="auto" w:line="273" w:before="120" w:after="0"/>
        <w:jc w:val="left"/>
        <w:rPr>
          <w:rFonts w:ascii="Times New Roman" w:hAnsi="Times New Roman"/>
          <w:sz w:val="20"/>
        </w:rPr>
      </w:pPr>
      <w:r>
        <w:rPr>
          <w:rFonts w:ascii="Times New Roman" w:hAnsi="Times New Roman"/>
          <w:b w:val="false"/>
          <w:sz w:val="20"/>
        </w:rPr>
        <w:t>On March 15, 2022, the Board of Directors approved the settlement of 1.1</w:t>
      </w:r>
      <w:r>
        <w:rPr>
          <w:rFonts w:ascii="Times New Roman" w:hAnsi="Times New Roman"/>
          <w:sz w:val="20"/>
        </w:rPr>
        <w:t xml:space="preserve"> </w:t>
      </w:r>
      <w:r>
        <w:rPr>
          <w:rFonts w:ascii="Times New Roman" w:hAnsi="Times New Roman"/>
          <w:b w:val="false"/>
          <w:sz w:val="20"/>
        </w:rPr>
        <w:t>million options from a grantee with a fair market value option price of $11.83, less a negotiated discount of 2.5%, totaling $12.5</w:t>
      </w:r>
      <w:r>
        <w:rPr>
          <w:rFonts w:ascii="Times New Roman" w:hAnsi="Times New Roman"/>
          <w:sz w:val="20"/>
        </w:rPr>
        <w:t xml:space="preserve"> </w:t>
      </w:r>
      <w:r>
        <w:rPr>
          <w:rFonts w:ascii="Times New Roman" w:hAnsi="Times New Roman"/>
          <w:b w:val="false"/>
          <w:sz w:val="20"/>
        </w:rPr>
        <w:t>million. This is presented in other liabilities on the Consolidated Balance Sheets.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 summary of stock option activity for the period ended March 31, 2022 is as follows:</w:t>
      </w:r>
    </w:p>
    <w:p>
      <w:pPr>
        <w:pStyle w:val="TextBody"/>
        <w:spacing w:lineRule="auto" w:line="273" w:before="0" w:after="0"/>
        <w:jc w:val="both"/>
        <w:rPr/>
      </w:pPr>
      <w:r>
        <w:rPr/>
        <w:t> </w:t>
      </w:r>
    </w:p>
    <w:tbl>
      <w:tblPr>
        <w:tblW w:w="9893" w:type="dxa"/>
        <w:jc w:val="left"/>
        <w:tblInd w:w="0" w:type="dxa"/>
        <w:tblCellMar>
          <w:top w:w="28" w:type="dxa"/>
          <w:left w:w="28" w:type="dxa"/>
          <w:bottom w:w="28" w:type="dxa"/>
          <w:right w:w="28" w:type="dxa"/>
        </w:tblCellMar>
      </w:tblPr>
      <w:tblGrid>
        <w:gridCol w:w="3166"/>
        <w:gridCol w:w="146"/>
        <w:gridCol w:w="146"/>
        <w:gridCol w:w="991"/>
        <w:gridCol w:w="166"/>
        <w:gridCol w:w="146"/>
        <w:gridCol w:w="391"/>
        <w:gridCol w:w="1064"/>
        <w:gridCol w:w="146"/>
        <w:gridCol w:w="146"/>
        <w:gridCol w:w="345"/>
        <w:gridCol w:w="1110"/>
        <w:gridCol w:w="146"/>
        <w:gridCol w:w="146"/>
        <w:gridCol w:w="211"/>
        <w:gridCol w:w="1036"/>
        <w:gridCol w:w="391"/>
      </w:tblGrid>
      <w:tr>
        <w:trPr/>
        <w:tc>
          <w:tcPr>
            <w:tcW w:w="3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3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55"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 Average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7" w:type="dxa"/>
            <w:gridSpan w:val="2"/>
            <w:tcBorders/>
            <w:shd w:fill="auto" w:val="clear"/>
            <w:vAlign w:val="center"/>
          </w:tcPr>
          <w:p>
            <w:pPr>
              <w:pStyle w:val="TableContents"/>
              <w:spacing w:lineRule="auto" w:line="252" w:before="0" w:after="0"/>
              <w:ind w:left="0" w:right="0" w:hanging="0"/>
              <w:jc w:val="center"/>
              <w:rPr/>
            </w:pPr>
            <w:r>
              <w:rPr/>
              <w:t> </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3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55"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Contractual Life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7"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Aggregate</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37"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 Average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Remaining</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7"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Intrinsic Value</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(whole dollars)</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3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3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7,095,936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11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73,156,722</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1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1,323,733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1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Exercised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c>
          <w:tcPr>
            <w:tcW w:w="106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1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Settled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(1,120,000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1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Expired/Forfeited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r>
      <w:tr>
        <w:trPr/>
        <w:tc>
          <w:tcPr>
            <w:tcW w:w="3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as of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7,299,669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43,865,350</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Exercisable as of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363,445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2,920,165</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The weighted average assumptions used in calculating the fair value of stock options granted during the three months ended March 31, 2022 and March 31, 2021 were as follows:</w:t>
      </w:r>
      <w:r>
        <w:rPr>
          <w:rFonts w:ascii="Times New Roman" w:hAnsi="Times New Roman"/>
          <w:sz w:val="20"/>
        </w:rPr>
        <w:t xml:space="preserve"> </w:t>
      </w:r>
    </w:p>
    <w:p>
      <w:pPr>
        <w:pStyle w:val="TextBody"/>
        <w:spacing w:lineRule="auto" w:line="273" w:before="0" w:after="0"/>
        <w:jc w:val="left"/>
        <w:rPr/>
      </w:pPr>
      <w:r>
        <w:rPr/>
        <w:t> </w:t>
      </w:r>
    </w:p>
    <w:tbl>
      <w:tblPr>
        <w:tblW w:w="5577" w:type="dxa"/>
        <w:jc w:val="left"/>
        <w:tblInd w:w="0" w:type="dxa"/>
        <w:tblCellMar>
          <w:top w:w="28" w:type="dxa"/>
          <w:left w:w="28" w:type="dxa"/>
          <w:bottom w:w="28" w:type="dxa"/>
          <w:right w:w="28" w:type="dxa"/>
        </w:tblCellMar>
      </w:tblPr>
      <w:tblGrid>
        <w:gridCol w:w="2131"/>
        <w:gridCol w:w="146"/>
        <w:gridCol w:w="235"/>
        <w:gridCol w:w="921"/>
        <w:gridCol w:w="437"/>
        <w:gridCol w:w="235"/>
        <w:gridCol w:w="235"/>
        <w:gridCol w:w="921"/>
        <w:gridCol w:w="316"/>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984"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43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35" w:type="dxa"/>
            <w:tcBorders/>
            <w:shd w:fill="auto" w:val="clear"/>
            <w:vAlign w:val="center"/>
          </w:tcPr>
          <w:p>
            <w:pPr>
              <w:pStyle w:val="TableContents"/>
              <w:spacing w:lineRule="auto" w:line="252" w:before="0" w:after="0"/>
              <w:ind w:left="0" w:right="0" w:hanging="0"/>
              <w:jc w:val="center"/>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life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gridSpan w:val="2"/>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7.5</w:t>
            </w:r>
            <w:r>
              <w:rPr>
                <w:rFonts w:ascii="Times New Roman" w:hAnsi="Times New Roman"/>
                <w:sz w:val="20"/>
              </w:rPr>
              <w:t> </w:t>
            </w:r>
            <w:r>
              <w:rPr>
                <w:rFonts w:ascii="Times New Roman" w:hAnsi="Times New Roman"/>
                <w:b w:val="false"/>
                <w:sz w:val="20"/>
              </w:rPr>
              <w:t>(yrs)</w:t>
            </w:r>
          </w:p>
        </w:tc>
        <w:tc>
          <w:tcPr>
            <w:tcW w:w="437" w:type="dxa"/>
            <w:tcBorders/>
            <w:shd w:fill="auto" w:val="clear"/>
            <w:vAlign w:val="center"/>
          </w:tcPr>
          <w:p>
            <w:pPr>
              <w:pStyle w:val="TableContents"/>
              <w:spacing w:lineRule="auto" w:line="252" w:before="0" w:after="0"/>
              <w:ind w:left="0" w:right="0" w:hanging="0"/>
              <w:jc w:val="righ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1156" w:type="dxa"/>
            <w:gridSpan w:val="2"/>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7.5</w:t>
            </w:r>
            <w:r>
              <w:rPr>
                <w:rFonts w:ascii="Times New Roman" w:hAnsi="Times New Roman"/>
                <w:sz w:val="20"/>
              </w:rPr>
              <w:t> </w:t>
            </w:r>
            <w:r>
              <w:rPr>
                <w:rFonts w:ascii="Times New Roman" w:hAnsi="Times New Roman"/>
                <w:b w:val="false"/>
                <w:sz w:val="20"/>
              </w:rPr>
              <w:t>(yrs)</w:t>
            </w:r>
          </w:p>
        </w:tc>
        <w:tc>
          <w:tcPr>
            <w:tcW w:w="316" w:type="dxa"/>
            <w:tcBorders/>
            <w:shd w:fill="auto" w:val="clear"/>
            <w:vAlign w:val="center"/>
          </w:tcPr>
          <w:p>
            <w:pPr>
              <w:pStyle w:val="TableContents"/>
              <w:spacing w:lineRule="auto" w:line="252" w:before="0" w:after="0"/>
              <w:ind w:left="0" w:right="0" w:hanging="0"/>
              <w:jc w:val="right"/>
              <w:rPr/>
            </w:pPr>
            <w:r>
              <w:rPr/>
              <w:t> </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9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35.40</w:t>
            </w:r>
          </w:p>
        </w:tc>
        <w:tc>
          <w:tcPr>
            <w:tcW w:w="43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9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41.70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9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1.83</w:t>
            </w:r>
          </w:p>
        </w:tc>
        <w:tc>
          <w:tcPr>
            <w:tcW w:w="43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9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0.79</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dividend yield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9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0.00</w:t>
            </w:r>
          </w:p>
        </w:tc>
        <w:tc>
          <w:tcPr>
            <w:tcW w:w="43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9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has granted restricted stock awards ("RSAs") to certain employees. Holders of RSAs have no voting rights and are not eligible to receive dividends or other distributions paid with respect to any RSAs that have not vested. All of the shares currently vest one year from the grant date.</w:t>
      </w:r>
      <w:r>
        <w:rPr>
          <w:rFonts w:ascii="Times New Roman" w:hAnsi="Times New Roman"/>
          <w:sz w:val="20"/>
        </w:rPr>
        <w:t xml:space="preserve"> </w:t>
      </w:r>
    </w:p>
    <w:p>
      <w:pPr>
        <w:pStyle w:val="TextBody"/>
        <w:spacing w:lineRule="auto" w:line="273" w:before="0" w:after="0"/>
        <w:jc w:val="left"/>
        <w:rPr/>
      </w:pPr>
      <w:r>
        <w:rPr/>
        <w:t> </w:t>
      </w:r>
    </w:p>
    <w:tbl>
      <w:tblPr>
        <w:tblW w:w="6845" w:type="dxa"/>
        <w:jc w:val="left"/>
        <w:tblInd w:w="0" w:type="dxa"/>
        <w:tblCellMar>
          <w:top w:w="28" w:type="dxa"/>
          <w:left w:w="28" w:type="dxa"/>
          <w:bottom w:w="28" w:type="dxa"/>
          <w:right w:w="28" w:type="dxa"/>
        </w:tblCellMar>
      </w:tblPr>
      <w:tblGrid>
        <w:gridCol w:w="3166"/>
        <w:gridCol w:w="146"/>
        <w:gridCol w:w="157"/>
        <w:gridCol w:w="728"/>
        <w:gridCol w:w="146"/>
        <w:gridCol w:w="146"/>
        <w:gridCol w:w="529"/>
        <w:gridCol w:w="1436"/>
        <w:gridCol w:w="391"/>
      </w:tblGrid>
      <w:tr>
        <w:trPr/>
        <w:tc>
          <w:tcPr>
            <w:tcW w:w="3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4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Weighted-Average Grant</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RSAs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Date Fair Value Per RSA</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72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36,033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11.24</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1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72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left"/>
              <w:rPr/>
            </w:pPr>
            <w:r>
              <w:rPr/>
              <w:t> </w:t>
            </w:r>
          </w:p>
        </w:tc>
        <w:tc>
          <w:tcPr>
            <w:tcW w:w="1436"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1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72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left"/>
              <w:rPr/>
            </w:pPr>
            <w:r>
              <w:rPr/>
              <w:t> </w:t>
            </w:r>
          </w:p>
        </w:tc>
        <w:tc>
          <w:tcPr>
            <w:tcW w:w="1436"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1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as of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36,033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11.24</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has granted restricted stock units ("RSUs") to certain employees. Holders of RSUs have no voting rights and are not eligible to receive dividends or other distributions paid with respect to any RSUs that have not vested. All of the shares currently vest one year from the grant date.</w:t>
      </w:r>
      <w:r>
        <w:rPr>
          <w:rFonts w:ascii="Times New Roman" w:hAnsi="Times New Roman"/>
          <w:sz w:val="20"/>
        </w:rPr>
        <w:t xml:space="preserve"> </w:t>
      </w:r>
    </w:p>
    <w:p>
      <w:pPr>
        <w:pStyle w:val="TextBody"/>
        <w:spacing w:lineRule="auto" w:line="273" w:before="0" w:after="0"/>
        <w:jc w:val="left"/>
        <w:rPr/>
      </w:pPr>
      <w:r>
        <w:rPr/>
        <w:t> </w:t>
      </w:r>
    </w:p>
    <w:tbl>
      <w:tblPr>
        <w:tblW w:w="6887" w:type="dxa"/>
        <w:jc w:val="left"/>
        <w:tblInd w:w="0" w:type="dxa"/>
        <w:tblCellMar>
          <w:top w:w="28" w:type="dxa"/>
          <w:left w:w="28" w:type="dxa"/>
          <w:bottom w:w="28" w:type="dxa"/>
          <w:right w:w="28" w:type="dxa"/>
        </w:tblCellMar>
      </w:tblPr>
      <w:tblGrid>
        <w:gridCol w:w="3166"/>
        <w:gridCol w:w="146"/>
        <w:gridCol w:w="146"/>
        <w:gridCol w:w="781"/>
        <w:gridCol w:w="146"/>
        <w:gridCol w:w="146"/>
        <w:gridCol w:w="529"/>
        <w:gridCol w:w="1436"/>
        <w:gridCol w:w="391"/>
      </w:tblGrid>
      <w:tr>
        <w:trPr/>
        <w:tc>
          <w:tcPr>
            <w:tcW w:w="3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4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27"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Weighted-Average Grant</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RSUs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Date Fair Value Per RSU</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59,654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12.74</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1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508,135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left"/>
              <w:rPr/>
            </w:pPr>
            <w:r>
              <w:rPr/>
              <w:t> </w:t>
            </w:r>
          </w:p>
        </w:tc>
        <w:tc>
          <w:tcPr>
            <w:tcW w:w="14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12.30</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1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9" w:type="dxa"/>
            <w:tcBorders/>
            <w:shd w:fill="auto" w:val="clear"/>
            <w:vAlign w:val="center"/>
          </w:tcPr>
          <w:p>
            <w:pPr>
              <w:pStyle w:val="TableContents"/>
              <w:spacing w:lineRule="auto" w:line="252" w:before="0" w:after="0"/>
              <w:ind w:left="0" w:right="0" w:hanging="0"/>
              <w:jc w:val="left"/>
              <w:rPr/>
            </w:pPr>
            <w:r>
              <w:rPr/>
              <w:t> </w:t>
            </w:r>
          </w:p>
        </w:tc>
        <w:tc>
          <w:tcPr>
            <w:tcW w:w="1436"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1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as of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567,789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12.35</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tLeast" w:line="260"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Compensation expense equal to the grant date fair value is recognized for these awards over the vesting period and is included in compensation and benefits on our Consolidated Statements of Operations. The stock-based compensation expense was $1.5</w:t>
      </w:r>
      <w:r>
        <w:rPr>
          <w:rFonts w:ascii="Times New Roman" w:hAnsi="Times New Roman"/>
          <w:sz w:val="20"/>
        </w:rPr>
        <w:t xml:space="preserve"> </w:t>
      </w:r>
      <w:r>
        <w:rPr>
          <w:rFonts w:ascii="Times New Roman" w:hAnsi="Times New Roman"/>
          <w:b w:val="false"/>
          <w:sz w:val="20"/>
        </w:rPr>
        <w:t>million and $0.4</w:t>
      </w:r>
      <w:r>
        <w:rPr>
          <w:rFonts w:ascii="Times New Roman" w:hAnsi="Times New Roman"/>
          <w:sz w:val="20"/>
        </w:rPr>
        <w:t xml:space="preserve"> </w:t>
      </w:r>
      <w:r>
        <w:rPr>
          <w:rFonts w:ascii="Times New Roman" w:hAnsi="Times New Roman"/>
          <w:b w:val="false"/>
          <w:sz w:val="20"/>
        </w:rPr>
        <w:t>million for the three months ended March 31, 2022 and March 31, 2021, respectively. Unrecognized stock-based compensation expense related to outstanding unvested stock options as of March 31, 2022</w:t>
      </w:r>
      <w:r>
        <w:rPr>
          <w:rFonts w:ascii="Times New Roman" w:hAnsi="Times New Roman"/>
          <w:sz w:val="20"/>
        </w:rPr>
        <w:t xml:space="preserve"> </w:t>
      </w:r>
      <w:r>
        <w:rPr>
          <w:rFonts w:ascii="Times New Roman" w:hAnsi="Times New Roman"/>
          <w:b w:val="false"/>
          <w:sz w:val="20"/>
        </w:rPr>
        <w:t>was $7.5</w:t>
      </w:r>
      <w:r>
        <w:rPr>
          <w:rFonts w:ascii="Times New Roman" w:hAnsi="Times New Roman"/>
          <w:sz w:val="20"/>
        </w:rPr>
        <w:t xml:space="preserve"> </w:t>
      </w:r>
      <w:r>
        <w:rPr>
          <w:rFonts w:ascii="Times New Roman" w:hAnsi="Times New Roman"/>
          <w:b w:val="false"/>
          <w:sz w:val="20"/>
        </w:rPr>
        <w:t>million and is expected to be recognized over a weighted average period of</w:t>
      </w:r>
      <w:r>
        <w:rPr>
          <w:rFonts w:ascii="Times New Roman" w:hAnsi="Times New Roman"/>
          <w:sz w:val="20"/>
        </w:rPr>
        <w:t xml:space="preserve"> </w:t>
      </w:r>
      <w:r>
        <w:rPr>
          <w:rFonts w:ascii="Times New Roman" w:hAnsi="Times New Roman"/>
          <w:b w:val="false"/>
          <w:sz w:val="20"/>
        </w:rPr>
        <w:t>3.05</w:t>
      </w:r>
      <w:r>
        <w:rPr>
          <w:rFonts w:ascii="Times New Roman" w:hAnsi="Times New Roman"/>
          <w:sz w:val="20"/>
        </w:rPr>
        <w:t xml:space="preserve"> </w:t>
      </w:r>
      <w:r>
        <w:rPr>
          <w:rFonts w:ascii="Times New Roman" w:hAnsi="Times New Roman"/>
          <w:b w:val="false"/>
          <w:sz w:val="20"/>
        </w:rPr>
        <w:t>years. Any future forfeitures will impact this amount.</w:t>
      </w:r>
    </w:p>
    <w:p>
      <w:pPr>
        <w:pStyle w:val="TextBody"/>
        <w:spacing w:lineRule="auto" w:line="297" w:before="360" w:after="0"/>
        <w:jc w:val="left"/>
        <w:rPr>
          <w:rFonts w:ascii="Times New Roman" w:hAnsi="Times New Roman"/>
          <w:b/>
          <w:sz w:val="20"/>
        </w:rPr>
      </w:pPr>
      <w:r>
        <w:rPr>
          <w:rFonts w:ascii="Times New Roman" w:hAnsi="Times New Roman"/>
          <w:b/>
          <w:sz w:val="20"/>
        </w:rPr>
        <w:t>Note 17. Earnings Per Share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Additionally, diluted EPS reflects the potential dilution that could occur if convertible preferred shares of P10 Intermediate were converted into common shares of P10 Intermediate. This is only applicable for the three months ended March 31, 2021 as the preferred shares of P10 Intermediate converted to Class B common shares effective with the IPO.</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following table presents a reconciliation of the numerators and denominators used in the computation of basic and diluted EPS:</w:t>
      </w:r>
    </w:p>
    <w:p>
      <w:pPr>
        <w:pStyle w:val="TextBody"/>
        <w:spacing w:lineRule="auto" w:line="273" w:before="0" w:after="0"/>
        <w:jc w:val="both"/>
        <w:rPr/>
      </w:pPr>
      <w:r>
        <w:rPr/>
        <w:t> </w:t>
      </w:r>
    </w:p>
    <w:tbl>
      <w:tblPr>
        <w:tblW w:w="7179" w:type="dxa"/>
        <w:jc w:val="left"/>
        <w:tblInd w:w="0" w:type="dxa"/>
        <w:tblCellMar>
          <w:top w:w="28" w:type="dxa"/>
          <w:left w:w="28" w:type="dxa"/>
          <w:bottom w:w="28" w:type="dxa"/>
          <w:right w:w="28" w:type="dxa"/>
        </w:tblCellMar>
      </w:tblPr>
      <w:tblGrid>
        <w:gridCol w:w="4471"/>
        <w:gridCol w:w="146"/>
        <w:gridCol w:w="211"/>
        <w:gridCol w:w="781"/>
        <w:gridCol w:w="146"/>
        <w:gridCol w:w="146"/>
        <w:gridCol w:w="211"/>
        <w:gridCol w:w="676"/>
        <w:gridCol w:w="391"/>
      </w:tblGrid>
      <w:tr>
        <w:trPr/>
        <w:tc>
          <w:tcPr>
            <w:tcW w:w="44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4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7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w:t>
              <w:br/>
              <w:t>Ended March 31,</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44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7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4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4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Numerator: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44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Numerator for earnings per share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44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Numerator for earnings per share assuming</w:t>
              <w:br/>
              <w:t>   dilution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7,792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1,643</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4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Denominator: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391" w:type="dxa"/>
            <w:tcBorders/>
            <w:shd w:fill="auto" w:val="clear"/>
            <w:vAlign w:val="center"/>
          </w:tcPr>
          <w:p>
            <w:pPr>
              <w:pStyle w:val="TableContents"/>
              <w:spacing w:lineRule="auto" w:line="252" w:before="0" w:after="0"/>
              <w:ind w:left="0" w:right="0" w:firstLine="200"/>
              <w:jc w:val="center"/>
              <w:rPr/>
            </w:pPr>
            <w:r>
              <w:rPr/>
              <w:t> </w:t>
            </w:r>
          </w:p>
        </w:tc>
      </w:tr>
      <w:tr>
        <w:trPr/>
        <w:tc>
          <w:tcPr>
            <w:tcW w:w="44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Denominator for basic calculation—Weighted-</w:t>
              <w:br/>
              <w:t>   average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117,193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62,465</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44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Weighted shares assumed upon exercise of stock</w:t>
              <w:br/>
              <w:t>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4,344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4,112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4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Denominator for earnings per share assuming dilution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121,537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66,577</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44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Earnings per share—basic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0.03</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44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Earnings per share—diluted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0.02</w:t>
            </w:r>
          </w:p>
        </w:tc>
        <w:tc>
          <w:tcPr>
            <w:tcW w:w="3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computations of diluted earnings per share excluded 0.2</w:t>
      </w:r>
      <w:r>
        <w:rPr>
          <w:rFonts w:ascii="Times New Roman" w:hAnsi="Times New Roman"/>
          <w:sz w:val="20"/>
        </w:rPr>
        <w:t xml:space="preserve"> </w:t>
      </w:r>
      <w:r>
        <w:rPr>
          <w:rFonts w:ascii="Times New Roman" w:hAnsi="Times New Roman"/>
          <w:b w:val="false"/>
          <w:sz w:val="20"/>
        </w:rPr>
        <w:t>million options for the three months ended March 31, 2022 and 3.0</w:t>
      </w:r>
      <w:r>
        <w:rPr>
          <w:rFonts w:ascii="Times New Roman" w:hAnsi="Times New Roman"/>
          <w:sz w:val="20"/>
        </w:rPr>
        <w:t xml:space="preserve"> </w:t>
      </w:r>
      <w:r>
        <w:rPr>
          <w:rFonts w:ascii="Times New Roman" w:hAnsi="Times New Roman"/>
          <w:b w:val="false"/>
          <w:sz w:val="20"/>
        </w:rPr>
        <w:t>million options for the three months ended March 31, 2021, because the options and restricted stock units were anti-dilutive. See Note 3 for more information related to the restricted stock units.</w:t>
      </w:r>
    </w:p>
    <w:p>
      <w:pPr>
        <w:pStyle w:val="TextBody"/>
        <w:spacing w:lineRule="auto" w:line="273" w:before="360" w:after="0"/>
        <w:jc w:val="both"/>
        <w:rPr>
          <w:rFonts w:ascii="Times New Roman" w:hAnsi="Times New Roman"/>
          <w:b/>
          <w:sz w:val="20"/>
        </w:rPr>
      </w:pPr>
      <w:r>
        <w:rPr>
          <w:rFonts w:ascii="Times New Roman" w:hAnsi="Times New Roman"/>
          <w:b/>
          <w:sz w:val="20"/>
        </w:rPr>
        <w:t>Note 18. Redeemable Noncontrolling Interest</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connection with the closing of the acquisition of Five Points on April 1, 2020, the Company formed a new subsidiary, P10 Intermediate, which was the acquiring entity of Five Points. On April 1, 2020, P10 Intermediate issued three series (A, B and C) of redeemable convertible preferred shares. On October 2, 2020 and December 14, 2020, P10 Intermediate issued two additional series (D and E) in connection with the acquisitions of TrueBridge and Enhanced. The preferred shares on an as-if-converted basis represented approximately 40.9% of the aggregate issued and outstanding share capital of P10 Intermediate with P10 owning the remaining 59.1% through its 100% ownership of the outstanding common stock of P10 Intermediate. The third-party ownership interest represented a noncontrolling interest in P10 Intermediate, which the Company had a controlling interest in. Dividends on the preferred shares were recognized as preferred dividends attributable to redeemable non-controlling interest in our Consolidated Statements of Operations. In connection with the IPO on October 20, 2021, all preferred shares were contractually converted to Class B common shares.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P10, Inc.</w:t>
      </w:r>
    </w:p>
    <w:p>
      <w:pPr>
        <w:pStyle w:val="TextBody"/>
        <w:spacing w:lineRule="auto" w:line="297" w:before="0" w:after="0"/>
        <w:jc w:val="center"/>
        <w:rPr>
          <w:rFonts w:ascii="Times New Roman" w:hAnsi="Times New Roman"/>
          <w:b w:val="false"/>
          <w:sz w:val="20"/>
        </w:rPr>
      </w:pPr>
      <w:r>
        <w:rPr>
          <w:rFonts w:ascii="Times New Roman" w:hAnsi="Times New Roman"/>
          <w:b w:val="false"/>
          <w:sz w:val="20"/>
        </w:rPr>
        <w:t>Notes to Consolidated Financial Statements</w:t>
      </w:r>
    </w:p>
    <w:p>
      <w:pPr>
        <w:pStyle w:val="TextBody"/>
        <w:spacing w:lineRule="auto" w:line="297" w:before="0" w:after="0"/>
        <w:jc w:val="center"/>
        <w:rPr>
          <w:rFonts w:ascii="Times New Roman" w:hAnsi="Times New Roman"/>
          <w:b w:val="false"/>
          <w:i/>
          <w:sz w:val="20"/>
        </w:rPr>
      </w:pPr>
      <w:r>
        <w:rPr>
          <w:rFonts w:ascii="Times New Roman" w:hAnsi="Times New Roman"/>
          <w:b w:val="false"/>
          <w:i/>
          <w:sz w:val="20"/>
        </w:rPr>
        <w:t>(Unaudited, dollar amounts stated in thousands)</w:t>
      </w:r>
    </w:p>
    <w:p>
      <w:pPr>
        <w:pStyle w:val="TextBody"/>
        <w:spacing w:lineRule="auto" w:line="297" w:before="0" w:after="0"/>
        <w:jc w:val="center"/>
        <w:rPr/>
      </w:pPr>
      <w:r>
        <w:rPr/>
        <w:t> </w:t>
      </w:r>
    </w:p>
    <w:p>
      <w:pPr>
        <w:pStyle w:val="TextBody"/>
        <w:spacing w:lineRule="auto" w:line="273" w:before="360" w:after="0"/>
        <w:jc w:val="both"/>
        <w:rPr>
          <w:rFonts w:ascii="Times New Roman" w:hAnsi="Times New Roman"/>
          <w:b/>
          <w:sz w:val="20"/>
        </w:rPr>
      </w:pPr>
      <w:r>
        <w:rPr>
          <w:rFonts w:ascii="Times New Roman" w:hAnsi="Times New Roman"/>
          <w:b/>
          <w:sz w:val="20"/>
        </w:rPr>
        <w:t>Note 19. Subsequent Events</w:t>
      </w:r>
    </w:p>
    <w:p>
      <w:pPr>
        <w:pStyle w:val="TextBody"/>
        <w:spacing w:lineRule="auto" w:line="273" w:before="240" w:after="0"/>
        <w:jc w:val="left"/>
        <w:rPr>
          <w:rFonts w:ascii="Times New Roman" w:hAnsi="Times New Roman"/>
          <w:sz w:val="20"/>
        </w:rPr>
      </w:pPr>
      <w:r>
        <w:rPr>
          <w:rFonts w:ascii="Times New Roman" w:hAnsi="Times New Roman"/>
          <w:b w:val="false"/>
          <w:sz w:val="20"/>
        </w:rPr>
        <w:t>As further described in Note 16, on April 4, 2022, the Company made the cash payment to settle its liability with the grantee for their stock options.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Board of Directors of the Company has declared a quarterly cash dividend of $0.03</w:t>
      </w:r>
      <w:r>
        <w:rPr>
          <w:rFonts w:ascii="Times New Roman" w:hAnsi="Times New Roman"/>
          <w:sz w:val="20"/>
        </w:rPr>
        <w:t xml:space="preserve"> </w:t>
      </w:r>
      <w:r>
        <w:rPr>
          <w:rFonts w:ascii="Times New Roman" w:hAnsi="Times New Roman"/>
          <w:b w:val="false"/>
          <w:sz w:val="20"/>
        </w:rPr>
        <w:t>per share of Class A and Class B common stock, payable on June 20, 2022, to the holders of record as of the close of business on May 31, 2022.</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announced that its Board of Directors has authorized a stock buyback program pursuant to which P10 may purchase up to $20</w:t>
      </w:r>
      <w:r>
        <w:rPr>
          <w:rFonts w:ascii="Times New Roman" w:hAnsi="Times New Roman"/>
          <w:sz w:val="20"/>
        </w:rPr>
        <w:t xml:space="preserve"> </w:t>
      </w:r>
      <w:r>
        <w:rPr>
          <w:rFonts w:ascii="Times New Roman" w:hAnsi="Times New Roman"/>
          <w:b w:val="false"/>
          <w:sz w:val="20"/>
        </w:rPr>
        <w:t>million of P10’s outstanding shares of Class A Common Stock, par value $0.001</w:t>
      </w:r>
      <w:r>
        <w:rPr>
          <w:rFonts w:ascii="Times New Roman" w:hAnsi="Times New Roman"/>
          <w:sz w:val="20"/>
        </w:rPr>
        <w:t xml:space="preserve"> </w:t>
      </w:r>
      <w:r>
        <w:rPr>
          <w:rFonts w:ascii="Times New Roman" w:hAnsi="Times New Roman"/>
          <w:b w:val="false"/>
          <w:sz w:val="20"/>
        </w:rPr>
        <w:t>per share. P10 intends to fund the program through available cash balances and future operating cash flows.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its Class A Common Stock, trading volume, ongoing assessment of P10’s working capital needs, general market conditions, and other factors. The buyback program does not obligate P10 to acquire any particular amount of common stock and it may be terminated or amended by the Board of Directors at any time.</w:t>
      </w:r>
    </w:p>
    <w:p>
      <w:pPr>
        <w:pStyle w:val="TextBody"/>
        <w:spacing w:lineRule="auto" w:line="273" w:before="240" w:after="0"/>
        <w:jc w:val="left"/>
        <w:rPr>
          <w:rFonts w:ascii="Times New Roman" w:hAnsi="Times New Roman"/>
          <w:sz w:val="20"/>
        </w:rPr>
      </w:pPr>
      <w:r>
        <w:rPr>
          <w:rFonts w:ascii="Times New Roman" w:hAnsi="Times New Roman"/>
          <w:b w:val="false"/>
          <w:sz w:val="20"/>
        </w:rPr>
        <w:t>In accordance with ASC 855, Subsequent Events, the Company evaluated all material events or transactions that occurred after December 31, 2021, the Consolidated Balance Sheet date, through the date the Consolidated Financial Statements were issued, and determined there have been no additional events or transactions that would materially impact the Consolidated Financial Statements.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9" w:name="item_7_mda"/>
      <w:bookmarkEnd w:id="9"/>
      <w:r>
        <w:rPr>
          <w:rFonts w:ascii="Times New Roman" w:hAnsi="Times New Roman"/>
          <w:b/>
          <w:sz w:val="20"/>
        </w:rPr>
        <w:t xml:space="preserve">Item 2. </w:t>
      </w:r>
      <w:bookmarkStart w:id="10" w:name="mda"/>
      <w:bookmarkEnd w:id="10"/>
      <w:r>
        <w:rPr>
          <w:rFonts w:ascii="Times New Roman" w:hAnsi="Times New Roman"/>
          <w:b/>
          <w:sz w:val="20"/>
        </w:rPr>
        <w:t>Management's Discussion and Analysis of Financial Condition and Results of Operations.</w:t>
      </w:r>
      <w:r>
        <w:rPr>
          <w:rFonts w:ascii="Times New Roman" w:hAnsi="Times New Roman"/>
          <w:sz w:val="20"/>
        </w:rPr>
        <w:t xml:space="preserve"> </w:t>
      </w:r>
    </w:p>
    <w:p>
      <w:pPr>
        <w:pStyle w:val="TextBody"/>
        <w:spacing w:lineRule="auto" w:line="273" w:before="120" w:after="0"/>
        <w:jc w:val="both"/>
        <w:rPr>
          <w:rFonts w:ascii="Times New Roman" w:hAnsi="Times New Roman"/>
          <w:b w:val="false"/>
          <w:i/>
          <w:sz w:val="20"/>
        </w:rPr>
      </w:pPr>
      <w:r>
        <w:rPr>
          <w:rFonts w:ascii="Times New Roman" w:hAnsi="Times New Roman"/>
          <w:b w:val="false"/>
          <w:i/>
          <w:sz w:val="20"/>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due to the effects of acquisitions which occurred during the year ended December 31, 2021, but may not have had a material impact on our statements of operations due to the limited period of time which they were included in our consolidated results. This quarterly report reflects the historical results of operations and financial position of P10 Holdings, our predecessor for accounting purposes, prior to the Reorganization and IPO.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2021, particularly in "Risk Factors" and the "Forward-Looking Information." Unless otherwise indicated, references in this Quarterly Report on Form 10-Q to fiscal 2022 and 2021 are to our fiscal years ended December 31, 2022 and 2021, respectively.</w:t>
      </w:r>
    </w:p>
    <w:p>
      <w:pPr>
        <w:pStyle w:val="TextBody"/>
        <w:spacing w:lineRule="auto" w:line="273" w:before="200" w:after="0"/>
        <w:jc w:val="center"/>
        <w:rPr>
          <w:rFonts w:ascii="Times New Roman" w:hAnsi="Times New Roman"/>
          <w:b/>
          <w:sz w:val="20"/>
        </w:rPr>
      </w:pPr>
      <w:r>
        <w:rPr>
          <w:rFonts w:ascii="Times New Roman" w:hAnsi="Times New Roman"/>
          <w:b/>
          <w:sz w:val="20"/>
        </w:rPr>
        <w:t>Business Overview</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During 2020, we completed several acquisitions to expand the private market solutions available to our investors. On April 1, 2020, we completed our acquisition of Five Points to serve as our Private Credit solution (which also offers certain private equity solutions). On October 2, 2020, we completed our acquisition of TrueBridge Capital Partners, LLC (TrueBridge) to serve as our Venture Capital solution. On December 14, 2020, we completed our acquisition of 100% of the equity interest in Enhanced Capital Group, LLC (ECG) to serve as our Impact Investing solution. These acquisitions were accounted for as business combinations, and these entities are reported as consolidated subsidiaries of P10. Additionally, on December 14, 2020, we completed our acquisition of approximately 49% of the voting interests and 50% of the economic interests in ECP, which is a related party of ECG. As we only acquired a non-controlling interest in ECP, it is reported as an equity method investment in accordance with ASC 323, </w:t>
      </w:r>
      <w:r>
        <w:rPr>
          <w:rFonts w:ascii="Times New Roman" w:hAnsi="Times New Roman"/>
          <w:b w:val="false"/>
          <w:i/>
          <w:sz w:val="20"/>
        </w:rPr>
        <w:t>Equity Method and Joint Ventures</w:t>
      </w:r>
      <w:r>
        <w:rPr>
          <w:rFonts w:ascii="Times New Roman" w:hAnsi="Times New Roman"/>
          <w:sz w:val="20"/>
        </w:rPr>
        <w:t xml:space="preserve"> </w:t>
      </w:r>
      <w:r>
        <w:rPr>
          <w:rFonts w:ascii="Times New Roman" w:hAnsi="Times New Roman"/>
          <w:b w:val="false"/>
          <w:sz w:val="20"/>
        </w:rPr>
        <w:t>(“ASC 323").</w:t>
      </w:r>
    </w:p>
    <w:p>
      <w:pPr>
        <w:pStyle w:val="TextBody"/>
        <w:spacing w:lineRule="auto" w:line="273" w:before="240" w:after="0"/>
        <w:jc w:val="left"/>
        <w:rPr>
          <w:rFonts w:ascii="Times New Roman" w:hAnsi="Times New Roman"/>
          <w:sz w:val="20"/>
        </w:rPr>
      </w:pPr>
      <w:r>
        <w:rPr>
          <w:rFonts w:ascii="Times New Roman" w:hAnsi="Times New Roman"/>
          <w:b w:val="false"/>
          <w:sz w:val="20"/>
        </w:rPr>
        <w:t>On September 30, 2021, we completed the acquisitions of Hark Capital Advisors, LLC (Hark) and Bonaccord Capital Advisors, LLC (Bonaccord) to further expand on solutions available to our investors. The effect of these acquisitions is reflected in our Consolidated Balance Sheet at December 31, 2021 and the Consolidated Statement of Operations from September 30, 2021 to December 31, 2021. These acquisitions were accounted for as business combinations and are reported as consolidated subsidiaries of P10.</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On October 20, 2021, P10 Holdings, in connection with its IPO, completed a reorganization and restructure. In connection with the reorganization, P10 became the parent company and all of the existing equity of P10 Holdings, which is a wholly owned subsidiary of P10, and its consolidated subsidiaries, including the convertible preferred units of P10 Intermediate were converted into common stock of P10. The offering and reorganization included a reverse stock split of P10 Holdings common stock on a 0.7-for-1 basis pursuant to which every outstanding share of common stock decreased to 0.7 shares. Net proceeds from the sale of our Class A common stock, after deducting underwriting discounts and commissions but before expenses was approximately $129.4 million. Of the proceeds, $86.8 million was used to pay down outstanding term loan debt, $12.4 million was used to pay off RCP Seller's Notes, $1.1 million was used to cash settle certain option awards, $1.0 million was used to fund the dividend on P10 Intermediate's preferred stock and $4.5 million was used to pay expenses incurred in connection with the offering.</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Following the reorganization and IPO, P10 has two classes of common stock, Class A common stock and Class B common stock. Each share of Class B common stock is entitled to ten votes while each share of Class A common stock is entitled to one vote.</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On December 22, 2021, P10 entered into a $250 million credit agreement with a syndicate of banks, including JP Morgan Chase Bank and Texas Capital Bank as joint lead arrangers and bookrunners, which provided for the Term Loan in an aggregate principal amount of $125 million and Revolver Facility in an aggregate principal amount of $125 million with a four year term and an additional $125 million accordion feature. The variable interest rate is 210 basis points over the SOFR. Borrowings were used to pay down the outstanding balance under the previous credit facility with HPS and related transaction expenses, pay off Seller's Notes related to the RCP acquisition and to finance working capital needs and for general corporate purposes. During the first quarter of 2022, the Company paid down $25 million of the outstanding balance under the Revolver Facility and as of March 31, 2022, the outstanding balance was $65.9 million.</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As of March 31, 2022, our private market solutions were comprised of the following:</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i/>
          <w:sz w:val="20"/>
        </w:rPr>
        <w:t>Private Equity Solutions (PES)</w:t>
      </w:r>
      <w:r>
        <w:rPr>
          <w:rFonts w:ascii="Times New Roman" w:hAnsi="Times New Roman"/>
          <w:b w:val="false"/>
          <w:sz w:val="20"/>
        </w:rPr>
        <w:t>. Under PES, we make direct and indirect investments in middle and lower- middle market private equity across North America. PES also makes minority equity investments in a diversified portfolio of mid-sized managers across private equity, private credit, real estate and real assets. The PES investment team, which is comprised of 41 investment professionals with an average of 24+ years of experience, has deep and long-standing investor and fund manager relationships in the middle and lower-middle market which it has cultivated over the past 20 years, including over 1,800+ investors, 200+ fund managers, 375+ private market funds and 1,900+ portfolio companies. We have 45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4,900 investment firms, 9,000 funds, 42,000 individual transactions, 28,000 private companies and 250,000 financial metrics. As of March 31, 2022, PES managed $10.0 billion of FPAUM.</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i/>
          <w:sz w:val="20"/>
        </w:rPr>
        <w:t xml:space="preserve">Venture Capital Solutions (VCS). </w:t>
      </w:r>
      <w:r>
        <w:rPr>
          <w:rFonts w:ascii="Times New Roman" w:hAnsi="Times New Roman"/>
          <w:b w:val="false"/>
          <w:sz w:val="20"/>
        </w:rPr>
        <w:t>Under VCS, we make investments in venture capital funds across North America and specialize in targeting high-performing, access-constrained opportunities. The VCS investment team, which is comprised of 15 investment professionals with an average of 20+ years of experience, has deep and long-standing investor and fund manager relationships in the venture market which it has cultivated over the past 14+ years, including over 540+ investors, 60+ fund managers, 55 direct investments, 230+ private market funds and 6,500+ portfolio companies. We have 12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March 31, 2022, VCS managed $4.6 billion of FPAUM.</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i/>
          <w:sz w:val="20"/>
        </w:rPr>
        <w:t xml:space="preserve">Impact Investing Solutions (IIS). </w:t>
      </w:r>
      <w:r>
        <w:rPr>
          <w:rFonts w:ascii="Times New Roman" w:hAnsi="Times New Roman"/>
          <w:b w:val="false"/>
          <w:sz w:val="20"/>
        </w:rPr>
        <w:t>Under IIS, we make equity, tax equity, and debt investments in impact initiatives across North America. IIS primarily targets investments in renewable energy development and historic building renovation projects, as well as providing capital to small businesses that are women or minority owned or operating in underserved communities. The IIS investment team, which is comprised of 12 investment professionals with an average of 21+ years of experience, has deep and long-standing relationships in the impact market which it has cultivated over the past 20 years, including deploying capital on behalf of over 82 investors. We currently have 35 active investment vehicles. We are differentiated in both the breadth of impact areas served, the type of capital deployed and the duration of our track record. We have collectively deployed over $4.8 billion into 700+ projects, supporting 390+ businesses across 38 states, Washington DC and Puerto Rico since 2000. We have invested $2.6 billion in Impact Assets across our Small Business Lending, Impact Real Estate and Climate Finance Strategies. Investments in solar assets will generate 16 billion KWh of renewable energy over the lifetime of the portfolio. As of March 31, 2022, IIS managed $1.7 billion of FPAUM</w:t>
      </w:r>
      <w:r>
        <w:rPr>
          <w:rFonts w:ascii="Times New Roman" w:hAnsi="Times New Roman"/>
          <w:b w:val="false"/>
          <w:i/>
          <w:sz w:val="20"/>
        </w:rPr>
        <w:t>.</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val="false"/>
          <w:i/>
          <w:sz w:val="20"/>
        </w:rPr>
        <w:t xml:space="preserve">Private Credit Solutions (PCS). </w:t>
      </w:r>
      <w:r>
        <w:rPr>
          <w:rFonts w:ascii="Times New Roman" w:hAnsi="Times New Roman"/>
          <w:b w:val="false"/>
          <w:sz w:val="20"/>
        </w:rPr>
        <w:t>Under PCS, we primarily make debt investments across North America, targeting lower 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25 investment professionals with an average of 22+ years of experience, has deep and long-standing relationships in the private credit market which it has cultivated over the past 22 years, including 240+ investors across 7 active investment vehicles and 185+ portfolio companies with over $1.9+ billion capital deployed. Our PCS is differentiated by our relationship-driven sourcing approach providing capital solutions for growth-oriented companies. We are further synergistically strengthened by our PES network of fund managers, characterized by more than 575 credit opportunities annually. We currently maintain 45+ active sponsor relationships and have 60+ platform investments. As of March 31, 2022, PCS managed $1.3 billion of FPAUM.</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73" w:before="200" w:after="0"/>
        <w:jc w:val="center"/>
        <w:rPr>
          <w:rFonts w:ascii="Times New Roman" w:hAnsi="Times New Roman"/>
          <w:b/>
          <w:sz w:val="20"/>
        </w:rPr>
      </w:pPr>
      <w:r>
        <w:rPr>
          <w:rFonts w:ascii="Times New Roman" w:hAnsi="Times New Roman"/>
          <w:b/>
          <w:sz w:val="20"/>
        </w:rPr>
        <w:t>Sources of Revenue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i/>
          <w:sz w:val="20"/>
        </w:rPr>
        <w:t xml:space="preserve">Primary Investment Funds. </w:t>
      </w:r>
      <w:r>
        <w:rPr>
          <w:rFonts w:ascii="Times New Roman" w:hAnsi="Times New Roman"/>
          <w:b w:val="false"/>
          <w:sz w:val="20"/>
        </w:rPr>
        <w:t>Primary investment funds refer to investment vehicles which target investments in new private markets funds, 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$10.9 billion of our FPAUM as of March 31, 2022.</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i/>
          <w:sz w:val="20"/>
        </w:rPr>
        <w:t xml:space="preserve">Direct and Co-Investment Funds. </w:t>
      </w:r>
      <w:r>
        <w:rPr>
          <w:rFonts w:ascii="Times New Roman" w:hAnsi="Times New Roman"/>
          <w:b w:val="false"/>
          <w:sz w:val="20"/>
        </w:rPr>
        <w:t>Direct and co-investments involve acquiring an equity interest in or making a loan to an operating 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$5.4 billion of our FPAUM as of March 31, 2022.</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val="false"/>
          <w:i/>
          <w:sz w:val="20"/>
        </w:rPr>
        <w:t xml:space="preserve">Secondaries. </w:t>
      </w:r>
      <w:r>
        <w:rPr>
          <w:rFonts w:ascii="Times New Roman" w:hAnsi="Times New Roman"/>
          <w:b w:val="false"/>
          <w:sz w:val="20"/>
        </w:rPr>
        <w:t>Secondaries refer to investments in existing private markets funds through the acquisition of an existing interest in a private 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$1.3 billion of our FPAUM as of March 31, 2022.</w:t>
      </w:r>
    </w:p>
    <w:p>
      <w:pPr>
        <w:pStyle w:val="TextBody"/>
        <w:spacing w:lineRule="auto" w:line="273" w:before="200" w:after="0"/>
        <w:jc w:val="center"/>
        <w:rPr>
          <w:rFonts w:ascii="Times New Roman" w:hAnsi="Times New Roman"/>
          <w:b/>
          <w:sz w:val="20"/>
        </w:rPr>
      </w:pPr>
      <w:r>
        <w:rPr>
          <w:rFonts w:ascii="Times New Roman" w:hAnsi="Times New Roman"/>
          <w:b/>
          <w:sz w:val="20"/>
        </w:rPr>
        <w:t>Operating Segments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operate our business as a single operating segment, which is how our chief operating decision makers (our Co-Chief Executive Officers) evaluate financial performance and make decisions regarding the allocation of resources.</w:t>
      </w:r>
    </w:p>
    <w:p>
      <w:pPr>
        <w:pStyle w:val="TextBody"/>
        <w:spacing w:lineRule="auto" w:line="273" w:before="200" w:after="0"/>
        <w:jc w:val="center"/>
        <w:rPr>
          <w:rFonts w:ascii="Times New Roman" w:hAnsi="Times New Roman"/>
          <w:b/>
          <w:sz w:val="20"/>
        </w:rPr>
      </w:pPr>
      <w:r>
        <w:rPr>
          <w:rFonts w:ascii="Times New Roman" w:hAnsi="Times New Roman"/>
          <w:b/>
          <w:sz w:val="20"/>
        </w:rPr>
        <w:t>Trends Affecting Our Business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With interest rates remaining historically low, we continue to see investors turning towards alternative investments to achieve higher yields.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continued growth of our business may be influenced by several factors, including the following market trends:</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val="false"/>
          <w:i/>
          <w:sz w:val="20"/>
        </w:rPr>
        <w:t xml:space="preserve">Accelerating demand for private markets solutions. </w:t>
      </w:r>
      <w:r>
        <w:rPr>
          <w:rFonts w:ascii="Times New Roman" w:hAnsi="Times New Roman"/>
          <w:b w:val="false"/>
          <w:sz w:val="20"/>
        </w:rPr>
        <w:t xml:space="preserve">Our ability to attract new capital is dependent on investor demand for private markets 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strategies into passive strategies will support growth in private market solutions as investors seek higher risk-adjusted returns. Additional trends driving investor demand are 1) increasing long-term investor allocations towards private market asset classes, 2) legislation that allows retirement plans to add private equity vehicles as an investment option, and 3) the adoption of Environmental, Social, and Corporate Governance (“ESG”) and impact investing by the institutional and high net worth investor community.</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i/>
          <w:sz w:val="20"/>
        </w:rPr>
        <w:t xml:space="preserve">Favorable lower and lower-middle market dynamics, and data driven sourcing. </w:t>
      </w:r>
      <w:r>
        <w:rPr>
          <w:rFonts w:ascii="Times New Roman" w:hAnsi="Times New Roman"/>
          <w:b w:val="false"/>
          <w:sz w:val="20"/>
        </w:rPr>
        <w:t>We attribute our strong investment performance track record 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management and monitoring and enable a portfolio grading system, as well as repository of investment evaluation scorecards. Our ability to maintain our data advantage is dependent on a number of factors, including our continued access to a broad set of private market information on an on-going basis.</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i/>
          <w:sz w:val="20"/>
        </w:rPr>
        <w:t xml:space="preserve">Expanding asset class solutions, broaden geographic reach and grow private markets network effect. </w:t>
      </w:r>
      <w:r>
        <w:rPr>
          <w:rFonts w:ascii="Times New Roman" w:hAnsi="Times New Roman"/>
          <w:b w:val="false"/>
          <w:sz w:val="20"/>
        </w:rPr>
        <w:t>Our ability to continue growing is 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will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i/>
          <w:sz w:val="20"/>
        </w:rPr>
        <w:t xml:space="preserve">Increasing regulatory requirements and political uncertainty. </w:t>
      </w:r>
      <w:r>
        <w:rPr>
          <w:rFonts w:ascii="Times New Roman" w:hAnsi="Times New Roman"/>
          <w:b w:val="false"/>
          <w:sz w:val="20"/>
        </w:rPr>
        <w:t>The complex regulatory and tax environment could restrict our operations and subject us to increased compliance costs and administrative burdens, as well as restrictions on our business activities. There is additional uncertainty around potential legal, regulatory, and tax changes, which may impact our profitability or impact our ability to operate and grow our business.</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i/>
          <w:sz w:val="20"/>
        </w:rPr>
        <w:t xml:space="preserve">Our ability to raise capital in order to fund acquisitions and strategic growth initiatives. </w:t>
      </w:r>
      <w:r>
        <w:rPr>
          <w:rFonts w:ascii="Times New Roman" w:hAnsi="Times New Roman"/>
          <w:b w:val="false"/>
          <w:sz w:val="20"/>
        </w:rPr>
        <w:t>In addition to organic growth of our existing solutions and services, our growth will continue to depend, in part, on our ability to identify, evaluate and acquire high performing and high-quality asset management businesses in order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val="false"/>
          <w:i/>
          <w:sz w:val="20"/>
        </w:rPr>
        <w:t xml:space="preserve">Increased competition to work with top private equity fund managers. </w:t>
      </w:r>
      <w:r>
        <w:rPr>
          <w:rFonts w:ascii="Times New Roman" w:hAnsi="Times New Roman"/>
          <w:b w:val="false"/>
          <w:sz w:val="20"/>
        </w:rPr>
        <w:t xml:space="preserve">There has been a trend amongst larger private markets investors to 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managers is critical to our investors’ success and our ability to maintain our competitive position and grow our revenue.</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val="false"/>
          <w:i/>
          <w:sz w:val="20"/>
        </w:rPr>
        <w:t xml:space="preserve">Data advantage relative to competitors. </w:t>
      </w:r>
      <w:r>
        <w:rPr>
          <w:rFonts w:ascii="Times New Roman" w:hAnsi="Times New Roman"/>
          <w:b w:val="false"/>
          <w:sz w:val="20"/>
        </w:rPr>
        <w:t>We believe that the general trend towards transparency and consistency in private markets reporting 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a number of factors, including our continued access to a broad set of private market information on an on-going basis, as well as our ability to maintain our investment scale, considering the evolving competitive landscape and potential industry consolidation.</w:t>
      </w:r>
    </w:p>
    <w:p>
      <w:pPr>
        <w:pStyle w:val="TextBody"/>
        <w:spacing w:lineRule="auto" w:line="273" w:before="200" w:after="0"/>
        <w:jc w:val="center"/>
        <w:rPr>
          <w:rFonts w:ascii="Times New Roman" w:hAnsi="Times New Roman"/>
          <w:b/>
          <w:sz w:val="20"/>
        </w:rPr>
      </w:pPr>
      <w:r>
        <w:rPr>
          <w:rFonts w:ascii="Times New Roman" w:hAnsi="Times New Roman"/>
          <w:b/>
          <w:sz w:val="20"/>
        </w:rPr>
        <w:t>Key Financial &amp; Operating Metrics</w:t>
      </w:r>
    </w:p>
    <w:p>
      <w:pPr>
        <w:pStyle w:val="TextBody"/>
        <w:spacing w:lineRule="auto" w:line="273" w:before="240" w:after="0"/>
        <w:jc w:val="both"/>
        <w:rPr>
          <w:rFonts w:ascii="Times New Roman" w:hAnsi="Times New Roman"/>
          <w:b/>
          <w:i/>
          <w:sz w:val="20"/>
        </w:rPr>
      </w:pPr>
      <w:r>
        <w:rPr>
          <w:rFonts w:ascii="Times New Roman" w:hAnsi="Times New Roman"/>
          <w:b/>
          <w:i/>
          <w:sz w:val="20"/>
        </w:rPr>
        <w:t>Revenues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earn management and advisory fees based on a percentage of investors’ capital commitments in our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 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pStyle w:val="TextBody"/>
        <w:spacing w:lineRule="auto" w:line="273" w:before="360" w:after="0"/>
        <w:jc w:val="both"/>
        <w:rPr>
          <w:rFonts w:ascii="Times New Roman" w:hAnsi="Times New Roman"/>
          <w:b/>
          <w:i/>
          <w:sz w:val="20"/>
        </w:rPr>
      </w:pPr>
      <w:r>
        <w:rPr>
          <w:rFonts w:ascii="Times New Roman" w:hAnsi="Times New Roman"/>
          <w:b/>
          <w:i/>
          <w:sz w:val="20"/>
        </w:rPr>
        <w:t>Operating Expenses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Compensation and benefits are our largest expense and consists of salaries, bonuses, stock-based compensation,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 The result is the substantial majority of our compensation and benefit expense is predictable.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Professional fees primarily consist of legal, advisory, accounting and tax fees which may include services related to our strategic development opportunities such as due diligence performed in connection with potential acquisitions. Our professional fees will fluctuate commensurate with our strategic objectives and potential acquisitions, and certain recurring accounting advisory, audit and tax expenses are expected to increase as our Company has become an SEC registrant and we must comply with additional regulatory requirements.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General, administrative and other includes occupancy, travel and entertainment, technology, insurance and other general costs associated with operating our business.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Strategic alliance expense is included in operating expenses. This expense is driven by a Strategic Alliance Agreement (SAA) that Bonaccord had entered into with an investor at the time Bonaccord was acquired in exchange for a portion of net management fee earnings and net distributable carried interest at the time of acquisition.</w:t>
      </w:r>
    </w:p>
    <w:p>
      <w:pPr>
        <w:pStyle w:val="TextBody"/>
        <w:spacing w:lineRule="auto" w:line="273" w:before="360" w:after="0"/>
        <w:jc w:val="both"/>
        <w:rPr>
          <w:rFonts w:ascii="Times New Roman" w:hAnsi="Times New Roman"/>
          <w:b/>
          <w:i/>
          <w:sz w:val="20"/>
        </w:rPr>
      </w:pPr>
      <w:r>
        <w:rPr>
          <w:rFonts w:ascii="Times New Roman" w:hAnsi="Times New Roman"/>
          <w:b/>
          <w:i/>
          <w:sz w:val="20"/>
        </w:rPr>
        <w:t>Other Income/(Expense)</w:t>
      </w:r>
    </w:p>
    <w:p>
      <w:pPr>
        <w:pStyle w:val="TextBody"/>
        <w:spacing w:lineRule="auto" w:line="273" w:before="120" w:after="0"/>
        <w:jc w:val="left"/>
        <w:rPr>
          <w:rFonts w:ascii="Times New Roman" w:hAnsi="Times New Roman"/>
          <w:sz w:val="20"/>
        </w:rPr>
      </w:pPr>
      <w:r>
        <w:rPr>
          <w:rFonts w:ascii="Times New Roman" w:hAnsi="Times New Roman"/>
          <w:b w:val="false"/>
          <w:sz w:val="20"/>
        </w:rPr>
        <w:t>Interest expense includes interest paid and accrued on our outstanding debt, along with the amortization of deferred financing costs, amortization of original issue discount and the write-off of deferred financing costs due to the repayment of previously outstanding debt. Interest expense also includes the effects of the imputed interest on certain non-interest-bearing notes payable.</w:t>
      </w:r>
      <w:r>
        <w:rPr>
          <w:rFonts w:ascii="Times New Roman" w:hAnsi="Times New Roman"/>
          <w:sz w:val="20"/>
        </w:rPr>
        <w:t xml:space="preserve"> </w:t>
      </w:r>
    </w:p>
    <w:p>
      <w:pPr>
        <w:pStyle w:val="TextBody"/>
        <w:spacing w:lineRule="auto" w:line="273" w:before="360" w:after="0"/>
        <w:jc w:val="both"/>
        <w:rPr>
          <w:rFonts w:ascii="Times New Roman" w:hAnsi="Times New Roman"/>
          <w:b/>
          <w:i/>
          <w:sz w:val="20"/>
        </w:rPr>
      </w:pPr>
      <w:r>
        <w:rPr>
          <w:rFonts w:ascii="Times New Roman" w:hAnsi="Times New Roman"/>
          <w:b/>
          <w:i/>
          <w:sz w:val="20"/>
        </w:rPr>
        <w:t>Income Tax Expense</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Income tax expense is comprised of current and deferred tax expense. Current income tax expense represents our estimated taxes to be paid or refunded for the current period. In accordance with ASC 740, </w:t>
      </w:r>
      <w:r>
        <w:rPr>
          <w:rFonts w:ascii="Times New Roman" w:hAnsi="Times New Roman"/>
          <w:b w:val="false"/>
          <w:i/>
          <w:sz w:val="20"/>
        </w:rPr>
        <w:t>Income Taxes</w:t>
      </w:r>
      <w:r>
        <w:rPr>
          <w:rFonts w:ascii="Times New Roman" w:hAnsi="Times New Roman"/>
          <w:sz w:val="20"/>
        </w:rPr>
        <w:t xml:space="preserve"> </w:t>
      </w:r>
      <w:r>
        <w:rPr>
          <w:rFonts w:ascii="Times New Roman" w:hAnsi="Times New Roman"/>
          <w:b w:val="false"/>
          <w:sz w:val="20"/>
        </w:rPr>
        <w:t>(“ASC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pStyle w:val="TextBody"/>
        <w:spacing w:lineRule="auto" w:line="273" w:before="360" w:after="0"/>
        <w:jc w:val="both"/>
        <w:rPr>
          <w:rFonts w:ascii="Times New Roman" w:hAnsi="Times New Roman"/>
          <w:b/>
          <w:i/>
          <w:sz w:val="20"/>
        </w:rPr>
      </w:pPr>
      <w:r>
        <w:rPr>
          <w:rFonts w:ascii="Times New Roman" w:hAnsi="Times New Roman"/>
          <w:b/>
          <w:i/>
          <w:sz w:val="20"/>
        </w:rPr>
        <w:t>Fee-Paying Assets Under Management, or FPAUM</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FPAUM reflects the assets from which we earn management and advisory fees. Our private credit vehicles earn management fees on deployed capital.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pStyle w:val="TextBody"/>
        <w:spacing w:lineRule="auto" w:line="273" w:before="200" w:after="0"/>
        <w:jc w:val="center"/>
        <w:rPr>
          <w:rFonts w:ascii="Times New Roman" w:hAnsi="Times New Roman"/>
          <w:b/>
          <w:sz w:val="20"/>
        </w:rPr>
      </w:pPr>
      <w:r>
        <w:rPr>
          <w:rFonts w:ascii="Times New Roman" w:hAnsi="Times New Roman"/>
          <w:b/>
          <w:sz w:val="20"/>
        </w:rPr>
        <w:t>Results of Operations</w:t>
      </w:r>
    </w:p>
    <w:p>
      <w:pPr>
        <w:pStyle w:val="TextBody"/>
        <w:spacing w:lineRule="auto" w:line="273" w:before="240" w:after="0"/>
        <w:jc w:val="both"/>
        <w:rPr>
          <w:rFonts w:ascii="Times New Roman" w:hAnsi="Times New Roman"/>
          <w:b/>
          <w:i/>
          <w:sz w:val="20"/>
        </w:rPr>
      </w:pPr>
      <w:r>
        <w:rPr>
          <w:rFonts w:ascii="Times New Roman" w:hAnsi="Times New Roman"/>
          <w:b/>
          <w:i/>
          <w:sz w:val="20"/>
        </w:rPr>
        <w:t>For the three months ended March 31, 2022 and March 31, 2021.</w:t>
      </w:r>
    </w:p>
    <w:p>
      <w:pPr>
        <w:pStyle w:val="TextBody"/>
        <w:spacing w:lineRule="auto" w:line="273" w:before="0" w:after="0"/>
        <w:jc w:val="both"/>
        <w:rPr/>
      </w:pPr>
      <w:r>
        <w:rPr/>
        <w:t> </w:t>
      </w:r>
    </w:p>
    <w:tbl>
      <w:tblPr>
        <w:tblW w:w="6759" w:type="dxa"/>
        <w:jc w:val="left"/>
        <w:tblInd w:w="0" w:type="dxa"/>
        <w:tblCellMar>
          <w:top w:w="28" w:type="dxa"/>
          <w:left w:w="28" w:type="dxa"/>
          <w:bottom w:w="28" w:type="dxa"/>
          <w:right w:w="28" w:type="dxa"/>
        </w:tblCellMar>
      </w:tblPr>
      <w:tblGrid>
        <w:gridCol w:w="2101"/>
        <w:gridCol w:w="146"/>
        <w:gridCol w:w="146"/>
        <w:gridCol w:w="192"/>
        <w:gridCol w:w="542"/>
        <w:gridCol w:w="160"/>
        <w:gridCol w:w="155"/>
        <w:gridCol w:w="192"/>
        <w:gridCol w:w="542"/>
        <w:gridCol w:w="151"/>
        <w:gridCol w:w="146"/>
        <w:gridCol w:w="181"/>
        <w:gridCol w:w="511"/>
        <w:gridCol w:w="151"/>
        <w:gridCol w:w="146"/>
        <w:gridCol w:w="201"/>
        <w:gridCol w:w="520"/>
        <w:gridCol w:w="576"/>
      </w:tblGrid>
      <w:tr>
        <w:trPr/>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21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83"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For the Three Months Ended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21" w:type="dxa"/>
            <w:gridSpan w:val="2"/>
            <w:tcBorders/>
            <w:shd w:fill="auto" w:val="clear"/>
            <w:vAlign w:val="center"/>
          </w:tcPr>
          <w:p>
            <w:pPr>
              <w:pStyle w:val="TableContents"/>
              <w:spacing w:lineRule="auto" w:line="252" w:before="0" w:after="0"/>
              <w:ind w:left="0" w:right="0" w:hanging="0"/>
              <w:jc w:val="left"/>
              <w:rPr/>
            </w:pPr>
            <w:r>
              <w:rPr/>
              <w:t> </w:t>
            </w:r>
          </w:p>
        </w:tc>
        <w:tc>
          <w:tcPr>
            <w:tcW w:w="576" w:type="dxa"/>
            <w:tcBorders/>
            <w:shd w:fill="auto" w:val="clear"/>
            <w:vAlign w:val="center"/>
          </w:tcPr>
          <w:p>
            <w:pPr>
              <w:pStyle w:val="TableContents"/>
              <w:spacing w:lineRule="auto" w:line="252" w:before="0" w:after="0"/>
              <w:ind w:left="0" w:right="0" w:hanging="0"/>
              <w:jc w:val="left"/>
              <w:rPr/>
            </w:pPr>
            <w:r>
              <w:rPr/>
              <w:t> </w:t>
            </w:r>
          </w:p>
        </w:tc>
      </w:tr>
      <w:tr>
        <w:trPr/>
        <w:tc>
          <w:tcPr>
            <w:tcW w:w="21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83"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March 31,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1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3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2022</w:t>
            </w:r>
          </w:p>
        </w:tc>
        <w:tc>
          <w:tcPr>
            <w:tcW w:w="1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5" w:type="dxa"/>
            <w:tcBorders/>
            <w:shd w:fill="auto" w:val="clear"/>
            <w:vAlign w:val="center"/>
          </w:tcPr>
          <w:p>
            <w:pPr>
              <w:pStyle w:val="TableContents"/>
              <w:spacing w:lineRule="auto" w:line="252" w:before="0" w:after="0"/>
              <w:ind w:left="0" w:right="0" w:hanging="0"/>
              <w:jc w:val="center"/>
              <w:rPr/>
            </w:pPr>
            <w:r>
              <w:rPr/>
              <w:t> </w:t>
            </w:r>
          </w:p>
        </w:tc>
        <w:tc>
          <w:tcPr>
            <w:tcW w:w="73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2021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 Change</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 Change</w:t>
            </w:r>
          </w:p>
        </w:tc>
        <w:tc>
          <w:tcPr>
            <w:tcW w:w="5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0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REVENUES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83"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(in thousands)</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21" w:type="dxa"/>
            <w:gridSpan w:val="2"/>
            <w:tcBorders/>
            <w:shd w:fill="auto" w:val="clear"/>
            <w:vAlign w:val="center"/>
          </w:tcPr>
          <w:p>
            <w:pPr>
              <w:pStyle w:val="TableContents"/>
              <w:spacing w:lineRule="auto" w:line="252" w:before="0" w:after="0"/>
              <w:ind w:left="0" w:right="0" w:hanging="0"/>
              <w:jc w:val="center"/>
              <w:rPr/>
            </w:pPr>
            <w:r>
              <w:rPr/>
              <w:t> </w:t>
            </w:r>
          </w:p>
        </w:tc>
        <w:tc>
          <w:tcPr>
            <w:tcW w:w="576" w:type="dxa"/>
            <w:tcBorders/>
            <w:shd w:fill="auto" w:val="clear"/>
            <w:vAlign w:val="center"/>
          </w:tcPr>
          <w:p>
            <w:pPr>
              <w:pStyle w:val="TableContents"/>
              <w:spacing w:lineRule="auto" w:line="252" w:before="0" w:after="0"/>
              <w:ind w:left="0" w:right="0" w:firstLine="160"/>
              <w:jc w:val="center"/>
              <w:rPr/>
            </w:pPr>
            <w:r>
              <w:rPr/>
              <w:t> </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Management and advisory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43,027</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32,573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10,454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w:t>
            </w:r>
          </w:p>
        </w:tc>
        <w:tc>
          <w:tcPr>
            <w:tcW w:w="57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Other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254</w:t>
            </w:r>
          </w:p>
        </w:tc>
        <w:tc>
          <w:tcPr>
            <w:tcW w:w="1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195</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30</w:t>
            </w:r>
          </w:p>
        </w:tc>
        <w:tc>
          <w:tcPr>
            <w:tcW w:w="576" w:type="dxa"/>
            <w:tcBorders/>
            <w:shd w:fill="auto" w:val="clear"/>
            <w:vAlign w:val="center"/>
          </w:tcPr>
          <w:p>
            <w:pPr>
              <w:pStyle w:val="TableContents"/>
              <w:spacing w:lineRule="auto" w:line="252" w:before="0" w:after="0"/>
              <w:ind w:left="0" w:right="0" w:firstLine="32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320" w:right="0" w:hanging="0"/>
              <w:jc w:val="left"/>
              <w:rPr>
                <w:rFonts w:ascii="Times New Roman" w:hAnsi="Times New Roman"/>
                <w:b w:val="false"/>
                <w:sz w:val="14"/>
              </w:rPr>
            </w:pPr>
            <w:r>
              <w:rPr>
                <w:rFonts w:ascii="Times New Roman" w:hAnsi="Times New Roman"/>
                <w:b w:val="false"/>
                <w:sz w:val="14"/>
              </w:rPr>
              <w:t>Total revenues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43,281</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32,768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10,513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4" w:type="dxa"/>
            <w:gridSpan w:val="2"/>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righ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734"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21" w:type="dxa"/>
            <w:gridSpan w:val="2"/>
            <w:tcBorders/>
            <w:shd w:fill="auto" w:val="clear"/>
            <w:vAlign w:val="center"/>
          </w:tcPr>
          <w:p>
            <w:pPr>
              <w:pStyle w:val="TableContents"/>
              <w:spacing w:lineRule="auto" w:line="252" w:before="0" w:after="0"/>
              <w:ind w:left="0" w:right="0" w:hanging="0"/>
              <w:jc w:val="right"/>
              <w:rPr/>
            </w:pPr>
            <w:r>
              <w:rPr/>
              <w:t> </w:t>
            </w:r>
          </w:p>
        </w:tc>
        <w:tc>
          <w:tcPr>
            <w:tcW w:w="576" w:type="dxa"/>
            <w:tcBorders/>
            <w:shd w:fill="auto" w:val="clear"/>
            <w:vAlign w:val="center"/>
          </w:tcPr>
          <w:p>
            <w:pPr>
              <w:pStyle w:val="TableContents"/>
              <w:spacing w:lineRule="auto" w:line="252" w:before="0" w:after="0"/>
              <w:ind w:left="0" w:right="0" w:firstLine="160"/>
              <w:jc w:val="right"/>
              <w:rPr/>
            </w:pPr>
            <w:r>
              <w:rPr/>
              <w:t> </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Compensation and benefits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18,494</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11,936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6,558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55</w:t>
            </w:r>
          </w:p>
        </w:tc>
        <w:tc>
          <w:tcPr>
            <w:tcW w:w="57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Professional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2,612</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2,731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(119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w:t>
            </w:r>
          </w:p>
        </w:tc>
        <w:tc>
          <w:tcPr>
            <w:tcW w:w="57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General, administrative and 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4,112</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2,037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2,075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102</w:t>
            </w:r>
          </w:p>
        </w:tc>
        <w:tc>
          <w:tcPr>
            <w:tcW w:w="57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Contingent consideration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127</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99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354</w:t>
            </w:r>
          </w:p>
        </w:tc>
        <w:tc>
          <w:tcPr>
            <w:tcW w:w="57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Amortization of intangibles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6,181</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7,484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(1,303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(17</w:t>
            </w:r>
          </w:p>
        </w:tc>
        <w:tc>
          <w:tcPr>
            <w:tcW w:w="57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Strategic alliance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152</w:t>
            </w:r>
          </w:p>
        </w:tc>
        <w:tc>
          <w:tcPr>
            <w:tcW w:w="1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152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100</w:t>
            </w:r>
          </w:p>
        </w:tc>
        <w:tc>
          <w:tcPr>
            <w:tcW w:w="576" w:type="dxa"/>
            <w:tcBorders/>
            <w:shd w:fill="auto" w:val="clear"/>
            <w:vAlign w:val="center"/>
          </w:tcPr>
          <w:p>
            <w:pPr>
              <w:pStyle w:val="TableContents"/>
              <w:spacing w:lineRule="auto" w:line="252" w:before="0" w:after="0"/>
              <w:ind w:left="0" w:right="0" w:firstLine="32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320" w:right="0" w:hanging="0"/>
              <w:jc w:val="left"/>
              <w:rPr>
                <w:rFonts w:ascii="Times New Roman" w:hAnsi="Times New Roman"/>
                <w:b w:val="false"/>
                <w:sz w:val="14"/>
              </w:rPr>
            </w:pPr>
            <w:r>
              <w:rPr>
                <w:rFonts w:ascii="Times New Roman" w:hAnsi="Times New Roman"/>
                <w:b w:val="false"/>
                <w:sz w:val="14"/>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31,678</w:t>
            </w:r>
          </w:p>
        </w:tc>
        <w:tc>
          <w:tcPr>
            <w:tcW w:w="1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24,216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7,462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31</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4" w:type="dxa"/>
            <w:gridSpan w:val="2"/>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righ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734"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21" w:type="dxa"/>
            <w:gridSpan w:val="2"/>
            <w:tcBorders/>
            <w:shd w:fill="auto" w:val="clear"/>
            <w:vAlign w:val="center"/>
          </w:tcPr>
          <w:p>
            <w:pPr>
              <w:pStyle w:val="TableContents"/>
              <w:spacing w:lineRule="auto" w:line="252" w:before="0" w:after="0"/>
              <w:ind w:left="0" w:right="0" w:hanging="0"/>
              <w:jc w:val="right"/>
              <w:rPr/>
            </w:pPr>
            <w:r>
              <w:rPr/>
              <w:t> </w:t>
            </w:r>
          </w:p>
        </w:tc>
        <w:tc>
          <w:tcPr>
            <w:tcW w:w="576" w:type="dxa"/>
            <w:tcBorders/>
            <w:shd w:fill="auto" w:val="clear"/>
            <w:vAlign w:val="center"/>
          </w:tcPr>
          <w:p>
            <w:pPr>
              <w:pStyle w:val="TableContents"/>
              <w:spacing w:lineRule="auto" w:line="252" w:before="0" w:after="0"/>
              <w:ind w:left="0" w:right="0" w:hanging="0"/>
              <w:jc w:val="right"/>
              <w:rPr/>
            </w:pPr>
            <w:r>
              <w:rPr/>
              <w:t> </w:t>
            </w:r>
          </w:p>
        </w:tc>
      </w:tr>
      <w:tr>
        <w:trPr/>
        <w:tc>
          <w:tcPr>
            <w:tcW w:w="210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INCOME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11,603</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8,552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3,051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36</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4" w:type="dxa"/>
            <w:gridSpan w:val="2"/>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righ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734"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21" w:type="dxa"/>
            <w:gridSpan w:val="2"/>
            <w:tcBorders/>
            <w:shd w:fill="auto" w:val="clear"/>
            <w:vAlign w:val="center"/>
          </w:tcPr>
          <w:p>
            <w:pPr>
              <w:pStyle w:val="TableContents"/>
              <w:spacing w:lineRule="auto" w:line="252" w:before="0" w:after="0"/>
              <w:ind w:left="0" w:right="0" w:hanging="0"/>
              <w:jc w:val="right"/>
              <w:rPr/>
            </w:pPr>
            <w:r>
              <w:rPr/>
              <w:t> </w:t>
            </w:r>
          </w:p>
        </w:tc>
        <w:tc>
          <w:tcPr>
            <w:tcW w:w="576" w:type="dxa"/>
            <w:tcBorders/>
            <w:shd w:fill="auto" w:val="clear"/>
            <w:vAlign w:val="center"/>
          </w:tcPr>
          <w:p>
            <w:pPr>
              <w:pStyle w:val="TableContents"/>
              <w:spacing w:lineRule="auto" w:line="252" w:before="0" w:after="0"/>
              <w:ind w:left="0" w:right="0" w:hanging="0"/>
              <w:jc w:val="right"/>
              <w:rPr/>
            </w:pPr>
            <w:r>
              <w:rPr/>
              <w:t> </w:t>
            </w:r>
          </w:p>
        </w:tc>
      </w:tr>
      <w:tr>
        <w:trPr/>
        <w:tc>
          <w:tcPr>
            <w:tcW w:w="210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OTHER (EXPENSE)/INCOME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4" w:type="dxa"/>
            <w:gridSpan w:val="2"/>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righ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734"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21" w:type="dxa"/>
            <w:gridSpan w:val="2"/>
            <w:tcBorders/>
            <w:shd w:fill="auto" w:val="clear"/>
            <w:vAlign w:val="center"/>
          </w:tcPr>
          <w:p>
            <w:pPr>
              <w:pStyle w:val="TableContents"/>
              <w:spacing w:lineRule="auto" w:line="252" w:before="0" w:after="0"/>
              <w:ind w:left="0" w:right="0" w:hanging="0"/>
              <w:jc w:val="right"/>
              <w:rPr/>
            </w:pPr>
            <w:r>
              <w:rPr/>
              <w:t> </w:t>
            </w:r>
          </w:p>
        </w:tc>
        <w:tc>
          <w:tcPr>
            <w:tcW w:w="576" w:type="dxa"/>
            <w:tcBorders/>
            <w:shd w:fill="auto" w:val="clear"/>
            <w:vAlign w:val="center"/>
          </w:tcPr>
          <w:p>
            <w:pPr>
              <w:pStyle w:val="TableContents"/>
              <w:spacing w:lineRule="auto" w:line="252" w:before="0" w:after="0"/>
              <w:ind w:left="0" w:right="0" w:hanging="0"/>
              <w:jc w:val="right"/>
              <w:rPr/>
            </w:pPr>
            <w:r>
              <w:rPr/>
              <w:t> </w:t>
            </w:r>
          </w:p>
        </w:tc>
      </w:tr>
      <w:tr>
        <w:trPr/>
        <w:tc>
          <w:tcPr>
            <w:tcW w:w="21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4" w:type="dxa"/>
            <w:gridSpan w:val="2"/>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righ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734"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21" w:type="dxa"/>
            <w:gridSpan w:val="2"/>
            <w:tcBorders/>
            <w:shd w:fill="auto" w:val="clear"/>
            <w:vAlign w:val="center"/>
          </w:tcPr>
          <w:p>
            <w:pPr>
              <w:pStyle w:val="TableContents"/>
              <w:spacing w:lineRule="auto" w:line="252" w:before="0" w:after="0"/>
              <w:ind w:left="0" w:right="0" w:hanging="0"/>
              <w:jc w:val="right"/>
              <w:rPr/>
            </w:pPr>
            <w:r>
              <w:rPr/>
              <w:t> </w:t>
            </w:r>
          </w:p>
        </w:tc>
        <w:tc>
          <w:tcPr>
            <w:tcW w:w="576" w:type="dxa"/>
            <w:tcBorders/>
            <w:shd w:fill="auto" w:val="clear"/>
            <w:vAlign w:val="center"/>
          </w:tcPr>
          <w:p>
            <w:pPr>
              <w:pStyle w:val="TableContents"/>
              <w:spacing w:lineRule="auto" w:line="252" w:before="0" w:after="0"/>
              <w:ind w:left="0" w:right="0" w:firstLine="160"/>
              <w:jc w:val="right"/>
              <w:rPr/>
            </w:pPr>
            <w:r>
              <w:rPr/>
              <w:t> </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Interest expense implied on notes</w:t>
              <w:br/>
              <w:t>   payable to sellers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pPr>
            <w:r>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(215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215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(100</w:t>
            </w:r>
          </w:p>
        </w:tc>
        <w:tc>
          <w:tcPr>
            <w:tcW w:w="57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Interest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(1,385</w:t>
            </w:r>
          </w:p>
        </w:tc>
        <w:tc>
          <w:tcPr>
            <w:tcW w:w="16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(5,255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3,870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(74</w:t>
            </w:r>
          </w:p>
        </w:tc>
        <w:tc>
          <w:tcPr>
            <w:tcW w:w="57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Other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329</w:t>
            </w:r>
          </w:p>
        </w:tc>
        <w:tc>
          <w:tcPr>
            <w:tcW w:w="1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288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100</w:t>
            </w:r>
          </w:p>
        </w:tc>
        <w:tc>
          <w:tcPr>
            <w:tcW w:w="576" w:type="dxa"/>
            <w:tcBorders/>
            <w:shd w:fill="auto" w:val="clear"/>
            <w:vAlign w:val="center"/>
          </w:tcPr>
          <w:p>
            <w:pPr>
              <w:pStyle w:val="TableContents"/>
              <w:spacing w:lineRule="auto" w:line="252" w:before="0" w:after="0"/>
              <w:ind w:left="0" w:right="0" w:firstLine="32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320" w:right="0" w:hanging="0"/>
              <w:jc w:val="left"/>
              <w:rPr>
                <w:rFonts w:ascii="Times New Roman" w:hAnsi="Times New Roman"/>
                <w:b w:val="false"/>
                <w:sz w:val="14"/>
              </w:rPr>
            </w:pPr>
            <w:r>
              <w:rPr>
                <w:rFonts w:ascii="Times New Roman" w:hAnsi="Times New Roman"/>
                <w:b w:val="false"/>
                <w:sz w:val="14"/>
              </w:rPr>
              <w:t>Total other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(1,056</w:t>
            </w:r>
          </w:p>
        </w:tc>
        <w:tc>
          <w:tcPr>
            <w:tcW w:w="1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(5,182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4,126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(80</w:t>
            </w:r>
          </w:p>
        </w:tc>
        <w:tc>
          <w:tcPr>
            <w:tcW w:w="57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Net income before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10,547</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shd w:fill="auto" w:val="clear"/>
            <w:vAlign w:val="center"/>
          </w:tcPr>
          <w:p>
            <w:pPr>
              <w:pStyle w:val="TableContents"/>
              <w:spacing w:lineRule="auto" w:line="252" w:before="0" w:after="0"/>
              <w:ind w:left="0" w:right="0" w:hanging="0"/>
              <w:jc w:val="left"/>
              <w:rPr/>
            </w:pPr>
            <w:r>
              <w:rPr/>
              <w:t> </w:t>
            </w:r>
          </w:p>
        </w:tc>
        <w:tc>
          <w:tcPr>
            <w:tcW w:w="54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3,370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7,177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213</w:t>
            </w:r>
          </w:p>
        </w:tc>
        <w:tc>
          <w:tcPr>
            <w:tcW w:w="57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160" w:right="0" w:hanging="0"/>
              <w:jc w:val="left"/>
              <w:rPr>
                <w:rFonts w:ascii="Times New Roman" w:hAnsi="Times New Roman"/>
                <w:b w:val="false"/>
                <w:sz w:val="14"/>
              </w:rPr>
            </w:pPr>
            <w:r>
              <w:rPr>
                <w:rFonts w:ascii="Times New Roman" w:hAnsi="Times New Roman"/>
                <w:b w:val="false"/>
                <w:sz w:val="14"/>
              </w:rPr>
              <w:t>Income tax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(2,755</w:t>
            </w:r>
          </w:p>
        </w:tc>
        <w:tc>
          <w:tcPr>
            <w:tcW w:w="1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(661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(2,094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317</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r>
      <w:tr>
        <w:trPr/>
        <w:tc>
          <w:tcPr>
            <w:tcW w:w="2101" w:type="dxa"/>
            <w:tcBorders/>
            <w:shd w:fill="auto" w:val="clear"/>
            <w:vAlign w:val="center"/>
          </w:tcPr>
          <w:p>
            <w:pPr>
              <w:pStyle w:val="TableContents"/>
              <w:spacing w:lineRule="auto" w:line="252" w:before="0" w:after="0"/>
              <w:ind w:left="0" w:right="0" w:hanging="0"/>
              <w:jc w:val="left"/>
              <w:rPr>
                <w:rFonts w:ascii="Times New Roman" w:hAnsi="Times New Roman"/>
                <w:b/>
                <w:sz w:val="14"/>
              </w:rPr>
            </w:pPr>
            <w:r>
              <w:rPr>
                <w:rFonts w:ascii="Times New Roman" w:hAnsi="Times New Roman"/>
                <w:b/>
                <w:sz w:val="14"/>
              </w:rPr>
              <w:t>NET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4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7,792</w:t>
            </w:r>
          </w:p>
        </w:tc>
        <w:tc>
          <w:tcPr>
            <w:tcW w:w="1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4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2,709</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5,083</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520"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188</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r>
    </w:tbl>
    <w:p>
      <w:pPr>
        <w:pStyle w:val="TextBody"/>
        <w:spacing w:lineRule="auto" w:line="273" w:before="0" w:after="0"/>
        <w:jc w:val="both"/>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273" w:before="0" w:after="0"/>
        <w:jc w:val="left"/>
        <w:rPr/>
      </w:pPr>
      <w:r>
        <w:rPr/>
        <w:t> </w:t>
      </w:r>
    </w:p>
    <w:p>
      <w:pPr>
        <w:pStyle w:val="TextBody"/>
        <w:spacing w:lineRule="auto" w:line="273" w:before="160" w:after="0"/>
        <w:jc w:val="both"/>
        <w:rPr>
          <w:rFonts w:ascii="Times New Roman" w:hAnsi="Times New Roman"/>
          <w:b/>
          <w:i/>
          <w:sz w:val="20"/>
        </w:rPr>
      </w:pPr>
      <w:r>
        <w:rPr>
          <w:rFonts w:ascii="Times New Roman" w:hAnsi="Times New Roman"/>
          <w:b/>
          <w:i/>
          <w:sz w:val="20"/>
        </w:rPr>
        <w:t>Revenues</w:t>
      </w:r>
    </w:p>
    <w:p>
      <w:pPr>
        <w:pStyle w:val="TextBody"/>
        <w:spacing w:lineRule="auto" w:line="273" w:before="120" w:after="0"/>
        <w:jc w:val="both"/>
        <w:rPr>
          <w:rFonts w:ascii="Times New Roman" w:hAnsi="Times New Roman"/>
          <w:b w:val="false"/>
          <w:i/>
          <w:sz w:val="20"/>
        </w:rPr>
      </w:pPr>
      <w:r>
        <w:rPr>
          <w:rFonts w:ascii="Times New Roman" w:hAnsi="Times New Roman"/>
          <w:b w:val="false"/>
          <w:i/>
          <w:sz w:val="20"/>
        </w:rPr>
        <w:t>Three Months Ended March 31, 2022 and March 31,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March 31, 2022 and March 31, 2021. For the three months ended March 31, 2022 compared to the three months ended March 31, 2021, revenues increased $10.5 million or 32% due to higher management fees primarily from the impact of organic growth of $6.7 million across RCP, TrueBridge, and Five Points as well as $3.8 million driven by the acquisition of Hark and Bonaccord in 2021.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Management and advisory fees increased $10.5 million, or 32%, to $43.0 million for the three months ended March 31, 2022 as compared to the three months ended March 31, 2021 due primarily to organic growth at RCP, TrueBridge, and Five Points of $6.7 million driven by increases in FPAUM, primarily from capital raised and additional fund closings. The acquisitions of Bonaccord and Hark on September 30, 2021, contributed management fee and advisory revenues of $3.8 million. Catch up fees for the three months ended March 31, 2022 were $0.7 million associated with the fund closings at TrueBridge and RCP.</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Other revenues, which represent ancillary elements of our business, increased by $0.1 million or 30% to $0.3 million for the three months ended March 31, 2022 as compared to the three months ended March 31, 2021 driven primarily by an increase of $0.1 million of interest income in other revenue.</w:t>
      </w:r>
    </w:p>
    <w:p>
      <w:pPr>
        <w:pStyle w:val="TextBody"/>
        <w:spacing w:lineRule="auto" w:line="273" w:before="0" w:after="0"/>
        <w:jc w:val="both"/>
        <w:rPr/>
      </w:pPr>
      <w:r>
        <w:rPr/>
        <w:t> </w:t>
      </w:r>
    </w:p>
    <w:tbl>
      <w:tblPr>
        <w:tblW w:w="7472" w:type="dxa"/>
        <w:jc w:val="left"/>
        <w:tblInd w:w="0" w:type="dxa"/>
        <w:tblCellMar>
          <w:top w:w="28" w:type="dxa"/>
          <w:left w:w="28" w:type="dxa"/>
          <w:bottom w:w="28" w:type="dxa"/>
          <w:right w:w="28" w:type="dxa"/>
        </w:tblCellMar>
      </w:tblPr>
      <w:tblGrid>
        <w:gridCol w:w="2506"/>
        <w:gridCol w:w="146"/>
        <w:gridCol w:w="227"/>
        <w:gridCol w:w="698"/>
        <w:gridCol w:w="169"/>
        <w:gridCol w:w="169"/>
        <w:gridCol w:w="227"/>
        <w:gridCol w:w="698"/>
        <w:gridCol w:w="146"/>
        <w:gridCol w:w="146"/>
        <w:gridCol w:w="203"/>
        <w:gridCol w:w="593"/>
        <w:gridCol w:w="166"/>
        <w:gridCol w:w="146"/>
        <w:gridCol w:w="243"/>
        <w:gridCol w:w="628"/>
        <w:gridCol w:w="361"/>
      </w:tblGrid>
      <w:tr>
        <w:trPr/>
        <w:tc>
          <w:tcPr>
            <w:tcW w:w="25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5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88"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6"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r>
      <w:tr>
        <w:trPr/>
        <w:tc>
          <w:tcPr>
            <w:tcW w:w="25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9" w:type="dxa"/>
            <w:tcBorders/>
            <w:shd w:fill="auto" w:val="clear"/>
            <w:vAlign w:val="center"/>
          </w:tcPr>
          <w:p>
            <w:pPr>
              <w:pStyle w:val="TableContents"/>
              <w:spacing w:lineRule="auto" w:line="252" w:before="0" w:after="0"/>
              <w:ind w:left="0" w:right="0" w:hanging="0"/>
              <w:jc w:val="center"/>
              <w:rPr/>
            </w:pPr>
            <w:r>
              <w:rPr/>
              <w:t> </w:t>
            </w:r>
          </w:p>
        </w:tc>
        <w:tc>
          <w:tcPr>
            <w:tcW w:w="9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Change</w:t>
            </w:r>
          </w:p>
        </w:tc>
        <w:tc>
          <w:tcPr>
            <w:tcW w:w="3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0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8"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6"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361" w:type="dxa"/>
            <w:tcBorders/>
            <w:shd w:fill="auto" w:val="clear"/>
            <w:vAlign w:val="center"/>
          </w:tcPr>
          <w:p>
            <w:pPr>
              <w:pStyle w:val="TableContents"/>
              <w:spacing w:lineRule="auto" w:line="252" w:before="0" w:after="0"/>
              <w:ind w:left="0" w:right="0" w:hanging="0"/>
              <w:jc w:val="center"/>
              <w:rPr/>
            </w:pPr>
            <w:r>
              <w:rPr/>
              <w:t> </w:t>
            </w:r>
          </w:p>
        </w:tc>
      </w:tr>
      <w:tr>
        <w:trPr/>
        <w:tc>
          <w:tcPr>
            <w:tcW w:w="25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Compensation and benefits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18,494</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11,936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9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6,558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55</w:t>
            </w:r>
          </w:p>
        </w:tc>
        <w:tc>
          <w:tcPr>
            <w:tcW w:w="3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5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Professional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2,612</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59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w:t>
            </w:r>
          </w:p>
        </w:tc>
        <w:tc>
          <w:tcPr>
            <w:tcW w:w="3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5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General, administrative, and 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4,112</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59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2,075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102</w:t>
            </w:r>
          </w:p>
        </w:tc>
        <w:tc>
          <w:tcPr>
            <w:tcW w:w="3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5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Contingent consideration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127</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59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354</w:t>
            </w:r>
          </w:p>
        </w:tc>
        <w:tc>
          <w:tcPr>
            <w:tcW w:w="3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5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Amortization of intangibles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6,181</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7,484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59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(1,303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w:t>
            </w:r>
          </w:p>
        </w:tc>
        <w:tc>
          <w:tcPr>
            <w:tcW w:w="3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5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Strategic alliance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152</w:t>
            </w:r>
          </w:p>
        </w:tc>
        <w:tc>
          <w:tcPr>
            <w:tcW w:w="1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100</w:t>
            </w:r>
          </w:p>
        </w:tc>
        <w:tc>
          <w:tcPr>
            <w:tcW w:w="3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5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31,678</w:t>
            </w:r>
          </w:p>
        </w:tc>
        <w:tc>
          <w:tcPr>
            <w:tcW w:w="1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24,216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7,462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w:t>
            </w:r>
          </w:p>
        </w:tc>
        <w:tc>
          <w:tcPr>
            <w:tcW w:w="3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bl>
    <w:p>
      <w:pPr>
        <w:pStyle w:val="TextBody"/>
        <w:spacing w:lineRule="auto" w:line="273" w:before="0" w:after="0"/>
        <w:jc w:val="both"/>
        <w:rPr/>
      </w:pPr>
      <w:r>
        <w:rPr/>
        <w:t> </w:t>
      </w:r>
    </w:p>
    <w:p>
      <w:pPr>
        <w:pStyle w:val="TextBody"/>
        <w:spacing w:lineRule="auto" w:line="273" w:before="160" w:after="0"/>
        <w:jc w:val="both"/>
        <w:rPr>
          <w:rFonts w:ascii="Times New Roman" w:hAnsi="Times New Roman"/>
          <w:b/>
          <w:i/>
          <w:sz w:val="20"/>
        </w:rPr>
      </w:pPr>
      <w:r>
        <w:rPr>
          <w:rFonts w:ascii="Times New Roman" w:hAnsi="Times New Roman"/>
          <w:b/>
          <w:i/>
          <w:sz w:val="20"/>
        </w:rPr>
        <w:t>Operating Expenses</w:t>
      </w:r>
    </w:p>
    <w:p>
      <w:pPr>
        <w:pStyle w:val="TextBody"/>
        <w:spacing w:lineRule="auto" w:line="273" w:before="120" w:after="0"/>
        <w:jc w:val="both"/>
        <w:rPr>
          <w:rFonts w:ascii="Times New Roman" w:hAnsi="Times New Roman"/>
          <w:b w:val="false"/>
          <w:i/>
          <w:sz w:val="20"/>
        </w:rPr>
      </w:pPr>
      <w:r>
        <w:rPr>
          <w:rFonts w:ascii="Times New Roman" w:hAnsi="Times New Roman"/>
          <w:b w:val="false"/>
          <w:i/>
          <w:sz w:val="20"/>
        </w:rPr>
        <w:t>For the Three Months Ended March 31, 2022 and March 31,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Total operating expenses increased by $7.5 million, or 31%, to $31.7 million for the three months ended March 31, 2022 compared to the three months ended March 31, 2021. This increase was primarily due to increases in compensation and benefits as well as general, administrative, and other offset by fully amortized intangible assets at RCP and declining amortization expense of intangibles at ECG.</w:t>
      </w:r>
    </w:p>
    <w:p>
      <w:pPr>
        <w:pStyle w:val="TextBody"/>
        <w:spacing w:lineRule="auto" w:line="273" w:before="240" w:after="0"/>
        <w:jc w:val="left"/>
        <w:rPr>
          <w:rFonts w:ascii="Times New Roman" w:hAnsi="Times New Roman"/>
          <w:sz w:val="20"/>
        </w:rPr>
      </w:pPr>
      <w:r>
        <w:rPr>
          <w:rFonts w:ascii="Times New Roman" w:hAnsi="Times New Roman"/>
          <w:b w:val="false"/>
          <w:sz w:val="20"/>
        </w:rPr>
        <w:t>Compensation and benefits expense increased by $6.6 million, or 55%, to $18.5 million, for the three months ended March 31, 2022 compared to the three months ended March 31, 2021. The increase was driven by a number of factors. The acquisitions of Hark and Bonaccord on September 30, 2021 added $2.2 million of compensation expense in the first quarter of 2022. Five Points made a $1.7 million one time payment to buyout the employment contracts for the prior partners during the first quarter of 2022. Stock compensation expense increased by $1.1 million, due to RSUs and stock options issued to employees during the first quarter of 2022 as well as RSAs issued in late 2021. There was a $0.7 million increase associated with the build out of P10 back office to meet the compliance needs of a public company. The final driver is a $1.0 million increase associated with an increase in headcount across all subsidiaries.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Professional fees decreased by $0.1 million, or 4%, to $2.6 million. The similar expense for the three months ended March 31, 2022 compared to 2021 due to the slower acquisition activity in both first quarters. The primary cost in professional fees for the three months ended March 31, 2022 and 2021 are audit fees incurred associated with year end reporting.</w:t>
      </w:r>
    </w:p>
    <w:p>
      <w:pPr>
        <w:pStyle w:val="TextBody"/>
        <w:spacing w:lineRule="auto" w:line="273" w:before="240" w:after="0"/>
        <w:jc w:val="left"/>
        <w:rPr>
          <w:rFonts w:ascii="Times New Roman" w:hAnsi="Times New Roman"/>
          <w:sz w:val="20"/>
        </w:rPr>
      </w:pPr>
      <w:r>
        <w:rPr>
          <w:rFonts w:ascii="Times New Roman" w:hAnsi="Times New Roman"/>
          <w:b w:val="false"/>
          <w:sz w:val="20"/>
        </w:rPr>
        <w:t>General, administrative and other increased by $2.1 million, or 102% to $4.1 million, due primarily to the increase of $0.7 million in D&amp;O insurance driven by the IPO transaction at the end of 2021, $0.3 million due to the acquisitions of Hark and Bonaccord, and $0.3 million of additional rent expense for the three months ended March 31, 2022 as compared to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three months ended March 31, 2021. The remaining $0.5 million increase was individually insignificant increases in cost at each subsidiary driven by an additional leased office space, insurance costs, and general operations.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Contingent consideration expense increased $0.1 million, to $0.1 million, for the three months ended March 31, 2022 as compared to the three months ended March 31, 2021. This was driven by remeasurement during the first quarter of 2022 of the contingent consideration payable in connection with the acquisitions of Hark and Bonaccord.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Amortization of intangibles decreased by $1.3 million, or (17)%, to $6.2 million, for the three months ended March 31, 2022 as compared to the three months ended March 31, 2021. The decrease is due to $1.8 million less in expense in the first quarter of 2022 as compared to 2021 at RCP due to fully amortized intangible assets and at ECG due to declining amortization expense. This was offset by an addition of $0.5 million in amortization expense driven by the acquisitions of Hark and Bonaccord on September 30, 2021.</w:t>
      </w:r>
    </w:p>
    <w:p>
      <w:pPr>
        <w:pStyle w:val="TextBody"/>
        <w:spacing w:lineRule="auto" w:line="273" w:before="360" w:after="0"/>
        <w:jc w:val="both"/>
        <w:rPr>
          <w:rFonts w:ascii="Times New Roman" w:hAnsi="Times New Roman"/>
          <w:b/>
          <w:i/>
          <w:sz w:val="20"/>
        </w:rPr>
      </w:pPr>
      <w:r>
        <w:rPr>
          <w:rFonts w:ascii="Times New Roman" w:hAnsi="Times New Roman"/>
          <w:b/>
          <w:i/>
          <w:sz w:val="20"/>
        </w:rPr>
        <w:t>Other Income/(Expense)</w:t>
      </w:r>
    </w:p>
    <w:p>
      <w:pPr>
        <w:pStyle w:val="TextBody"/>
        <w:spacing w:lineRule="auto" w:line="273" w:before="120" w:after="0"/>
        <w:jc w:val="both"/>
        <w:rPr>
          <w:rFonts w:ascii="Times New Roman" w:hAnsi="Times New Roman"/>
          <w:b w:val="false"/>
          <w:i/>
          <w:sz w:val="20"/>
        </w:rPr>
      </w:pPr>
      <w:r>
        <w:rPr>
          <w:rFonts w:ascii="Times New Roman" w:hAnsi="Times New Roman"/>
          <w:b w:val="false"/>
          <w:i/>
          <w:sz w:val="20"/>
        </w:rPr>
        <w:t>For the Three Months Ended December 31, 2021 and December 31, 2020</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Other expenses decreased by $4.1 million, or (80)%, to $1.1 million for the three months ended March 31, 2022 compared to the three months ended March 31, 2021. This decrease was primarily driven by the early extinguishment of the credit and guaranty facility on December 22, 2021. The credit and guaranty facility incurred interest at a rate of 7%. This was replaced with the revolving credit facility and term loan which incurs interest at a base rate of 2.1% plus SOFR. The decline in interest expense for the three months ended March 31, 2022 as compared to the three months ended March 31, 2021 is a function both of lower interest rates as well as $65.1 million less in outstanding interest-bearing principal as of March 31, 2022. The lower principal balance was a result of the paydown of debt with IPO proceeds and operating cash flow during the last year.</w:t>
      </w:r>
    </w:p>
    <w:p>
      <w:pPr>
        <w:pStyle w:val="TextBody"/>
        <w:spacing w:lineRule="auto" w:line="273" w:before="360" w:after="0"/>
        <w:jc w:val="both"/>
        <w:rPr>
          <w:rFonts w:ascii="Times New Roman" w:hAnsi="Times New Roman"/>
          <w:b/>
          <w:i/>
          <w:sz w:val="20"/>
        </w:rPr>
      </w:pPr>
      <w:r>
        <w:rPr>
          <w:rFonts w:ascii="Times New Roman" w:hAnsi="Times New Roman"/>
          <w:b/>
          <w:i/>
          <w:sz w:val="20"/>
        </w:rPr>
        <w:t>Income Tax Expense</w:t>
      </w:r>
    </w:p>
    <w:p>
      <w:pPr>
        <w:pStyle w:val="TextBody"/>
        <w:spacing w:lineRule="auto" w:line="273" w:before="120" w:after="0"/>
        <w:jc w:val="both"/>
        <w:rPr>
          <w:rFonts w:ascii="Times New Roman" w:hAnsi="Times New Roman"/>
          <w:b w:val="false"/>
          <w:i/>
          <w:sz w:val="20"/>
        </w:rPr>
      </w:pPr>
      <w:r>
        <w:rPr>
          <w:rFonts w:ascii="Times New Roman" w:hAnsi="Times New Roman"/>
          <w:b w:val="false"/>
          <w:i/>
          <w:sz w:val="20"/>
        </w:rPr>
        <w:t>For the Three Months Ended March 31, 2022 and March 31,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Income tax expense increased by $2.1 million to $2.8 million for the three months ended March 31, 2022 compared to an expense of $0.7 million for the three months ended March 31, 2021. The increase was primarily due to the increase of pre-tax income during 2022.</w:t>
      </w:r>
    </w:p>
    <w:p>
      <w:pPr>
        <w:pStyle w:val="TextBody"/>
        <w:spacing w:lineRule="auto" w:line="273" w:before="360" w:after="0"/>
        <w:jc w:val="both"/>
        <w:rPr>
          <w:rFonts w:ascii="Times New Roman" w:hAnsi="Times New Roman"/>
          <w:b/>
          <w:i/>
          <w:sz w:val="20"/>
        </w:rPr>
      </w:pPr>
      <w:r>
        <w:rPr>
          <w:rFonts w:ascii="Times New Roman" w:hAnsi="Times New Roman"/>
          <w:b/>
          <w:i/>
          <w:sz w:val="20"/>
        </w:rPr>
        <w:t>FPAUM</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provides a period-to-period roll-forward of our fee paying assets under management on a pro forma basis as if Hark and Bonaccord were acquired on January 1, 2021.</w:t>
      </w:r>
    </w:p>
    <w:p>
      <w:pPr>
        <w:pStyle w:val="TextBody"/>
        <w:spacing w:lineRule="auto" w:line="273" w:before="0" w:after="0"/>
        <w:jc w:val="both"/>
        <w:rPr/>
      </w:pPr>
      <w:r>
        <w:rPr/>
        <w:t> </w:t>
      </w:r>
    </w:p>
    <w:tbl>
      <w:tblPr>
        <w:tblW w:w="8015" w:type="dxa"/>
        <w:jc w:val="left"/>
        <w:tblInd w:w="0" w:type="dxa"/>
        <w:tblCellMar>
          <w:top w:w="28" w:type="dxa"/>
          <w:left w:w="28" w:type="dxa"/>
          <w:bottom w:w="28" w:type="dxa"/>
          <w:right w:w="28" w:type="dxa"/>
        </w:tblCellMar>
      </w:tblPr>
      <w:tblGrid>
        <w:gridCol w:w="2566"/>
        <w:gridCol w:w="146"/>
        <w:gridCol w:w="521"/>
        <w:gridCol w:w="1669"/>
        <w:gridCol w:w="166"/>
        <w:gridCol w:w="146"/>
        <w:gridCol w:w="521"/>
        <w:gridCol w:w="1669"/>
        <w:gridCol w:w="611"/>
      </w:tblGrid>
      <w:tr>
        <w:trPr/>
        <w:tc>
          <w:tcPr>
            <w:tcW w:w="2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25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w:t>
            </w:r>
          </w:p>
        </w:tc>
        <w:tc>
          <w:tcPr>
            <w:tcW w:w="611" w:type="dxa"/>
            <w:tcBorders/>
            <w:shd w:fill="auto" w:val="clear"/>
            <w:vAlign w:val="center"/>
          </w:tcPr>
          <w:p>
            <w:pPr>
              <w:pStyle w:val="TableContents"/>
              <w:spacing w:lineRule="auto" w:line="252" w:before="0" w:after="0"/>
              <w:ind w:left="0" w:right="0" w:hanging="0"/>
              <w:jc w:val="center"/>
              <w:rPr/>
            </w:pPr>
            <w:r>
              <w:rPr/>
              <w:t> </w:t>
            </w:r>
          </w:p>
        </w:tc>
      </w:tr>
      <w:tr>
        <w:trPr/>
        <w:tc>
          <w:tcPr>
            <w:tcW w:w="25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611" w:type="dxa"/>
            <w:tcBorders/>
            <w:shd w:fill="auto" w:val="clear"/>
            <w:vAlign w:val="center"/>
          </w:tcPr>
          <w:p>
            <w:pPr>
              <w:pStyle w:val="TableContents"/>
              <w:spacing w:lineRule="auto" w:line="252" w:before="0" w:after="0"/>
              <w:ind w:left="0" w:right="0" w:hanging="0"/>
              <w:jc w:val="center"/>
              <w:rPr/>
            </w:pPr>
            <w:r>
              <w:rPr/>
              <w:t> </w:t>
            </w:r>
          </w:p>
        </w:tc>
      </w:tr>
      <w:tr>
        <w:trPr/>
        <w:tc>
          <w:tcPr>
            <w:tcW w:w="25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millions)</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millions)</w:t>
            </w:r>
          </w:p>
        </w:tc>
        <w:tc>
          <w:tcPr>
            <w:tcW w:w="611" w:type="dxa"/>
            <w:tcBorders/>
            <w:shd w:fill="auto" w:val="clear"/>
            <w:vAlign w:val="center"/>
          </w:tcPr>
          <w:p>
            <w:pPr>
              <w:pStyle w:val="TableContents"/>
              <w:spacing w:lineRule="auto" w:line="252" w:before="0" w:after="0"/>
              <w:ind w:left="0" w:right="0" w:hanging="0"/>
              <w:jc w:val="center"/>
              <w:rPr/>
            </w:pPr>
            <w:r>
              <w:rPr/>
              <w:t> </w:t>
            </w:r>
          </w:p>
        </w:tc>
      </w:tr>
      <w:tr>
        <w:trPr/>
        <w:tc>
          <w:tcPr>
            <w:tcW w:w="25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17,263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13,351</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25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Add: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0"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400"/>
              <w:jc w:val="right"/>
              <w:rPr/>
            </w:pPr>
            <w:r>
              <w:rPr/>
              <w:t> </w:t>
            </w:r>
          </w:p>
        </w:tc>
      </w:tr>
      <w:tr>
        <w:trPr/>
        <w:tc>
          <w:tcPr>
            <w:tcW w:w="256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Acquisitions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2566" w:type="dxa"/>
            <w:tcBorders/>
            <w:shd w:fill="auto" w:val="clear"/>
            <w:vAlign w:val="center"/>
          </w:tcPr>
          <w:p>
            <w:pPr>
              <w:pStyle w:val="TableContents"/>
              <w:spacing w:lineRule="auto" w:line="252" w:before="0" w:after="0"/>
              <w:ind w:left="400" w:right="0" w:hanging="0"/>
              <w:jc w:val="left"/>
              <w:rPr>
                <w:rFonts w:ascii="Times New Roman" w:hAnsi="Times New Roman"/>
                <w:sz w:val="20"/>
              </w:rPr>
            </w:pPr>
            <w:r>
              <w:rPr>
                <w:rFonts w:ascii="Times New Roman" w:hAnsi="Times New Roman"/>
                <w:b w:val="false"/>
                <w:sz w:val="20"/>
              </w:rPr>
              <w:t xml:space="preserve">Capital raised </w:t>
            </w:r>
            <w:r>
              <w:rPr>
                <w:rFonts w:ascii="Times New Roman" w:hAnsi="Times New Roman"/>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476</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2566" w:type="dxa"/>
            <w:tcBorders/>
            <w:shd w:fill="auto" w:val="clear"/>
            <w:vAlign w:val="center"/>
          </w:tcPr>
          <w:p>
            <w:pPr>
              <w:pStyle w:val="TableContents"/>
              <w:spacing w:lineRule="auto" w:line="252" w:before="0" w:after="0"/>
              <w:ind w:left="400" w:right="0" w:hanging="0"/>
              <w:jc w:val="left"/>
              <w:rPr>
                <w:rFonts w:ascii="Times New Roman" w:hAnsi="Times New Roman"/>
                <w:sz w:val="20"/>
              </w:rPr>
            </w:pPr>
            <w:r>
              <w:rPr>
                <w:rFonts w:ascii="Times New Roman" w:hAnsi="Times New Roman"/>
                <w:b w:val="false"/>
                <w:sz w:val="20"/>
              </w:rPr>
              <w:t xml:space="preserve">Capital deployed </w:t>
            </w:r>
            <w:r>
              <w:rPr>
                <w:rFonts w:ascii="Times New Roman" w:hAnsi="Times New Roman"/>
                <w:b w:val="false"/>
                <w:sz w:val="13"/>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2566" w:type="dxa"/>
            <w:tcBorders/>
            <w:shd w:fill="auto" w:val="clear"/>
            <w:vAlign w:val="center"/>
          </w:tcPr>
          <w:p>
            <w:pPr>
              <w:pStyle w:val="TableContents"/>
              <w:spacing w:lineRule="auto" w:line="252" w:before="0" w:after="0"/>
              <w:ind w:left="400" w:right="0" w:hanging="0"/>
              <w:jc w:val="left"/>
              <w:rPr>
                <w:rFonts w:ascii="Times New Roman" w:hAnsi="Times New Roman"/>
                <w:sz w:val="20"/>
              </w:rPr>
            </w:pPr>
            <w:r>
              <w:rPr>
                <w:rFonts w:ascii="Times New Roman" w:hAnsi="Times New Roman"/>
                <w:b w:val="false"/>
                <w:sz w:val="20"/>
              </w:rPr>
              <w:t xml:space="preserve">Net Asset Value Change </w:t>
            </w:r>
            <w:r>
              <w:rPr>
                <w:rFonts w:ascii="Times New Roman" w:hAnsi="Times New Roman"/>
                <w:b w:val="false"/>
                <w:sz w:val="13"/>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25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Less: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0"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400"/>
              <w:jc w:val="right"/>
              <w:rPr/>
            </w:pPr>
            <w:r>
              <w:rPr/>
              <w:t> </w:t>
            </w:r>
          </w:p>
        </w:tc>
      </w:tr>
      <w:tr>
        <w:trPr/>
        <w:tc>
          <w:tcPr>
            <w:tcW w:w="256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Scheduled fee base stepdowns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256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Expiration of fee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5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17,592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13,868</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Represents new commitments from funds that earn fees on a committed capital fee base.</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certain vehicles, fees are based on capital deployed, as such increasing FPAUM.</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(3)</w:t>
      </w:r>
    </w:p>
    <w:p>
      <w:pPr>
        <w:pStyle w:val="TextBody"/>
        <w:spacing w:lineRule="auto" w:line="273"/>
        <w:jc w:val="left"/>
        <w:rPr>
          <w:rFonts w:ascii="Times New Roman" w:hAnsi="Times New Roman"/>
          <w:b w:val="false"/>
          <w:sz w:val="20"/>
        </w:rPr>
      </w:pPr>
      <w:r>
        <w:rPr>
          <w:rFonts w:ascii="Times New Roman" w:hAnsi="Times New Roman"/>
          <w:b w:val="false"/>
          <w:sz w:val="20"/>
        </w:rPr>
        <w:t>Net asset value change consists primarily of the impact of market value appreciation (depreciation) from funds that earn fees on a net asset value basis.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following table provides a period-to-period roll-forward of our fee paying assets under management on an actual basis.</w:t>
      </w:r>
    </w:p>
    <w:p>
      <w:pPr>
        <w:pStyle w:val="TextBody"/>
        <w:spacing w:lineRule="auto" w:line="273" w:before="0" w:after="0"/>
        <w:jc w:val="both"/>
        <w:rPr/>
      </w:pPr>
      <w:r>
        <w:rPr/>
        <w:t> </w:t>
      </w:r>
    </w:p>
    <w:tbl>
      <w:tblPr>
        <w:tblW w:w="8415" w:type="dxa"/>
        <w:jc w:val="left"/>
        <w:tblInd w:w="0" w:type="dxa"/>
        <w:tblCellMar>
          <w:top w:w="28" w:type="dxa"/>
          <w:left w:w="28" w:type="dxa"/>
          <w:bottom w:w="28" w:type="dxa"/>
          <w:right w:w="28" w:type="dxa"/>
        </w:tblCellMar>
      </w:tblPr>
      <w:tblGrid>
        <w:gridCol w:w="2966"/>
        <w:gridCol w:w="146"/>
        <w:gridCol w:w="521"/>
        <w:gridCol w:w="1669"/>
        <w:gridCol w:w="166"/>
        <w:gridCol w:w="146"/>
        <w:gridCol w:w="521"/>
        <w:gridCol w:w="1669"/>
        <w:gridCol w:w="611"/>
      </w:tblGrid>
      <w:tr>
        <w:trPr/>
        <w:tc>
          <w:tcPr>
            <w:tcW w:w="2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29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 Ended</w:t>
            </w:r>
          </w:p>
        </w:tc>
        <w:tc>
          <w:tcPr>
            <w:tcW w:w="611" w:type="dxa"/>
            <w:tcBorders/>
            <w:shd w:fill="auto" w:val="clear"/>
            <w:vAlign w:val="center"/>
          </w:tcPr>
          <w:p>
            <w:pPr>
              <w:pStyle w:val="TableContents"/>
              <w:spacing w:lineRule="auto" w:line="252" w:before="0" w:after="0"/>
              <w:ind w:left="0" w:right="0" w:hanging="0"/>
              <w:jc w:val="center"/>
              <w:rPr/>
            </w:pPr>
            <w:r>
              <w:rPr/>
              <w:t> </w:t>
            </w:r>
          </w:p>
        </w:tc>
      </w:tr>
      <w:tr>
        <w:trPr/>
        <w:tc>
          <w:tcPr>
            <w:tcW w:w="29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611" w:type="dxa"/>
            <w:tcBorders/>
            <w:shd w:fill="auto" w:val="clear"/>
            <w:vAlign w:val="center"/>
          </w:tcPr>
          <w:p>
            <w:pPr>
              <w:pStyle w:val="TableContents"/>
              <w:spacing w:lineRule="auto" w:line="252" w:before="0" w:after="0"/>
              <w:ind w:left="0" w:right="0" w:hanging="0"/>
              <w:jc w:val="center"/>
              <w:rPr/>
            </w:pPr>
            <w:r>
              <w:rPr/>
              <w:t> </w:t>
            </w:r>
          </w:p>
        </w:tc>
      </w:tr>
      <w:tr>
        <w:trPr/>
        <w:tc>
          <w:tcPr>
            <w:tcW w:w="29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millions)</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9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millions)</w:t>
            </w:r>
          </w:p>
        </w:tc>
        <w:tc>
          <w:tcPr>
            <w:tcW w:w="611" w:type="dxa"/>
            <w:tcBorders/>
            <w:shd w:fill="auto" w:val="clear"/>
            <w:vAlign w:val="center"/>
          </w:tcPr>
          <w:p>
            <w:pPr>
              <w:pStyle w:val="TableContents"/>
              <w:spacing w:lineRule="auto" w:line="252" w:before="0" w:after="0"/>
              <w:ind w:left="0" w:right="0" w:hanging="0"/>
              <w:jc w:val="center"/>
              <w:rPr/>
            </w:pPr>
            <w:r>
              <w:rPr/>
              <w:t> </w:t>
            </w:r>
          </w:p>
        </w:tc>
      </w:tr>
      <w:tr>
        <w:trPr/>
        <w:tc>
          <w:tcPr>
            <w:tcW w:w="2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17,263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12,706</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296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Add:</w:t>
            </w:r>
          </w:p>
        </w:tc>
        <w:tc>
          <w:tcPr>
            <w:tcW w:w="146" w:type="dxa"/>
            <w:tcBorders/>
            <w:shd w:fill="auto" w:val="clear"/>
            <w:vAlign w:val="center"/>
          </w:tcPr>
          <w:p>
            <w:pPr>
              <w:pStyle w:val="TableContents"/>
              <w:spacing w:lineRule="auto" w:line="252" w:before="0" w:after="0"/>
              <w:ind w:left="200" w:right="0" w:hanging="0"/>
              <w:jc w:val="left"/>
              <w:rPr/>
            </w:pPr>
            <w:r>
              <w:rPr/>
              <w:t> </w:t>
            </w:r>
          </w:p>
        </w:tc>
        <w:tc>
          <w:tcPr>
            <w:tcW w:w="219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0"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400"/>
              <w:jc w:val="right"/>
              <w:rPr/>
            </w:pPr>
            <w:r>
              <w:rPr/>
              <w:t> </w:t>
            </w:r>
          </w:p>
        </w:tc>
      </w:tr>
      <w:tr>
        <w:trPr/>
        <w:tc>
          <w:tcPr>
            <w:tcW w:w="296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Acquisitions</w:t>
            </w:r>
          </w:p>
        </w:tc>
        <w:tc>
          <w:tcPr>
            <w:tcW w:w="146" w:type="dxa"/>
            <w:tcBorders/>
            <w:shd w:fill="auto" w:val="clear"/>
            <w:vAlign w:val="center"/>
          </w:tcPr>
          <w:p>
            <w:pPr>
              <w:pStyle w:val="TableContents"/>
              <w:spacing w:lineRule="auto" w:line="252" w:before="0" w:after="0"/>
              <w:ind w:left="40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2966" w:type="dxa"/>
            <w:tcBorders/>
            <w:shd w:fill="auto" w:val="clear"/>
            <w:vAlign w:val="center"/>
          </w:tcPr>
          <w:p>
            <w:pPr>
              <w:pStyle w:val="TableContents"/>
              <w:spacing w:lineRule="auto" w:line="252" w:before="0" w:after="0"/>
              <w:ind w:left="0" w:right="0" w:firstLine="400"/>
              <w:jc w:val="left"/>
              <w:rPr>
                <w:rFonts w:ascii="Times New Roman" w:hAnsi="Times New Roman"/>
                <w:sz w:val="20"/>
              </w:rPr>
            </w:pPr>
            <w:r>
              <w:rPr>
                <w:rFonts w:ascii="Times New Roman" w:hAnsi="Times New Roman"/>
                <w:b w:val="false"/>
                <w:sz w:val="20"/>
              </w:rPr>
              <w:t xml:space="preserve">Capital raised </w:t>
            </w:r>
            <w:r>
              <w:rPr>
                <w:rFonts w:ascii="Times New Roman" w:hAnsi="Times New Roman"/>
                <w:b w:val="false"/>
                <w:sz w:val="13"/>
              </w:rPr>
              <w:t>(1)</w:t>
            </w:r>
          </w:p>
        </w:tc>
        <w:tc>
          <w:tcPr>
            <w:tcW w:w="146" w:type="dxa"/>
            <w:tcBorders/>
            <w:shd w:fill="auto" w:val="clear"/>
            <w:vAlign w:val="center"/>
          </w:tcPr>
          <w:p>
            <w:pPr>
              <w:pStyle w:val="TableContents"/>
              <w:spacing w:lineRule="auto" w:line="252" w:before="0" w:after="0"/>
              <w:ind w:left="40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356</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2966" w:type="dxa"/>
            <w:tcBorders/>
            <w:shd w:fill="auto" w:val="clear"/>
            <w:vAlign w:val="center"/>
          </w:tcPr>
          <w:p>
            <w:pPr>
              <w:pStyle w:val="TableContents"/>
              <w:spacing w:lineRule="auto" w:line="252" w:before="0" w:after="0"/>
              <w:ind w:left="0" w:right="0" w:firstLine="400"/>
              <w:jc w:val="left"/>
              <w:rPr>
                <w:rFonts w:ascii="Times New Roman" w:hAnsi="Times New Roman"/>
                <w:sz w:val="20"/>
              </w:rPr>
            </w:pPr>
            <w:r>
              <w:rPr>
                <w:rFonts w:ascii="Times New Roman" w:hAnsi="Times New Roman"/>
                <w:b w:val="false"/>
                <w:sz w:val="20"/>
              </w:rPr>
              <w:t xml:space="preserve">Capital deployed </w:t>
            </w:r>
            <w:r>
              <w:rPr>
                <w:rFonts w:ascii="Times New Roman" w:hAnsi="Times New Roman"/>
                <w:b w:val="false"/>
                <w:sz w:val="13"/>
              </w:rPr>
              <w:t>(2)</w:t>
            </w:r>
          </w:p>
        </w:tc>
        <w:tc>
          <w:tcPr>
            <w:tcW w:w="146" w:type="dxa"/>
            <w:tcBorders/>
            <w:shd w:fill="auto" w:val="clear"/>
            <w:vAlign w:val="center"/>
          </w:tcPr>
          <w:p>
            <w:pPr>
              <w:pStyle w:val="TableContents"/>
              <w:spacing w:lineRule="auto" w:line="252" w:before="0" w:after="0"/>
              <w:ind w:left="40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68</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2966" w:type="dxa"/>
            <w:tcBorders/>
            <w:shd w:fill="auto" w:val="clear"/>
            <w:vAlign w:val="center"/>
          </w:tcPr>
          <w:p>
            <w:pPr>
              <w:pStyle w:val="TableContents"/>
              <w:spacing w:lineRule="auto" w:line="252" w:before="0" w:after="0"/>
              <w:ind w:left="0" w:right="0" w:firstLine="400"/>
              <w:jc w:val="left"/>
              <w:rPr>
                <w:rFonts w:ascii="Times New Roman" w:hAnsi="Times New Roman"/>
                <w:sz w:val="20"/>
              </w:rPr>
            </w:pPr>
            <w:r>
              <w:rPr>
                <w:rFonts w:ascii="Times New Roman" w:hAnsi="Times New Roman"/>
                <w:b w:val="false"/>
                <w:sz w:val="20"/>
              </w:rPr>
              <w:t xml:space="preserve">Net Asset Value Change </w:t>
            </w:r>
            <w:r>
              <w:rPr>
                <w:rFonts w:ascii="Times New Roman" w:hAnsi="Times New Roman"/>
                <w:b w:val="false"/>
                <w:sz w:val="13"/>
              </w:rPr>
              <w:t>(3)</w:t>
            </w:r>
          </w:p>
        </w:tc>
        <w:tc>
          <w:tcPr>
            <w:tcW w:w="146" w:type="dxa"/>
            <w:tcBorders/>
            <w:shd w:fill="auto" w:val="clear"/>
            <w:vAlign w:val="center"/>
          </w:tcPr>
          <w:p>
            <w:pPr>
              <w:pStyle w:val="TableContents"/>
              <w:spacing w:lineRule="auto" w:line="252" w:before="0" w:after="0"/>
              <w:ind w:left="40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296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Less:</w:t>
            </w:r>
          </w:p>
        </w:tc>
        <w:tc>
          <w:tcPr>
            <w:tcW w:w="146" w:type="dxa"/>
            <w:tcBorders/>
            <w:shd w:fill="auto" w:val="clear"/>
            <w:vAlign w:val="center"/>
          </w:tcPr>
          <w:p>
            <w:pPr>
              <w:pStyle w:val="TableContents"/>
              <w:spacing w:lineRule="auto" w:line="252" w:before="0" w:after="0"/>
              <w:ind w:left="200" w:right="0" w:hanging="0"/>
              <w:jc w:val="left"/>
              <w:rPr/>
            </w:pPr>
            <w:r>
              <w:rPr/>
              <w:t> </w:t>
            </w:r>
          </w:p>
        </w:tc>
        <w:tc>
          <w:tcPr>
            <w:tcW w:w="219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0"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400"/>
              <w:jc w:val="right"/>
              <w:rPr/>
            </w:pPr>
            <w:r>
              <w:rPr/>
              <w:t> </w:t>
            </w:r>
          </w:p>
        </w:tc>
      </w:tr>
      <w:tr>
        <w:trPr/>
        <w:tc>
          <w:tcPr>
            <w:tcW w:w="296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Scheduled fee base stepdowns</w:t>
            </w:r>
          </w:p>
        </w:tc>
        <w:tc>
          <w:tcPr>
            <w:tcW w:w="146" w:type="dxa"/>
            <w:tcBorders/>
            <w:shd w:fill="auto" w:val="clear"/>
            <w:vAlign w:val="center"/>
          </w:tcPr>
          <w:p>
            <w:pPr>
              <w:pStyle w:val="TableContents"/>
              <w:spacing w:lineRule="auto" w:line="252" w:before="0" w:after="0"/>
              <w:ind w:left="40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shd w:fill="auto" w:val="clear"/>
            <w:vAlign w:val="center"/>
          </w:tcPr>
          <w:p>
            <w:pPr>
              <w:pStyle w:val="TableContents"/>
              <w:spacing w:lineRule="auto" w:line="252" w:before="0" w:after="0"/>
              <w:ind w:left="0" w:right="0" w:hanging="0"/>
              <w:jc w:val="left"/>
              <w:rPr/>
            </w:pPr>
            <w:r>
              <w:rPr/>
              <w:t> </w:t>
            </w:r>
          </w:p>
        </w:tc>
        <w:tc>
          <w:tcPr>
            <w:tcW w:w="16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296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Expiration of fee period</w:t>
            </w:r>
          </w:p>
        </w:tc>
        <w:tc>
          <w:tcPr>
            <w:tcW w:w="146" w:type="dxa"/>
            <w:tcBorders/>
            <w:shd w:fill="auto" w:val="clear"/>
            <w:vAlign w:val="center"/>
          </w:tcPr>
          <w:p>
            <w:pPr>
              <w:pStyle w:val="TableContents"/>
              <w:spacing w:lineRule="auto" w:line="252" w:before="0" w:after="0"/>
              <w:ind w:left="40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17,592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13,090</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Represents new commitments from funds that earn fees on a committed capital fee base.</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certain vehicles, fees are based on capital deployed, as such increasing FPAUM.</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(3)</w:t>
      </w:r>
    </w:p>
    <w:p>
      <w:pPr>
        <w:pStyle w:val="TextBody"/>
        <w:spacing w:lineRule="auto" w:line="273"/>
        <w:jc w:val="left"/>
        <w:rPr>
          <w:rFonts w:ascii="Times New Roman" w:hAnsi="Times New Roman"/>
          <w:b w:val="false"/>
          <w:sz w:val="20"/>
        </w:rPr>
      </w:pPr>
      <w:r>
        <w:rPr>
          <w:rFonts w:ascii="Times New Roman" w:hAnsi="Times New Roman"/>
          <w:b w:val="false"/>
          <w:sz w:val="20"/>
        </w:rPr>
        <w:t>Net asset value change consists primarily of the impact of market value appreciation (depreciation) from funds that earn fees on a net asset value basis.</w:t>
      </w:r>
    </w:p>
    <w:p>
      <w:pPr>
        <w:pStyle w:val="TextBody"/>
        <w:spacing w:lineRule="auto" w:line="273" w:before="360" w:after="0"/>
        <w:jc w:val="both"/>
        <w:rPr>
          <w:rFonts w:ascii="Times New Roman" w:hAnsi="Times New Roman"/>
          <w:b w:val="false"/>
          <w:i/>
          <w:sz w:val="20"/>
        </w:rPr>
      </w:pPr>
      <w:r>
        <w:rPr>
          <w:rFonts w:ascii="Times New Roman" w:hAnsi="Times New Roman"/>
          <w:b w:val="false"/>
          <w:i/>
          <w:sz w:val="20"/>
        </w:rPr>
        <w:t>FPAUM as of March 31, 2022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FPAUM increased $0.3 billion, or 1.9%, to $17.6 billion on a pro forma basis and $0.3 billion or 1.9% to $17.6 billion on an actual basis for the three months ended March 31, 2022, due primarily to an increase in capital raised and deployed from our private equity and venture capital solutions of $720 million offset by $395 million of step downs and expirations at RCP and TrueBridge.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pStyle w:val="TextBody"/>
        <w:spacing w:lineRule="auto" w:line="273" w:before="360" w:after="0"/>
        <w:jc w:val="both"/>
        <w:rPr>
          <w:rFonts w:ascii="Times New Roman" w:hAnsi="Times New Roman"/>
          <w:b w:val="false"/>
          <w:i/>
          <w:sz w:val="20"/>
        </w:rPr>
      </w:pPr>
      <w:r>
        <w:rPr>
          <w:rFonts w:ascii="Times New Roman" w:hAnsi="Times New Roman"/>
          <w:b w:val="false"/>
          <w:i/>
          <w:sz w:val="20"/>
        </w:rPr>
        <w:t>FPAUM as of March 31,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FPAUM increased $0.5 billion, or 3.9%, to $13.9 billion on a pro forma basis for the three months ended March 31, 2021, due primarily to an increase in capital raised from our private equity, venture capital and impact investment solutions. FPAUM increased $0.4 billion, or 3.0%, to $13.1 billion on an actual basis for the three months ended March 31, 2021, due primarily to an increase in capital raised and deployed from our private equity and venture capital investment solutions of $424 million offset by $44 million in step downs and expirations. Our FPAUM growth and concentration across solutions and vehicles has been relatively consistent over time but can vary in particular periods due to the systematic fundraising cycles of new funds, which typically lasts 12 - 24 months. We expect to continue to expand our fundraising efforts and grow FPAUM with the launch of new specialized investment vehicles and asset class solutions.</w:t>
      </w:r>
    </w:p>
    <w:p>
      <w:pPr>
        <w:pStyle w:val="TextBody"/>
        <w:spacing w:lineRule="auto" w:line="273" w:before="200" w:after="0"/>
        <w:jc w:val="center"/>
        <w:rPr>
          <w:rFonts w:ascii="Times New Roman" w:hAnsi="Times New Roman"/>
          <w:b/>
          <w:sz w:val="20"/>
        </w:rPr>
      </w:pPr>
      <w:r>
        <w:rPr>
          <w:rFonts w:ascii="Times New Roman" w:hAnsi="Times New Roman"/>
          <w:b/>
          <w:sz w:val="20"/>
        </w:rPr>
        <w:t>Non-GAAP Financial Measures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order to compute Adjusted EBITDA, we adjust our GAAP net income for the following items: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Expenses that typically do not require us to pay them in cash in the current period (such as depreciation, amortization and stock-based compensation),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cost of financing our business,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Losses associated with extinguishing debt outstanding,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Acquisition-related expenses which reflects the actual costs incurred during the period for the acquisition of new businesses, which primarily consists of fees for professional services including legal, accounting, and advisory,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Registration-related expenses includes professional services associated with our prospectus process incurred during the period, and does not reflect expected regulatory, compliance, and other costs associated with those that were incurred subsequent to our Initial Public Offering,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effects of income taxes.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Adjusted Net Income in 2021 reflects the cash payments made for interest, which differs significantly from total interest expense that includes non-cash interest on the non-interest-bearing Seller Notes related to our acquisitions of RCP 2 and RCP 3 that existed. Similarly, the cash income taxes paid during the periods differ significantly from the net income tax expense, which is primarily comprised of deferred tax expense as described in the results of operations.</w:t>
      </w:r>
    </w:p>
    <w:p>
      <w:pPr>
        <w:pStyle w:val="TextBody"/>
        <w:spacing w:lineRule="auto" w:line="273" w:before="0" w:after="0"/>
        <w:jc w:val="both"/>
        <w:rPr/>
      </w:pPr>
      <w:r>
        <w:rPr/>
        <w:t> </w:t>
      </w:r>
    </w:p>
    <w:tbl>
      <w:tblPr>
        <w:tblW w:w="6109" w:type="dxa"/>
        <w:jc w:val="left"/>
        <w:tblInd w:w="0" w:type="dxa"/>
        <w:tblCellMar>
          <w:top w:w="28" w:type="dxa"/>
          <w:left w:w="28" w:type="dxa"/>
          <w:bottom w:w="28" w:type="dxa"/>
          <w:right w:w="28" w:type="dxa"/>
        </w:tblCellMar>
      </w:tblPr>
      <w:tblGrid>
        <w:gridCol w:w="3466"/>
        <w:gridCol w:w="146"/>
        <w:gridCol w:w="211"/>
        <w:gridCol w:w="676"/>
        <w:gridCol w:w="166"/>
        <w:gridCol w:w="146"/>
        <w:gridCol w:w="211"/>
        <w:gridCol w:w="676"/>
        <w:gridCol w:w="411"/>
      </w:tblGrid>
      <w:tr>
        <w:trPr/>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8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3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8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Months Ended</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3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8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8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346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Net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7,792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2,215</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346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Add back (subtract):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34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Depreciation &amp;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6,276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7,551</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4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5,470</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4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Income tax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2,755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661</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4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Non-recurring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2,730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798</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4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Non-cash stock 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424</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4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hanging="0"/>
              <w:jc w:val="right"/>
              <w:rPr/>
            </w:pPr>
            <w:r>
              <w:rPr/>
              <w:t> </w:t>
            </w:r>
          </w:p>
        </w:tc>
      </w:tr>
      <w:tr>
        <w:trPr/>
        <w:tc>
          <w:tcPr>
            <w:tcW w:w="346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Adjusted EBITDA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22,453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17,119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46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34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(4,624</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4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income taxes, net of taxes related to</w:t>
              <w:br/>
              <w:t>   acquisitions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(407</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6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Adjusted Net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22,291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12,088</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200" w:after="0"/>
        <w:jc w:val="center"/>
        <w:rPr>
          <w:rFonts w:ascii="Times New Roman" w:hAnsi="Times New Roman"/>
          <w:b/>
          <w:sz w:val="20"/>
        </w:rPr>
      </w:pPr>
      <w:r>
        <w:rPr>
          <w:rFonts w:ascii="Times New Roman" w:hAnsi="Times New Roman"/>
          <w:b/>
          <w:sz w:val="20"/>
        </w:rPr>
        <w:t>Financial Position, Liquidity and Capital Resources</w:t>
      </w:r>
    </w:p>
    <w:p>
      <w:pPr>
        <w:pStyle w:val="TextBody"/>
        <w:spacing w:lineRule="auto" w:line="273" w:before="240" w:after="0"/>
        <w:jc w:val="both"/>
        <w:rPr>
          <w:rFonts w:ascii="Times New Roman" w:hAnsi="Times New Roman"/>
          <w:b/>
          <w:i/>
          <w:sz w:val="20"/>
        </w:rPr>
      </w:pPr>
      <w:r>
        <w:rPr>
          <w:rFonts w:ascii="Times New Roman" w:hAnsi="Times New Roman"/>
          <w:b/>
          <w:i/>
          <w:sz w:val="20"/>
        </w:rPr>
        <w:t>Selected Statements of Financial Position</w:t>
      </w:r>
    </w:p>
    <w:p>
      <w:pPr>
        <w:pStyle w:val="TextBody"/>
        <w:spacing w:lineRule="auto" w:line="273" w:before="0" w:after="0"/>
        <w:jc w:val="both"/>
        <w:rPr/>
      </w:pPr>
      <w:r>
        <w:rPr/>
        <w:t> </w:t>
      </w:r>
    </w:p>
    <w:tbl>
      <w:tblPr>
        <w:tblW w:w="7979" w:type="dxa"/>
        <w:jc w:val="left"/>
        <w:tblInd w:w="0" w:type="dxa"/>
        <w:tblCellMar>
          <w:top w:w="28" w:type="dxa"/>
          <w:left w:w="28" w:type="dxa"/>
          <w:bottom w:w="28" w:type="dxa"/>
          <w:right w:w="28" w:type="dxa"/>
        </w:tblCellMar>
      </w:tblPr>
      <w:tblGrid>
        <w:gridCol w:w="2656"/>
        <w:gridCol w:w="146"/>
        <w:gridCol w:w="211"/>
        <w:gridCol w:w="781"/>
        <w:gridCol w:w="146"/>
        <w:gridCol w:w="146"/>
        <w:gridCol w:w="233"/>
        <w:gridCol w:w="862"/>
        <w:gridCol w:w="146"/>
        <w:gridCol w:w="146"/>
        <w:gridCol w:w="211"/>
        <w:gridCol w:w="736"/>
        <w:gridCol w:w="166"/>
        <w:gridCol w:w="146"/>
        <w:gridCol w:w="243"/>
        <w:gridCol w:w="628"/>
        <w:gridCol w:w="376"/>
      </w:tblGrid>
      <w:tr>
        <w:trPr/>
        <w:tc>
          <w:tcPr>
            <w:tcW w:w="26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pPr>
            <w:r>
              <w:rPr/>
              <w:t> </w:t>
            </w:r>
          </w:p>
        </w:tc>
      </w:tr>
      <w:tr>
        <w:trPr/>
        <w:tc>
          <w:tcPr>
            <w:tcW w:w="2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pPr>
            <w:r>
              <w:rPr/>
              <w:t> </w:t>
            </w:r>
          </w:p>
        </w:tc>
      </w:tr>
      <w:tr>
        <w:trPr/>
        <w:tc>
          <w:tcPr>
            <w:tcW w:w="2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79"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pPr>
            <w:r>
              <w:rPr/>
              <w:t> </w:t>
            </w:r>
          </w:p>
        </w:tc>
      </w:tr>
      <w:tr>
        <w:trPr/>
        <w:tc>
          <w:tcPr>
            <w:tcW w:w="26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23,655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40,916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(17,261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Goodwill and other intangibles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541,332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547,489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(6,157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655,528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676,217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(20,689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Debt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187,690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212,496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(24,806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391,935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395,164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(3,229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62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both"/>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There was a decrease in cash and cash equivalents of $17.3 million from December 31, 2021 to $23.7 million as of March 31, 2022 primarily due to the paydown of $25 million on the revolving credit facility principal balance in February 2022. There was a decrease in goodwill and intangible assets of $6.2 million due to amortization of intangibles during the three months ended March 31, 2022. Remaining total assets increased in the same period by $2.7 million. The increase of $2.7 million is driven by an increase in accounts receivable from related parties which is entirely due to ECG's Advisory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Agreement with Enhanced PC and Crossroads. Debt obligations declined by $24.8 million which is driven by a $25.0 million principal pay down in February 2022 on the revolving credit facility which is offset by additional debt issuance costs.</w:t>
      </w:r>
      <w:r>
        <w:rPr>
          <w:rFonts w:ascii="Times New Roman" w:hAnsi="Times New Roman"/>
          <w:sz w:val="20"/>
        </w:rPr>
        <w:t xml:space="preserve"> </w:t>
      </w:r>
    </w:p>
    <w:p>
      <w:pPr>
        <w:pStyle w:val="TextBody"/>
        <w:spacing w:lineRule="auto" w:line="273" w:before="360" w:after="0"/>
        <w:jc w:val="both"/>
        <w:rPr>
          <w:rFonts w:ascii="Times New Roman" w:hAnsi="Times New Roman"/>
          <w:b/>
          <w:i/>
          <w:sz w:val="20"/>
        </w:rPr>
      </w:pPr>
      <w:r>
        <w:rPr>
          <w:rFonts w:ascii="Times New Roman" w:hAnsi="Times New Roman"/>
          <w:b/>
          <w:i/>
          <w:sz w:val="20"/>
        </w:rPr>
        <w:t>Historical Liquidity and Capital Resources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Both facilities are Term SOFR Loans. The Company can elect one or three months for the Revolver Facility and three or six months for the Term Loan. The Company elected a six month SOFR rate at the time of draw for the term loan and a one month SOFR rate for the Revolver Facility at the time of draw. Principal is contractually repaid at a rate of 1.25% on the term loan quarterly effective March 31, 2023. The Revolving Credit Facility has no contractual principal repayments until maturity, which is December 22, 2025 for both facilities.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Credit Agreement contains affirmative and negative covenants typical of such financing transactions, and specific financial covenants which require P10 to maintain a minimum leverage ratio. As of March 31, 2022, P10 was in compliance with its financial covenants required under the facility. In February 2022, the Company repaid $25 million of the principal balance outstanding on the revolving credit facility. As of March 31, 2022, the balance drawn on the revolving credit facility is $65.9 million and on the term loan, the balance is $125.0 million. For the three months ended March 31, 2022 and March 31, 2021, $0.9 million and $0 interest expense was incurred, respectively.</w:t>
      </w:r>
    </w:p>
    <w:p>
      <w:pPr>
        <w:pStyle w:val="TextBody"/>
        <w:spacing w:lineRule="auto" w:line="273" w:before="360" w:after="0"/>
        <w:jc w:val="both"/>
        <w:rPr>
          <w:rFonts w:ascii="Times New Roman" w:hAnsi="Times New Roman"/>
          <w:b/>
          <w:i/>
          <w:sz w:val="20"/>
        </w:rPr>
      </w:pPr>
      <w:r>
        <w:rPr>
          <w:rFonts w:ascii="Times New Roman" w:hAnsi="Times New Roman"/>
          <w:b/>
          <w:i/>
          <w:sz w:val="20"/>
        </w:rPr>
        <w:t>Cash Flows</w:t>
      </w:r>
    </w:p>
    <w:p>
      <w:pPr>
        <w:pStyle w:val="TextBody"/>
        <w:spacing w:lineRule="auto" w:line="273" w:before="120" w:after="0"/>
        <w:jc w:val="both"/>
        <w:rPr>
          <w:rFonts w:ascii="Times New Roman" w:hAnsi="Times New Roman"/>
          <w:b/>
          <w:i/>
          <w:sz w:val="20"/>
        </w:rPr>
      </w:pPr>
      <w:r>
        <w:rPr>
          <w:rFonts w:ascii="Times New Roman" w:hAnsi="Times New Roman"/>
          <w:b/>
          <w:i/>
          <w:sz w:val="20"/>
        </w:rPr>
        <w:t>Three Months Ended March 31, 2022 Compared to the Three Months Ended March 31,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reflects our cash flows for the three months ended March 31, 2022 and 2021:</w:t>
      </w:r>
    </w:p>
    <w:p>
      <w:pPr>
        <w:pStyle w:val="TextBody"/>
        <w:spacing w:lineRule="auto" w:line="273" w:before="0" w:after="0"/>
        <w:jc w:val="both"/>
        <w:rPr/>
      </w:pPr>
      <w:r>
        <w:rPr/>
        <w:t> </w:t>
      </w:r>
    </w:p>
    <w:tbl>
      <w:tblPr>
        <w:tblW w:w="9401" w:type="dxa"/>
        <w:jc w:val="left"/>
        <w:tblInd w:w="0" w:type="dxa"/>
        <w:tblCellMar>
          <w:top w:w="28" w:type="dxa"/>
          <w:left w:w="28" w:type="dxa"/>
          <w:bottom w:w="28" w:type="dxa"/>
          <w:right w:w="28" w:type="dxa"/>
        </w:tblCellMar>
      </w:tblPr>
      <w:tblGrid>
        <w:gridCol w:w="4336"/>
        <w:gridCol w:w="146"/>
        <w:gridCol w:w="211"/>
        <w:gridCol w:w="736"/>
        <w:gridCol w:w="166"/>
        <w:gridCol w:w="146"/>
        <w:gridCol w:w="211"/>
        <w:gridCol w:w="631"/>
        <w:gridCol w:w="166"/>
        <w:gridCol w:w="146"/>
        <w:gridCol w:w="211"/>
        <w:gridCol w:w="736"/>
        <w:gridCol w:w="166"/>
        <w:gridCol w:w="146"/>
        <w:gridCol w:w="163"/>
        <w:gridCol w:w="708"/>
        <w:gridCol w:w="376"/>
      </w:tblGrid>
      <w:tr>
        <w:trPr/>
        <w:tc>
          <w:tcPr>
            <w:tcW w:w="43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433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0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Three Months</w:t>
              <w:br/>
              <w:t>Ended 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pPr>
            <w:r>
              <w:rPr/>
              <w:t> </w:t>
            </w:r>
          </w:p>
        </w:tc>
      </w:tr>
      <w:tr>
        <w:trPr/>
        <w:tc>
          <w:tcPr>
            <w:tcW w:w="433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0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pPr>
            <w:r>
              <w:rPr/>
              <w:t> </w:t>
            </w:r>
          </w:p>
        </w:tc>
      </w:tr>
      <w:tr>
        <w:trPr/>
        <w:tc>
          <w:tcPr>
            <w:tcW w:w="433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3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0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7,622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9,476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(1,855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7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7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(25,008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(7,699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(17,309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7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225</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3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shd w:fill="auto" w:val="clear"/>
            <w:vAlign w:val="center"/>
          </w:tcPr>
          <w:p>
            <w:pPr>
              <w:pStyle w:val="TableContents"/>
              <w:spacing w:lineRule="auto" w:line="252" w:before="0" w:after="0"/>
              <w:ind w:left="0" w:right="0" w:hanging="0"/>
              <w:jc w:val="right"/>
              <w:rPr/>
            </w:pPr>
            <w:r>
              <w:rPr/>
              <w:t> </w:t>
            </w:r>
          </w:p>
        </w:tc>
        <w:tc>
          <w:tcPr>
            <w:tcW w:w="376" w:type="dxa"/>
            <w:tcBorders/>
            <w:shd w:fill="auto" w:val="clear"/>
            <w:vAlign w:val="center"/>
          </w:tcPr>
          <w:p>
            <w:pPr>
              <w:pStyle w:val="TableContents"/>
              <w:spacing w:lineRule="auto" w:line="252" w:before="0" w:after="0"/>
              <w:ind w:left="0" w:right="0" w:hanging="0"/>
              <w:jc w:val="right"/>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Increase (decrease) in cash and cash equivalents and</w:t>
              <w:br/>
              <w:t>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(17,810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(18,405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7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(3,098</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both"/>
        <w:rPr/>
      </w:pPr>
      <w:r>
        <w:rPr/>
        <w:t> </w:t>
      </w:r>
    </w:p>
    <w:p>
      <w:pPr>
        <w:pStyle w:val="TextBody"/>
        <w:spacing w:lineRule="auto" w:line="273" w:before="160" w:after="0"/>
        <w:jc w:val="both"/>
        <w:rPr>
          <w:rFonts w:ascii="Times New Roman" w:hAnsi="Times New Roman"/>
          <w:b/>
          <w:i/>
          <w:sz w:val="20"/>
        </w:rPr>
      </w:pPr>
      <w:r>
        <w:rPr>
          <w:rFonts w:ascii="Times New Roman" w:hAnsi="Times New Roman"/>
          <w:b/>
          <w:i/>
          <w:sz w:val="20"/>
        </w:rPr>
        <w:t>Operating Activities</w:t>
      </w:r>
    </w:p>
    <w:p>
      <w:pPr>
        <w:pStyle w:val="TextBody"/>
        <w:spacing w:lineRule="auto" w:line="273" w:before="120" w:after="0"/>
        <w:jc w:val="both"/>
        <w:rPr>
          <w:rFonts w:ascii="Times New Roman" w:hAnsi="Times New Roman"/>
          <w:b w:val="false"/>
          <w:i/>
          <w:sz w:val="20"/>
        </w:rPr>
      </w:pPr>
      <w:r>
        <w:rPr>
          <w:rFonts w:ascii="Times New Roman" w:hAnsi="Times New Roman"/>
          <w:b w:val="false"/>
          <w:i/>
          <w:sz w:val="20"/>
        </w:rPr>
        <w:t>Three Months Ended March 31, 2022 and March 31,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Cash from operating activities decreased $1.9 million or (20)%, to $7.6 million for the three months ended March 31, 2022 compared to the three months ended March 31, 2021. The components of this net decrease primarily consisted of the following changes in operating assets and liabilities: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An increase of $5.0 million in net income driven primarily by organic growth;</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An increase in stock based compensation expense of $1.1 million;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An increase in due from related parties of $5.7 million, primarily attributable to ECG's advisory agreement with Enhanced PC;</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A decrease in due to related parties of $1.8 million;</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273" w:before="0" w:after="0"/>
        <w:jc w:val="left"/>
        <w:rPr/>
      </w:pPr>
      <w:r>
        <w:rPr/>
        <w:t> </w:t>
      </w:r>
    </w:p>
    <w:p>
      <w:pPr>
        <w:pStyle w:val="TextBody"/>
        <w:spacing w:lineRule="auto" w:line="273" w:before="360" w:after="0"/>
        <w:jc w:val="both"/>
        <w:rPr>
          <w:rFonts w:ascii="Times New Roman" w:hAnsi="Times New Roman"/>
          <w:b/>
          <w:i/>
          <w:sz w:val="20"/>
        </w:rPr>
      </w:pPr>
      <w:r>
        <w:rPr>
          <w:rFonts w:ascii="Times New Roman" w:hAnsi="Times New Roman"/>
          <w:b/>
          <w:i/>
          <w:sz w:val="20"/>
        </w:rPr>
        <w:t>Investing activities</w:t>
      </w:r>
    </w:p>
    <w:p>
      <w:pPr>
        <w:pStyle w:val="TextBody"/>
        <w:spacing w:lineRule="auto" w:line="273" w:before="120" w:after="0"/>
        <w:jc w:val="both"/>
        <w:rPr>
          <w:rFonts w:ascii="Times New Roman" w:hAnsi="Times New Roman"/>
          <w:b w:val="false"/>
          <w:i/>
          <w:sz w:val="20"/>
        </w:rPr>
      </w:pPr>
      <w:r>
        <w:rPr>
          <w:rFonts w:ascii="Times New Roman" w:hAnsi="Times New Roman"/>
          <w:b w:val="false"/>
          <w:i/>
          <w:sz w:val="20"/>
        </w:rPr>
        <w:t>Three Months Ended March 31, 2022 and March 31,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cash used in investing activities decreased by $0.8 million, or (64)% to ($0.4) million, for the three months ended March 31, 2022 as compared to the three months ended March 31, 2021. This decrease in cash used was due almost entirely to the 2021 post-closing adjustment to the ECG working capital. There was no acquisition activity at the end of 2021 to carry over into 2022.</w:t>
      </w:r>
    </w:p>
    <w:p>
      <w:pPr>
        <w:pStyle w:val="TextBody"/>
        <w:spacing w:lineRule="auto" w:line="273" w:before="360" w:after="0"/>
        <w:jc w:val="both"/>
        <w:rPr>
          <w:rFonts w:ascii="Times New Roman" w:hAnsi="Times New Roman"/>
          <w:b/>
          <w:i/>
          <w:sz w:val="20"/>
        </w:rPr>
      </w:pPr>
      <w:r>
        <w:rPr>
          <w:rFonts w:ascii="Times New Roman" w:hAnsi="Times New Roman"/>
          <w:b/>
          <w:i/>
          <w:sz w:val="20"/>
        </w:rPr>
        <w:t>Financing Activities</w:t>
      </w:r>
    </w:p>
    <w:p>
      <w:pPr>
        <w:pStyle w:val="TextBody"/>
        <w:spacing w:lineRule="auto" w:line="273" w:before="120" w:after="0"/>
        <w:jc w:val="both"/>
        <w:rPr>
          <w:rFonts w:ascii="Times New Roman" w:hAnsi="Times New Roman"/>
          <w:b w:val="false"/>
          <w:i/>
          <w:sz w:val="20"/>
        </w:rPr>
      </w:pPr>
      <w:r>
        <w:rPr>
          <w:rFonts w:ascii="Times New Roman" w:hAnsi="Times New Roman"/>
          <w:b w:val="false"/>
          <w:i/>
          <w:sz w:val="20"/>
        </w:rPr>
        <w:t>Three Months Ended March 31, 2022 and March 31,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recorded a net $25.0 million for the three months ended March 31, 2022 for cash used in financing activities, as compared to cash used in financing activities of $7.7 million for the three months ended March 31, 2021. The $25.0 million of cash used in 2022 was entirely driven by the pay down in principal on the revolving credit facility in February 2022.</w:t>
      </w:r>
    </w:p>
    <w:p>
      <w:pPr>
        <w:pStyle w:val="TextBody"/>
        <w:spacing w:lineRule="auto" w:line="273" w:before="360" w:after="0"/>
        <w:jc w:val="both"/>
        <w:rPr>
          <w:rFonts w:ascii="Times New Roman" w:hAnsi="Times New Roman"/>
          <w:b/>
          <w:i/>
          <w:sz w:val="20"/>
        </w:rPr>
      </w:pPr>
      <w:r>
        <w:rPr>
          <w:rFonts w:ascii="Times New Roman" w:hAnsi="Times New Roman"/>
          <w:b/>
          <w:i/>
          <w:sz w:val="20"/>
        </w:rPr>
        <w:t>Future Sources and Uses of Liquidity</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w:t>
      </w:r>
    </w:p>
    <w:p>
      <w:pPr>
        <w:pStyle w:val="TextBody"/>
        <w:spacing w:lineRule="auto" w:line="273" w:before="360" w:after="0"/>
        <w:jc w:val="both"/>
        <w:rPr>
          <w:rFonts w:ascii="Times New Roman" w:hAnsi="Times New Roman"/>
          <w:b/>
          <w:sz w:val="20"/>
        </w:rPr>
      </w:pPr>
      <w:r>
        <w:rPr>
          <w:rFonts w:ascii="Times New Roman" w:hAnsi="Times New Roman"/>
          <w:b/>
          <w:sz w:val="20"/>
        </w:rPr>
        <w:t>Off Balance Sheet Arrangements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do not invest in any off-balance sheet vehicles that provide liquidity, capital resources, market or credit risk support, or engage in any activities that expose us to any liability that is not reflected in our consolidated financial statements.</w:t>
      </w:r>
    </w:p>
    <w:p>
      <w:pPr>
        <w:pStyle w:val="TextBody"/>
        <w:spacing w:lineRule="auto" w:line="273" w:before="360" w:after="0"/>
        <w:jc w:val="both"/>
        <w:rPr>
          <w:rFonts w:ascii="Times New Roman" w:hAnsi="Times New Roman"/>
          <w:b/>
          <w:sz w:val="20"/>
        </w:rPr>
      </w:pPr>
      <w:r>
        <w:rPr>
          <w:rFonts w:ascii="Times New Roman" w:hAnsi="Times New Roman"/>
          <w:b/>
          <w:sz w:val="20"/>
        </w:rPr>
        <w:t>Contractual Obligations, Commitments and Contingencies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the ordinary course of business, we enter contractual arrangements that require future cash payments. The following table sets forth information regarding our anticipated future cash payments under our contractual obligations as of March 31, 2022:</w:t>
      </w:r>
    </w:p>
    <w:p>
      <w:pPr>
        <w:pStyle w:val="TextBody"/>
        <w:spacing w:lineRule="auto" w:line="273" w:before="0" w:after="0"/>
        <w:jc w:val="both"/>
        <w:rPr/>
      </w:pPr>
      <w:r>
        <w:rPr/>
        <w:t> </w:t>
      </w:r>
    </w:p>
    <w:tbl>
      <w:tblPr>
        <w:tblW w:w="10205" w:type="dxa"/>
        <w:jc w:val="left"/>
        <w:tblInd w:w="0" w:type="dxa"/>
        <w:tblCellMar>
          <w:top w:w="28" w:type="dxa"/>
          <w:left w:w="28" w:type="dxa"/>
          <w:bottom w:w="28" w:type="dxa"/>
          <w:right w:w="28" w:type="dxa"/>
        </w:tblCellMar>
      </w:tblPr>
      <w:tblGrid>
        <w:gridCol w:w="1772"/>
        <w:gridCol w:w="146"/>
        <w:gridCol w:w="211"/>
        <w:gridCol w:w="781"/>
        <w:gridCol w:w="146"/>
        <w:gridCol w:w="146"/>
        <w:gridCol w:w="146"/>
        <w:gridCol w:w="211"/>
        <w:gridCol w:w="571"/>
        <w:gridCol w:w="146"/>
        <w:gridCol w:w="146"/>
        <w:gridCol w:w="211"/>
        <w:gridCol w:w="571"/>
        <w:gridCol w:w="146"/>
        <w:gridCol w:w="146"/>
        <w:gridCol w:w="211"/>
        <w:gridCol w:w="571"/>
        <w:gridCol w:w="146"/>
        <w:gridCol w:w="146"/>
        <w:gridCol w:w="211"/>
        <w:gridCol w:w="781"/>
        <w:gridCol w:w="146"/>
        <w:gridCol w:w="146"/>
        <w:gridCol w:w="211"/>
        <w:gridCol w:w="571"/>
        <w:gridCol w:w="146"/>
        <w:gridCol w:w="146"/>
        <w:gridCol w:w="239"/>
        <w:gridCol w:w="647"/>
        <w:gridCol w:w="391"/>
      </w:tblGrid>
      <w:tr>
        <w:trPr/>
        <w:tc>
          <w:tcPr>
            <w:tcW w:w="17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77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Thereafter</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77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896" w:type="dxa"/>
            <w:gridSpan w:val="27"/>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1772"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 xml:space="preserve">Operating lease obligations </w:t>
            </w:r>
            <w:r>
              <w:rPr>
                <w:rFonts w:ascii="Times New Roman" w:hAnsi="Times New Roman"/>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19,499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3,184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4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8,061</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1772"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 xml:space="preserve">Debt obligations </w:t>
            </w:r>
            <w:r>
              <w:rPr>
                <w:rFonts w:ascii="Times New Roman" w:hAnsi="Times New Roman"/>
                <w:b w:val="false"/>
                <w:sz w:val="13"/>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190,900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6,250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6,250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178,400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177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210,399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1,599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9,187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9,434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180,428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1,690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4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8,061</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lease office space under agreements that expire periodically through 2030. The table only includes guaranteed minimum lease payments under these agreements and does not project other related payments.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w:t>
      </w:r>
    </w:p>
    <w:p>
      <w:pPr>
        <w:pStyle w:val="TextBody"/>
        <w:spacing w:lineRule="auto" w:line="273"/>
        <w:jc w:val="left"/>
        <w:rPr>
          <w:rFonts w:ascii="Times New Roman" w:hAnsi="Times New Roman"/>
          <w:b w:val="false"/>
          <w:sz w:val="20"/>
        </w:rPr>
      </w:pPr>
      <w:r>
        <w:rPr>
          <w:rFonts w:ascii="Times New Roman" w:hAnsi="Times New Roman"/>
          <w:b w:val="false"/>
          <w:sz w:val="20"/>
        </w:rPr>
        <w:t>Debt obligations presented in the table reflect scheduled principal payments related to the various debt instruments of the Company.</w:t>
      </w:r>
    </w:p>
    <w:p>
      <w:pPr>
        <w:pStyle w:val="TextBody"/>
        <w:spacing w:lineRule="auto" w:line="273" w:before="200" w:after="0"/>
        <w:jc w:val="center"/>
        <w:rPr>
          <w:rFonts w:ascii="Times New Roman" w:hAnsi="Times New Roman"/>
          <w:b/>
          <w:sz w:val="20"/>
        </w:rPr>
      </w:pPr>
      <w:r>
        <w:rPr>
          <w:rFonts w:ascii="Times New Roman" w:hAnsi="Times New Roman"/>
          <w:b/>
          <w:sz w:val="20"/>
        </w:rPr>
        <w:t>Critical Accounting Policies and Estimates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judgements. See Note 2, “Significant Accounting Policies” for a summary of our significant accounting policies.</w:t>
      </w:r>
    </w:p>
    <w:p>
      <w:pPr>
        <w:pStyle w:val="TextBody"/>
        <w:spacing w:lineRule="auto" w:line="273" w:before="360" w:after="0"/>
        <w:jc w:val="both"/>
        <w:rPr>
          <w:rFonts w:ascii="Times New Roman" w:hAnsi="Times New Roman"/>
          <w:b/>
          <w:i/>
          <w:sz w:val="20"/>
        </w:rPr>
      </w:pPr>
      <w:r>
        <w:rPr>
          <w:rFonts w:ascii="Times New Roman" w:hAnsi="Times New Roman"/>
          <w:b/>
          <w:i/>
          <w:sz w:val="20"/>
        </w:rPr>
        <w:t>Basis of Presentation</w:t>
      </w:r>
    </w:p>
    <w:p>
      <w:pPr>
        <w:pStyle w:val="TextBody"/>
        <w:spacing w:lineRule="auto" w:line="273" w:before="120" w:after="0"/>
        <w:jc w:val="left"/>
        <w:rPr>
          <w:rFonts w:ascii="Times New Roman" w:hAnsi="Times New Roman"/>
          <w:sz w:val="20"/>
        </w:rPr>
      </w:pPr>
      <w:r>
        <w:rPr>
          <w:rFonts w:ascii="Times New Roman" w:hAnsi="Times New Roman"/>
          <w:b w:val="false"/>
          <w:sz w:val="20"/>
        </w:rPr>
        <w:t>The accompanying Consolidated Financial Statements are prepared in accordance with GAAP. Management believes it has made all necessary adjustments so that the Consolidated Financial Statements are presented fairly and that estimates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pStyle w:val="TextBody"/>
        <w:spacing w:lineRule="auto" w:line="273" w:before="360" w:after="0"/>
        <w:jc w:val="both"/>
        <w:rPr>
          <w:rFonts w:ascii="Times New Roman" w:hAnsi="Times New Roman"/>
          <w:b/>
          <w:i/>
          <w:sz w:val="20"/>
        </w:rPr>
      </w:pPr>
      <w:r>
        <w:rPr>
          <w:rFonts w:ascii="Times New Roman" w:hAnsi="Times New Roman"/>
          <w:b/>
          <w:i/>
          <w:sz w:val="20"/>
        </w:rPr>
        <w:t>Principles of Consolidation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Holdco, RCP 2, RCP 3, TrueBridge, Hark and Bonaccord. The assets and liabilities of the consolidated VIEs are presented gross in the Consolidated Balance Sheets. The liabilities of our consolidated VIE’s are obligations of those entities and their creditors do not generally have recourse to the assets of P10. See Note 7 for more information on both consolidated and unconsolidated VIEs.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Intermediate, P10 Holdings, and ECG are concluded to be consolidated subsidiaries of P10 under the voting interest model.</w:t>
      </w:r>
    </w:p>
    <w:p>
      <w:pPr>
        <w:pStyle w:val="TextBody"/>
        <w:spacing w:lineRule="auto" w:line="273" w:before="360" w:after="0"/>
        <w:jc w:val="both"/>
        <w:rPr>
          <w:rFonts w:ascii="Times New Roman" w:hAnsi="Times New Roman"/>
          <w:b/>
          <w:i/>
          <w:sz w:val="20"/>
        </w:rPr>
      </w:pPr>
      <w:r>
        <w:rPr>
          <w:rFonts w:ascii="Times New Roman" w:hAnsi="Times New Roman"/>
          <w:b/>
          <w:i/>
          <w:sz w:val="20"/>
        </w:rPr>
        <w:t>Revenue Recognition of Management Fees and Management Fees Received in Advance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On January 1, 2019, the Company adopted ASC 606, Revenue from Contracts with Customers (“ASC 606”) using the modified retrospective method. The adoption did not change the historical pattern of recognizing revenue for management fees. Accordingly, the Company did not record a cumulative adjustment upon adoption.</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Revenue is recognized when the Company transfers promised goods or services to customers in an amount that reflects the consideration to which the Company expects to be entitled to in exchange for those goods or services.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While the determination of who is the customer in a contractual arrangement will be made on a contract-by-contract basis, the customer will generally be the investment fund for the Company’s significant management and advisory contracts.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273" w:before="0" w:after="0"/>
        <w:jc w:val="left"/>
        <w:rPr/>
      </w:pPr>
      <w:r>
        <w:rPr/>
        <w:t> </w:t>
      </w:r>
    </w:p>
    <w:p>
      <w:pPr>
        <w:pStyle w:val="TextBody"/>
        <w:spacing w:lineRule="auto" w:line="273" w:before="360" w:after="0"/>
        <w:jc w:val="both"/>
        <w:rPr>
          <w:rFonts w:ascii="Times New Roman" w:hAnsi="Times New Roman"/>
          <w:b/>
          <w:i/>
          <w:sz w:val="20"/>
        </w:rPr>
      </w:pPr>
      <w:r>
        <w:rPr>
          <w:rFonts w:ascii="Times New Roman" w:hAnsi="Times New Roman"/>
          <w:b/>
          <w:i/>
          <w:sz w:val="20"/>
        </w:rPr>
        <w:t>Management and Advisory Fees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pStyle w:val="TextBody"/>
        <w:spacing w:lineRule="auto" w:line="273" w:before="360" w:after="0"/>
        <w:jc w:val="both"/>
        <w:rPr>
          <w:rFonts w:ascii="Times New Roman" w:hAnsi="Times New Roman"/>
          <w:b/>
          <w:i/>
          <w:sz w:val="20"/>
        </w:rPr>
      </w:pPr>
      <w:r>
        <w:rPr>
          <w:rFonts w:ascii="Times New Roman" w:hAnsi="Times New Roman"/>
          <w:b/>
          <w:i/>
          <w:sz w:val="20"/>
        </w:rPr>
        <w:t>Income Taxes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Current income tax expense represents our estimated taxes to be paid or refunded for the current period. In accordance with Accounting Standards Codification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file various federal and state and local tax returns based on federal and state local consolidation and stand- alone tax rules as applicable.</w:t>
      </w:r>
    </w:p>
    <w:p>
      <w:pPr>
        <w:pStyle w:val="TextBody"/>
        <w:spacing w:lineRule="auto" w:line="273" w:before="360" w:after="0"/>
        <w:jc w:val="left"/>
        <w:rPr>
          <w:rFonts w:ascii="Times New Roman" w:hAnsi="Times New Roman"/>
          <w:b/>
          <w:sz w:val="20"/>
        </w:rPr>
      </w:pPr>
      <w:bookmarkStart w:id="11" w:name="item_7a_qual_quan"/>
      <w:bookmarkEnd w:id="11"/>
      <w:r>
        <w:rPr>
          <w:rFonts w:ascii="Times New Roman" w:hAnsi="Times New Roman"/>
          <w:b/>
          <w:sz w:val="20"/>
        </w:rPr>
        <w:t>Item 3. Qualitative and Quantitative Disclosures about Market Risk.</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Fair value of the financial assets and liabilities of our specialized investment vehicles may fluctuate in response to changes in the value of underlying assets, and interest rates.</w:t>
      </w:r>
    </w:p>
    <w:p>
      <w:pPr>
        <w:pStyle w:val="TextBody"/>
        <w:spacing w:lineRule="auto" w:line="273" w:before="360" w:after="0"/>
        <w:jc w:val="both"/>
        <w:rPr>
          <w:rFonts w:ascii="Times New Roman" w:hAnsi="Times New Roman"/>
          <w:b/>
          <w:i/>
          <w:sz w:val="20"/>
        </w:rPr>
      </w:pPr>
      <w:r>
        <w:rPr>
          <w:rFonts w:ascii="Times New Roman" w:hAnsi="Times New Roman"/>
          <w:b/>
          <w:i/>
          <w:sz w:val="20"/>
        </w:rPr>
        <w:t>Interest Rate Risk</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As of March 31, 2022, we had $190.9 million in outstanding principal under our Term Loan and Revolving Credit Facility. The annual interest rate on the Term Loan is based on SOFR, subject to a floor of 0.10%, plus 2.00%. On March 31, 2022, the interest rate on these borrowings was 2.1% + SOFR. We estimate that a 100-basis point increase in the interest rate would result in an approximately $1.4 million increase in interest expense related to the loan over the next 12 months.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273" w:before="0" w:after="0"/>
        <w:jc w:val="left"/>
        <w:rPr/>
      </w:pPr>
      <w:r>
        <w:rPr/>
        <w:t> </w:t>
      </w:r>
    </w:p>
    <w:p>
      <w:pPr>
        <w:pStyle w:val="TextBody"/>
        <w:spacing w:lineRule="auto" w:line="273" w:before="360" w:after="0"/>
        <w:jc w:val="both"/>
        <w:rPr>
          <w:rFonts w:ascii="Times New Roman" w:hAnsi="Times New Roman"/>
          <w:b/>
          <w:i/>
          <w:sz w:val="20"/>
        </w:rPr>
      </w:pPr>
      <w:r>
        <w:rPr>
          <w:rFonts w:ascii="Times New Roman" w:hAnsi="Times New Roman"/>
          <w:b/>
          <w:i/>
          <w:sz w:val="20"/>
        </w:rPr>
        <w:t>Credit Risk</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pStyle w:val="TextBody"/>
        <w:spacing w:lineRule="auto" w:line="273" w:before="480" w:after="0"/>
        <w:jc w:val="left"/>
        <w:rPr/>
      </w:pPr>
      <w:r>
        <w:rPr/>
        <w:t> </w:t>
      </w:r>
    </w:p>
    <w:p>
      <w:pPr>
        <w:pStyle w:val="TextBody"/>
        <w:spacing w:lineRule="auto" w:line="273" w:before="360" w:after="0"/>
        <w:jc w:val="left"/>
        <w:rPr>
          <w:rFonts w:ascii="Times New Roman" w:hAnsi="Times New Roman"/>
          <w:b/>
          <w:sz w:val="20"/>
        </w:rPr>
      </w:pPr>
      <w:bookmarkStart w:id="12" w:name="controls_and_procedures"/>
      <w:bookmarkEnd w:id="12"/>
      <w:r>
        <w:rPr>
          <w:rFonts w:ascii="Times New Roman" w:hAnsi="Times New Roman"/>
          <w:b/>
          <w:sz w:val="20"/>
        </w:rPr>
        <w:t>Item 4. Controls and Procedures</w:t>
      </w:r>
    </w:p>
    <w:p>
      <w:pPr>
        <w:pStyle w:val="TextBody"/>
        <w:spacing w:lineRule="auto" w:line="273" w:before="120" w:after="0"/>
        <w:jc w:val="left"/>
        <w:rPr>
          <w:rFonts w:ascii="Times New Roman" w:hAnsi="Times New Roman"/>
          <w:b/>
          <w:i/>
          <w:sz w:val="20"/>
        </w:rPr>
      </w:pPr>
      <w:r>
        <w:rPr>
          <w:rFonts w:ascii="Times New Roman" w:hAnsi="Times New Roman"/>
          <w:b/>
          <w:i/>
          <w:sz w:val="20"/>
        </w:rPr>
        <w:t>Disclosure Controls and Procedures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judgement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Co-Chief Executive Officers and Chief Financial Officer, as appropriate, to allow timely decisions regarding required disclosures.</w:t>
      </w:r>
    </w:p>
    <w:p>
      <w:pPr>
        <w:pStyle w:val="TextBody"/>
        <w:spacing w:lineRule="auto" w:line="273" w:before="360" w:after="0"/>
        <w:jc w:val="left"/>
        <w:rPr>
          <w:rFonts w:ascii="Times New Roman" w:hAnsi="Times New Roman"/>
          <w:b/>
          <w:i/>
          <w:sz w:val="20"/>
        </w:rPr>
      </w:pPr>
      <w:r>
        <w:rPr>
          <w:rFonts w:ascii="Times New Roman" w:hAnsi="Times New Roman"/>
          <w:b/>
          <w:i/>
          <w:sz w:val="20"/>
        </w:rPr>
        <w:t>Changes in Internal Controls over Financial Reporting</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There have been no changes in our internal control over financial reporting (as such term is defined in Rules 13a-15(f) and 15d-15(f) under the Exchange Act) during our most recent quarter ended March 31, 2022 that have materially affected, or are reasonably likely to materially affect, our internal control over financial reporting.</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273" w:before="0" w:after="0"/>
        <w:jc w:val="left"/>
        <w:rPr/>
      </w:pPr>
      <w:r>
        <w:rPr/>
        <w:t> </w:t>
      </w:r>
    </w:p>
    <w:p>
      <w:pPr>
        <w:pStyle w:val="TextBody"/>
        <w:spacing w:lineRule="auto" w:line="273" w:before="200" w:after="0"/>
        <w:jc w:val="center"/>
        <w:rPr>
          <w:rFonts w:ascii="Times New Roman" w:hAnsi="Times New Roman"/>
          <w:sz w:val="20"/>
        </w:rPr>
      </w:pPr>
      <w:bookmarkStart w:id="13" w:name="part_2"/>
      <w:bookmarkEnd w:id="13"/>
      <w:r>
        <w:rPr>
          <w:rFonts w:ascii="Times New Roman" w:hAnsi="Times New Roman"/>
          <w:b/>
          <w:sz w:val="20"/>
        </w:rPr>
        <w:t>PART II</w:t>
      </w:r>
      <w:r>
        <w:rPr>
          <w:rFonts w:ascii="Times New Roman" w:hAnsi="Times New Roman"/>
          <w:sz w:val="20"/>
        </w:rPr>
        <w:t xml:space="preserve"> </w:t>
      </w:r>
      <w:r>
        <w:rPr>
          <w:rFonts w:ascii="Times New Roman" w:hAnsi="Times New Roman"/>
          <w:b/>
          <w:sz w:val="20"/>
        </w:rPr>
        <w:t>- OTHER INFORMATION</w:t>
      </w:r>
    </w:p>
    <w:p>
      <w:pPr>
        <w:pStyle w:val="TextBody"/>
        <w:spacing w:lineRule="auto" w:line="273" w:before="0" w:after="0"/>
        <w:jc w:val="left"/>
        <w:rPr/>
      </w:pPr>
      <w:r>
        <w:rPr/>
        <w:t> </w:t>
      </w:r>
    </w:p>
    <w:p>
      <w:pPr>
        <w:pStyle w:val="TextBody"/>
        <w:spacing w:lineRule="auto" w:line="273" w:before="160" w:after="0"/>
        <w:jc w:val="left"/>
        <w:rPr>
          <w:rFonts w:ascii="Times New Roman" w:hAnsi="Times New Roman"/>
          <w:b/>
          <w:sz w:val="20"/>
        </w:rPr>
      </w:pPr>
      <w:bookmarkStart w:id="14" w:name="item_5_legal_proceedings"/>
      <w:bookmarkEnd w:id="14"/>
      <w:r>
        <w:rPr>
          <w:rFonts w:ascii="Times New Roman" w:hAnsi="Times New Roman"/>
          <w:b/>
          <w:sz w:val="20"/>
        </w:rPr>
        <w:t>Item 1. Legal Proceedings.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information required with respect to this item can be found under “Contingencies” in Note 14, Commitments and Contingencies, to our consolidated financial statements included elsewhere in this annual report, and such information is incorporated by reference into this Item 1.</w:t>
      </w:r>
    </w:p>
    <w:p>
      <w:pPr>
        <w:pStyle w:val="TextBody"/>
        <w:spacing w:lineRule="auto" w:line="273" w:before="120" w:after="0"/>
        <w:jc w:val="left"/>
        <w:rPr/>
      </w:pPr>
      <w:r>
        <w:rPr/>
        <w:t> </w:t>
      </w:r>
    </w:p>
    <w:p>
      <w:pPr>
        <w:pStyle w:val="TextBody"/>
        <w:spacing w:lineRule="auto" w:line="273" w:before="160" w:after="0"/>
        <w:jc w:val="left"/>
        <w:rPr>
          <w:rFonts w:ascii="Times New Roman" w:hAnsi="Times New Roman"/>
          <w:b/>
          <w:sz w:val="20"/>
        </w:rPr>
      </w:pPr>
      <w:bookmarkStart w:id="15" w:name="item_6_risk_factors"/>
      <w:bookmarkEnd w:id="15"/>
      <w:r>
        <w:rPr>
          <w:rFonts w:ascii="Times New Roman" w:hAnsi="Times New Roman"/>
          <w:b/>
          <w:sz w:val="20"/>
        </w:rPr>
        <w:t>Item 1A. Risk Factors.</w:t>
      </w:r>
    </w:p>
    <w:p>
      <w:pPr>
        <w:pStyle w:val="TextBody"/>
        <w:spacing w:lineRule="auto" w:line="273" w:before="160" w:after="0"/>
        <w:jc w:val="left"/>
        <w:rPr>
          <w:rFonts w:ascii="Times New Roman" w:hAnsi="Times New Roman"/>
          <w:sz w:val="20"/>
        </w:rPr>
      </w:pPr>
      <w:r>
        <w:rPr>
          <w:rFonts w:ascii="Times New Roman" w:hAnsi="Times New Roman"/>
          <w:b w:val="false"/>
          <w:sz w:val="20"/>
        </w:rPr>
        <w:t>There have been no material changes from the risk factors previously disclosed in “Risk Factors” included in our annual report on Form 10-K for the year ended December 31, 2021.</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160" w:after="0"/>
        <w:jc w:val="left"/>
        <w:rPr>
          <w:rFonts w:ascii="Times New Roman" w:hAnsi="Times New Roman"/>
          <w:b/>
          <w:sz w:val="20"/>
        </w:rPr>
      </w:pPr>
      <w:bookmarkStart w:id="16" w:name="item_7_unregistered_sale"/>
      <w:bookmarkEnd w:id="16"/>
      <w:r>
        <w:rPr>
          <w:rFonts w:ascii="Times New Roman" w:hAnsi="Times New Roman"/>
          <w:b/>
          <w:sz w:val="20"/>
        </w:rPr>
        <w:t>Item 2. Unregistered Sales of Equity Securities and Use of Proceeds.</w:t>
      </w:r>
    </w:p>
    <w:p>
      <w:pPr>
        <w:pStyle w:val="TextBody"/>
        <w:spacing w:lineRule="auto" w:line="273" w:before="160" w:after="0"/>
        <w:jc w:val="left"/>
        <w:rPr>
          <w:rFonts w:ascii="Times New Roman" w:hAnsi="Times New Roman"/>
          <w:b w:val="false"/>
          <w:sz w:val="20"/>
        </w:rPr>
      </w:pPr>
      <w:r>
        <w:rPr>
          <w:rFonts w:ascii="Times New Roman" w:hAnsi="Times New Roman"/>
          <w:b w:val="false"/>
          <w:sz w:val="20"/>
        </w:rPr>
        <w:t>Not applicable.</w:t>
      </w:r>
    </w:p>
    <w:p>
      <w:pPr>
        <w:pStyle w:val="TextBody"/>
        <w:spacing w:lineRule="auto" w:line="273" w:before="160" w:after="0"/>
        <w:jc w:val="left"/>
        <w:rPr>
          <w:rFonts w:ascii="Times New Roman" w:hAnsi="Times New Roman"/>
          <w:b/>
          <w:sz w:val="20"/>
        </w:rPr>
      </w:pPr>
      <w:bookmarkStart w:id="17" w:name="item_7a_default"/>
      <w:bookmarkEnd w:id="17"/>
      <w:r>
        <w:rPr>
          <w:rFonts w:ascii="Times New Roman" w:hAnsi="Times New Roman"/>
          <w:b/>
          <w:sz w:val="20"/>
        </w:rPr>
        <w:t>Item 3. Defaults Upon Senior Securities.</w:t>
      </w:r>
    </w:p>
    <w:p>
      <w:pPr>
        <w:pStyle w:val="TextBody"/>
        <w:spacing w:lineRule="auto" w:line="273" w:before="160" w:after="0"/>
        <w:jc w:val="left"/>
        <w:rPr>
          <w:rFonts w:ascii="Times New Roman" w:hAnsi="Times New Roman"/>
          <w:b w:val="false"/>
          <w:sz w:val="20"/>
        </w:rPr>
      </w:pPr>
      <w:r>
        <w:rPr>
          <w:rFonts w:ascii="Times New Roman" w:hAnsi="Times New Roman"/>
          <w:b w:val="false"/>
          <w:sz w:val="20"/>
        </w:rPr>
        <w:t>Not applicable.</w:t>
      </w:r>
    </w:p>
    <w:p>
      <w:pPr>
        <w:pStyle w:val="TextBody"/>
        <w:spacing w:lineRule="auto" w:line="273" w:before="160" w:after="0"/>
        <w:jc w:val="left"/>
        <w:rPr>
          <w:rFonts w:ascii="Times New Roman" w:hAnsi="Times New Roman"/>
          <w:b/>
          <w:sz w:val="20"/>
        </w:rPr>
      </w:pPr>
      <w:bookmarkStart w:id="18" w:name="item_8_mine_safety"/>
      <w:bookmarkEnd w:id="18"/>
      <w:r>
        <w:rPr>
          <w:rFonts w:ascii="Times New Roman" w:hAnsi="Times New Roman"/>
          <w:b/>
          <w:sz w:val="20"/>
        </w:rPr>
        <w:t>Item 4. Mine Safety Disclosures.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Not applicable.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19" w:name="item_9_other_info"/>
      <w:bookmarkEnd w:id="19"/>
      <w:r>
        <w:rPr>
          <w:rFonts w:ascii="Times New Roman" w:hAnsi="Times New Roman"/>
          <w:b/>
          <w:sz w:val="20"/>
        </w:rPr>
        <w:t>Item 5. Other Information</w:t>
      </w:r>
    </w:p>
    <w:p>
      <w:pPr>
        <w:pStyle w:val="TextBody"/>
        <w:spacing w:lineRule="auto" w:line="273" w:before="160" w:after="0"/>
        <w:jc w:val="left"/>
        <w:rPr>
          <w:rFonts w:ascii="Times New Roman" w:hAnsi="Times New Roman"/>
          <w:b w:val="false"/>
          <w:sz w:val="20"/>
        </w:rPr>
      </w:pPr>
      <w:r>
        <w:rPr>
          <w:rFonts w:ascii="Times New Roman" w:hAnsi="Times New Roman"/>
          <w:b w:val="false"/>
          <w:sz w:val="20"/>
        </w:rPr>
        <w:t>Not applicable.</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43</w:t>
      </w:r>
    </w:p>
    <w:p>
      <w:pPr>
        <w:pStyle w:val="HorizontalLine"/>
        <w:rPr/>
      </w:pPr>
      <w:r>
        <w:rPr/>
      </w:r>
    </w:p>
    <w:p>
      <w:pPr>
        <w:pStyle w:val="TextBody"/>
        <w:spacing w:lineRule="auto" w:line="273" w:before="0" w:after="0"/>
        <w:jc w:val="left"/>
        <w:rPr/>
      </w:pPr>
      <w:r>
        <w:rPr/>
        <w:t> </w:t>
      </w:r>
    </w:p>
    <w:p>
      <w:pPr>
        <w:pStyle w:val="TextBody"/>
        <w:spacing w:lineRule="auto" w:line="549" w:before="240" w:after="0"/>
        <w:jc w:val="left"/>
        <w:rPr>
          <w:rFonts w:ascii="Times New Roman" w:hAnsi="Times New Roman"/>
          <w:sz w:val="20"/>
        </w:rPr>
      </w:pPr>
      <w:bookmarkStart w:id="20" w:name="item_6a_exhibits"/>
      <w:bookmarkStart w:id="21" w:name="item_15_exhibits_financial"/>
      <w:bookmarkEnd w:id="20"/>
      <w:bookmarkEnd w:id="21"/>
      <w:r>
        <w:rPr>
          <w:rFonts w:ascii="Times New Roman" w:hAnsi="Times New Roman"/>
          <w:b/>
          <w:sz w:val="20"/>
        </w:rPr>
        <w:t>Item 6. Exhibits.</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807"/>
        <w:gridCol w:w="146"/>
        <w:gridCol w:w="9252"/>
      </w:tblGrid>
      <w:tr>
        <w:trPr/>
        <w:tc>
          <w:tcPr>
            <w:tcW w:w="8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52" w:type="dxa"/>
            <w:tcBorders/>
            <w:shd w:fill="auto" w:val="clear"/>
            <w:vAlign w:val="center"/>
          </w:tcPr>
          <w:p>
            <w:pPr>
              <w:pStyle w:val="TableContents"/>
              <w:spacing w:before="0" w:after="283"/>
              <w:rPr>
                <w:sz w:val="4"/>
                <w:szCs w:val="4"/>
              </w:rPr>
            </w:pPr>
            <w:r>
              <w:rPr>
                <w:sz w:val="4"/>
                <w:szCs w:val="4"/>
              </w:rPr>
            </w:r>
          </w:p>
        </w:tc>
      </w:tr>
      <w:tr>
        <w:trPr/>
        <w:tc>
          <w:tcPr>
            <w:tcW w:w="8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Exhibit</w:t>
            </w:r>
          </w:p>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Description</w:t>
            </w:r>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hyperlink r:id="rId2">
              <w:r>
                <w:rPr>
                  <w:rStyle w:val="InternetLink"/>
                  <w:rFonts w:ascii="Times New Roman" w:hAnsi="Times New Roman"/>
                  <w:b w:val="false"/>
                  <w:sz w:val="20"/>
                  <w:u w:val="single"/>
                </w:rPr>
                <w:t>Amended and Restated Certificate of Incorporation of P10, Inc. (incorporated by reference to Exhibit 3.1 to the Company’s Current Report on Form 8-K filed on October 26, 2021).</w:t>
              </w:r>
            </w:hyperlink>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hyperlink r:id="rId3">
              <w:r>
                <w:rPr>
                  <w:rStyle w:val="InternetLink"/>
                  <w:rFonts w:ascii="Times New Roman" w:hAnsi="Times New Roman"/>
                  <w:b w:val="false"/>
                  <w:sz w:val="20"/>
                  <w:u w:val="single"/>
                </w:rPr>
                <w:t>Amended and Restated Bylaws of P10, Inc. (incorporated by reference to Exhibit 3.2 to the Company’s Current Report on Form 8-K filed on October 26, 2021).</w:t>
              </w:r>
            </w:hyperlink>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hyperlink r:id="rId4">
              <w:r>
                <w:rPr>
                  <w:rStyle w:val="InternetLink"/>
                  <w:rFonts w:ascii="Times New Roman" w:hAnsi="Times New Roman"/>
                  <w:b w:val="false"/>
                  <w:sz w:val="20"/>
                  <w:u w:val="single"/>
                </w:rPr>
                <w:t>Rights Agreement, dated as of October 20, 2021, by and among the Company and American Stock Transfer &amp; Trust Company, LLC, as rights agent (incorporate by reference to Exhibit 4.1 to the Company’s Current Report on Form 8-K filed on October 26, 2021).</w:t>
              </w:r>
            </w:hyperlink>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hyperlink w:anchor="px-ex31_1.htm">
              <w:r>
                <w:rPr>
                  <w:rStyle w:val="InternetLink"/>
                  <w:rFonts w:ascii="Times New Roman" w:hAnsi="Times New Roman"/>
                  <w:b w:val="false"/>
                  <w:sz w:val="20"/>
                  <w:u w:val="single"/>
                </w:rPr>
                <w:t>Certification of Co-Chief Executive Officer Pursuant to Rules 13a-14(a) and 15d-14(a) under the Securities Exchange Act of 1934, as Adopted Pursuant to Section 302 of the Sarbanes-Oxley Act of 2002.</w:t>
              </w:r>
            </w:hyperlink>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hyperlink w:anchor="px-ex31_2.htm">
              <w:r>
                <w:rPr>
                  <w:rStyle w:val="InternetLink"/>
                  <w:rFonts w:ascii="Times New Roman" w:hAnsi="Times New Roman"/>
                  <w:b w:val="false"/>
                  <w:sz w:val="20"/>
                  <w:u w:val="single"/>
                </w:rPr>
                <w:t>Certification of Co-Chief Executive Officer Pursuant to Rules 13a-14(a) and 15d-14(a) under the Securities Exchange Act of 1934, as Adopted Pursuant to Section 302 of the Sarbanes-Oxley Act of 2002.</w:t>
              </w:r>
            </w:hyperlink>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hyperlink w:anchor="px-ex31_3.htm">
              <w:r>
                <w:rPr>
                  <w:rStyle w:val="InternetLink"/>
                  <w:rFonts w:ascii="Times New Roman" w:hAnsi="Times New Roman"/>
                  <w:b w:val="false"/>
                  <w:sz w:val="20"/>
                  <w:u w:val="single"/>
                </w:rPr>
                <w:t>Certification of Chief Financial Officer Pursuant to Rules 13a-14(a) and 15d-14(a) under the Securities Exchange Act of 1934, as Adopted Pursuant to Section 302 of the Sarbanes-Oxley Act of 2002.</w:t>
              </w:r>
            </w:hyperlink>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hyperlink w:anchor="px-ex32_1.htm">
              <w:r>
                <w:rPr>
                  <w:rStyle w:val="InternetLink"/>
                  <w:rFonts w:ascii="Times New Roman" w:hAnsi="Times New Roman"/>
                  <w:b w:val="false"/>
                  <w:sz w:val="20"/>
                  <w:u w:val="single"/>
                </w:rPr>
                <w:t>Certification of Co-Chief Executive Officer Pursuant to 18 U.S.C. Section 1350, as Adopted Pursuant to Section 906 of the Sarbanes-Oxley Act of 2002.</w:t>
              </w:r>
            </w:hyperlink>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hyperlink w:anchor="px-ex32_2.htm">
              <w:r>
                <w:rPr>
                  <w:rStyle w:val="InternetLink"/>
                  <w:rFonts w:ascii="Times New Roman" w:hAnsi="Times New Roman"/>
                  <w:b w:val="false"/>
                  <w:sz w:val="20"/>
                  <w:u w:val="single"/>
                </w:rPr>
                <w:t>Certification of Co-Chief Executive Officer Pursuant to 18 U.S.C. Section 1350, as Adopted Pursuant to Section 906 of the Sarbanes-Oxley Act of 2002.</w:t>
              </w:r>
            </w:hyperlink>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hyperlink w:anchor="px-ex32_3.htm">
              <w:r>
                <w:rPr>
                  <w:rStyle w:val="InternetLink"/>
                  <w:rFonts w:ascii="Times New Roman" w:hAnsi="Times New Roman"/>
                  <w:b w:val="false"/>
                  <w:sz w:val="20"/>
                  <w:u w:val="single"/>
                </w:rPr>
                <w:t>Certification of Chief Financial Officer Pursuant to 18 U.S.C. Section 1350, as Adopted Pursuant to Section 906 of the Sarbanes-Oxley Act of 2002.</w:t>
              </w:r>
            </w:hyperlink>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101.INS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Instance Document</w:t>
            </w:r>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101.SCH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Schema Document</w:t>
            </w:r>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101.CAL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Calculation Linkbase Document</w:t>
            </w:r>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101.DEF</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Definition Linkbase Document</w:t>
            </w:r>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101.LAB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Label Linkbase Document</w:t>
            </w:r>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101.PRE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Presentation Linkbase Document</w:t>
            </w:r>
          </w:p>
        </w:tc>
      </w:tr>
      <w:tr>
        <w:trPr/>
        <w:tc>
          <w:tcPr>
            <w:tcW w:w="80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pPr>
            <w:r>
              <w:rPr/>
              <w:t> </w:t>
            </w:r>
          </w:p>
        </w:tc>
      </w:tr>
      <w:tr>
        <w:trPr/>
        <w:tc>
          <w:tcPr>
            <w:tcW w:w="8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Cover Page Interactive Data File (embedded within the Inline XBRL document)</w:t>
            </w:r>
          </w:p>
        </w:tc>
      </w:tr>
    </w:tbl>
    <w:p>
      <w:pPr>
        <w:pStyle w:val="TextBody"/>
        <w:pBdr>
          <w:bottom w:val="single" w:sz="8" w:space="1" w:color="000000"/>
        </w:pBdr>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Filed herewith.</w:t>
      </w:r>
    </w:p>
    <w:p>
      <w:pPr>
        <w:pStyle w:val="TextBody"/>
        <w:spacing w:lineRule="auto" w:line="273" w:before="0" w:after="0"/>
        <w:jc w:val="left"/>
        <w:rPr/>
      </w:pPr>
      <w:r>
        <w:rPr/>
        <w:t> </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22" w:name="signatures"/>
      <w:bookmarkEnd w:id="22"/>
      <w:r>
        <w:rPr>
          <w:rFonts w:ascii="Times New Roman" w:hAnsi="Times New Roman"/>
          <w:b/>
          <w:sz w:val="20"/>
        </w:rPr>
        <w:t>SIGNATURES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Pursuant to the requirements of the Securities Exchange Act of 1934, the registrant has duly caused this report to be signed on its behalf by the undersigned, thereunto duly authorized.</w:t>
      </w:r>
    </w:p>
    <w:p>
      <w:pPr>
        <w:pStyle w:val="TextBody"/>
        <w:spacing w:lineRule="auto" w:line="273" w:before="240" w:after="0"/>
        <w:jc w:val="left"/>
        <w:rPr/>
      </w:pPr>
      <w:r>
        <w:rPr/>
        <w:t>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40"/>
        <w:gridCol w:w="146"/>
        <w:gridCol w:w="400"/>
        <w:gridCol w:w="8019"/>
      </w:tblGrid>
      <w:tr>
        <w:trPr/>
        <w:tc>
          <w:tcPr>
            <w:tcW w:w="16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019" w:type="dxa"/>
            <w:tcBorders/>
            <w:shd w:fill="auto" w:val="clear"/>
            <w:vAlign w:val="center"/>
          </w:tcPr>
          <w:p>
            <w:pPr>
              <w:pStyle w:val="TableContents"/>
              <w:spacing w:before="0" w:after="283"/>
              <w:rPr>
                <w:sz w:val="4"/>
                <w:szCs w:val="4"/>
              </w:rPr>
            </w:pPr>
            <w:r>
              <w:rPr>
                <w:sz w:val="4"/>
                <w:szCs w:val="4"/>
              </w:rPr>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419"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P10, Inc.</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0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8019"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Robert Alpert</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0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Robert Alpert</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0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Co-Chief Executive Officer and Chairman of the Board of Directors (Co-Principal Executive Officer)</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0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8019"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C. Clark Webb</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0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 Clark Webb</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0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Co-Chief Executive Officer and Director (Co-Principal Executive Officer)</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0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80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Amanda Coussens</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0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Amanda Coussens</w:t>
            </w:r>
          </w:p>
        </w:tc>
      </w:tr>
      <w:tr>
        <w:trPr/>
        <w:tc>
          <w:tcPr>
            <w:tcW w:w="16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0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Financial Officer (Principal Financial Officer and Principal Accounting Officer)</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45</w:t>
      </w:r>
    </w:p>
    <w:p>
      <w:pPr>
        <w:pStyle w:val="HorizontalLine"/>
        <w:rPr/>
      </w:pPr>
      <w:r>
        <w:rPr/>
      </w:r>
      <w:r>
        <w:br w:type="page"/>
      </w:r>
    </w:p>
    <w:p>
      <w:pPr>
        <w:pStyle w:val="TextBody"/>
        <w:spacing w:lineRule="auto" w:line="273" w:before="0" w:after="0"/>
        <w:jc w:val="right"/>
        <w:rPr>
          <w:rFonts w:ascii="Times New Roman" w:hAnsi="Times New Roman"/>
          <w:b/>
          <w:sz w:val="20"/>
        </w:rPr>
      </w:pPr>
      <w:bookmarkStart w:id="23" w:name="exhibit_31_1"/>
      <w:bookmarkStart w:id="24" w:name="px-ex31_1.htm"/>
      <w:bookmarkStart w:id="25" w:name="kspxex31_1"/>
      <w:bookmarkEnd w:id="23"/>
      <w:bookmarkEnd w:id="24"/>
      <w:bookmarkEnd w:id="25"/>
      <w:r>
        <w:rPr>
          <w:rFonts w:ascii="Times New Roman" w:hAnsi="Times New Roman"/>
          <w:b/>
          <w:sz w:val="20"/>
        </w:rPr>
        <w:t>Exhibit 31.1</w:t>
      </w:r>
    </w:p>
    <w:p>
      <w:pPr>
        <w:pStyle w:val="TextBody"/>
        <w:spacing w:lineRule="auto" w:line="273"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spacing w:lineRule="auto" w:line="273" w:before="0" w:after="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 Robert Alpert, certify that: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 have reviewed this Form 10-Q of P10, Inc.;</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 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4724" w:type="dxa"/>
        <w:jc w:val="left"/>
        <w:tblInd w:w="0" w:type="dxa"/>
        <w:tblCellMar>
          <w:top w:w="28" w:type="dxa"/>
          <w:left w:w="28" w:type="dxa"/>
          <w:bottom w:w="28" w:type="dxa"/>
          <w:right w:w="28" w:type="dxa"/>
        </w:tblCellMar>
      </w:tblPr>
      <w:tblGrid>
        <w:gridCol w:w="1741"/>
        <w:gridCol w:w="146"/>
        <w:gridCol w:w="406"/>
        <w:gridCol w:w="243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43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Robert Alpert</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Robert Alpert</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Co-Chief Executive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26" w:name="exhibit_31_2"/>
      <w:bookmarkStart w:id="27" w:name="px-ex31_2.htm"/>
      <w:bookmarkStart w:id="28" w:name="kspxex31_2"/>
      <w:bookmarkEnd w:id="26"/>
      <w:bookmarkEnd w:id="27"/>
      <w:bookmarkEnd w:id="28"/>
      <w:r>
        <w:rPr>
          <w:rFonts w:ascii="Times New Roman" w:hAnsi="Times New Roman"/>
          <w:b/>
          <w:sz w:val="20"/>
        </w:rPr>
        <w:t>Exhibit 31.2</w:t>
      </w:r>
    </w:p>
    <w:p>
      <w:pPr>
        <w:pStyle w:val="TextBody"/>
        <w:spacing w:lineRule="auto" w:line="273"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spacing w:lineRule="auto" w:line="273" w:before="0" w:after="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 C. Clark Webb, certify that: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 have reviewed this Form 10-Q of P10, Inc.;</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 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4724" w:type="dxa"/>
        <w:jc w:val="left"/>
        <w:tblInd w:w="0" w:type="dxa"/>
        <w:tblCellMar>
          <w:top w:w="28" w:type="dxa"/>
          <w:left w:w="28" w:type="dxa"/>
          <w:bottom w:w="28" w:type="dxa"/>
          <w:right w:w="28" w:type="dxa"/>
        </w:tblCellMar>
      </w:tblPr>
      <w:tblGrid>
        <w:gridCol w:w="1741"/>
        <w:gridCol w:w="146"/>
        <w:gridCol w:w="406"/>
        <w:gridCol w:w="243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43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C. Clark Webb</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 Clark Webb</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Co-Chief Executive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29" w:name="exhibit_31_3"/>
      <w:bookmarkStart w:id="30" w:name="px-ex31_3.htm"/>
      <w:bookmarkStart w:id="31" w:name="kspxex31_3"/>
      <w:bookmarkEnd w:id="29"/>
      <w:bookmarkEnd w:id="30"/>
      <w:bookmarkEnd w:id="31"/>
      <w:r>
        <w:rPr>
          <w:rFonts w:ascii="Times New Roman" w:hAnsi="Times New Roman"/>
          <w:b/>
          <w:sz w:val="20"/>
        </w:rPr>
        <w:t>Exhibit 31.3</w:t>
      </w:r>
    </w:p>
    <w:p>
      <w:pPr>
        <w:pStyle w:val="TextBody"/>
        <w:spacing w:lineRule="auto" w:line="273"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spacing w:lineRule="auto" w:line="273" w:before="0" w:after="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 Amanda Coussens, certify that: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 have reviewed this Form 10-Q of P10, Inc.;</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 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4394" w:type="dxa"/>
        <w:jc w:val="left"/>
        <w:tblInd w:w="0" w:type="dxa"/>
        <w:tblCellMar>
          <w:top w:w="28" w:type="dxa"/>
          <w:left w:w="28" w:type="dxa"/>
          <w:bottom w:w="28" w:type="dxa"/>
          <w:right w:w="28" w:type="dxa"/>
        </w:tblCellMar>
      </w:tblPr>
      <w:tblGrid>
        <w:gridCol w:w="1741"/>
        <w:gridCol w:w="146"/>
        <w:gridCol w:w="406"/>
        <w:gridCol w:w="210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10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Amanda Coussens</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Amanda Coussens</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Financial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32" w:name="exhibit_32_1"/>
      <w:bookmarkStart w:id="33" w:name="px-ex32_1.htm"/>
      <w:bookmarkStart w:id="34" w:name="kspxex32_1"/>
      <w:bookmarkEnd w:id="32"/>
      <w:bookmarkEnd w:id="33"/>
      <w:bookmarkEnd w:id="34"/>
      <w:r>
        <w:rPr>
          <w:rFonts w:ascii="Times New Roman" w:hAnsi="Times New Roman"/>
          <w:b/>
          <w:sz w:val="20"/>
        </w:rPr>
        <w:t>Exhibit 32.1</w:t>
      </w:r>
    </w:p>
    <w:p>
      <w:pPr>
        <w:pStyle w:val="TextBody"/>
        <w:spacing w:lineRule="auto" w:line="273"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connection with the Quarterly Report of P10, Inc. (the “Company”) on Form 10-Q for the quarter ended March 31, 2022 as filed with the Securities and Exchange Commission on the date hereof (the “Report”), I certify, pursuant to 18 U.S.C. § 1350, as adopted pursuant to § 906 of the Sarbanes-Oxley Act of 2002, that:</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(1) The Report fully complies with the requirements of section 13(a) or 15(d) of the Securities Exchange Act of 1934; and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 The information contained in the Report fairly presents, in all material respects, the financial condition and result of operations of the Company.</w:t>
      </w:r>
    </w:p>
    <w:p>
      <w:pPr>
        <w:pStyle w:val="TextBody"/>
        <w:spacing w:lineRule="auto" w:line="273" w:before="0" w:after="0"/>
        <w:jc w:val="left"/>
        <w:rPr/>
      </w:pPr>
      <w:r>
        <w:rPr/>
        <w:t> </w:t>
      </w:r>
    </w:p>
    <w:tbl>
      <w:tblPr>
        <w:tblW w:w="4724" w:type="dxa"/>
        <w:jc w:val="left"/>
        <w:tblInd w:w="0" w:type="dxa"/>
        <w:tblCellMar>
          <w:top w:w="28" w:type="dxa"/>
          <w:left w:w="28" w:type="dxa"/>
          <w:bottom w:w="28" w:type="dxa"/>
          <w:right w:w="28" w:type="dxa"/>
        </w:tblCellMar>
      </w:tblPr>
      <w:tblGrid>
        <w:gridCol w:w="1741"/>
        <w:gridCol w:w="146"/>
        <w:gridCol w:w="406"/>
        <w:gridCol w:w="243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43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Robert Alpert</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Robert Alpert</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Co-Chief Executive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35" w:name="exhibit_32_2"/>
      <w:bookmarkStart w:id="36" w:name="px-ex32_2.htm"/>
      <w:bookmarkStart w:id="37" w:name="kspxex32_2"/>
      <w:bookmarkEnd w:id="35"/>
      <w:bookmarkEnd w:id="36"/>
      <w:bookmarkEnd w:id="37"/>
      <w:r>
        <w:rPr>
          <w:rFonts w:ascii="Times New Roman" w:hAnsi="Times New Roman"/>
          <w:b/>
          <w:sz w:val="20"/>
        </w:rPr>
        <w:t>Exhibit 32.2</w:t>
      </w:r>
    </w:p>
    <w:p>
      <w:pPr>
        <w:pStyle w:val="TextBody"/>
        <w:spacing w:lineRule="auto" w:line="273"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connection with the Quarterly Report of P10, Inc. (the “Company”) on Form 10-Q for the quarter ended March 31, 2022 as filed with the Securities and Exchange Commission on the date hereof (the “Report”), I certify, pursuant to 18 U.S.C. § 1350, as adopted pursuant to § 906 of the Sarbanes-Oxley Act of 2002, that:</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(1) The Report fully complies with the requirements of section 13(a) or 15(d) of the Securities Exchange Act of 1934; and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 The information contained in the Report fairly presents, in all material respects, the financial condition and result of operations of the Company.</w:t>
      </w:r>
    </w:p>
    <w:p>
      <w:pPr>
        <w:pStyle w:val="TextBody"/>
        <w:spacing w:lineRule="auto" w:line="273" w:before="0" w:after="0"/>
        <w:jc w:val="left"/>
        <w:rPr/>
      </w:pPr>
      <w:r>
        <w:rPr/>
        <w:t> </w:t>
      </w:r>
    </w:p>
    <w:tbl>
      <w:tblPr>
        <w:tblW w:w="4724" w:type="dxa"/>
        <w:jc w:val="left"/>
        <w:tblInd w:w="0" w:type="dxa"/>
        <w:tblCellMar>
          <w:top w:w="28" w:type="dxa"/>
          <w:left w:w="28" w:type="dxa"/>
          <w:bottom w:w="28" w:type="dxa"/>
          <w:right w:w="28" w:type="dxa"/>
        </w:tblCellMar>
      </w:tblPr>
      <w:tblGrid>
        <w:gridCol w:w="1741"/>
        <w:gridCol w:w="146"/>
        <w:gridCol w:w="406"/>
        <w:gridCol w:w="243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43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C. Clark Webb</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 Clark Webb</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Co-Chief Executive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38" w:name="exhibit_32_3"/>
      <w:bookmarkStart w:id="39" w:name="px-ex32_3.htm"/>
      <w:bookmarkStart w:id="40" w:name="kspxex32_3"/>
      <w:bookmarkEnd w:id="38"/>
      <w:bookmarkEnd w:id="39"/>
      <w:bookmarkEnd w:id="40"/>
      <w:r>
        <w:rPr>
          <w:rFonts w:ascii="Times New Roman" w:hAnsi="Times New Roman"/>
          <w:b/>
          <w:sz w:val="20"/>
        </w:rPr>
        <w:t>Exhibit 32.3</w:t>
      </w:r>
    </w:p>
    <w:p>
      <w:pPr>
        <w:pStyle w:val="TextBody"/>
        <w:spacing w:lineRule="auto" w:line="273"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connection with the Quarterly Report of P10, Inc. (the “Company”) on Form 10-Q for the quarter ended March 31, 2022 as filed with the Securities and Exchange Commission on the date hereof (the “Report”), I certify, pursuant to 18 U.S.C. § 1350, as adopted pursuant to § 906 of the Sarbanes-Oxley Act of 2002, that:</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(1) The Report fully complies with the requirements of section 13(a) or 15(d) of the Securities Exchange Act of 1934; and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 The information contained in the Report fairly presents, in all material respects, the financial condition and result of operations of the Company.</w:t>
      </w:r>
    </w:p>
    <w:p>
      <w:pPr>
        <w:pStyle w:val="TextBody"/>
        <w:spacing w:lineRule="auto" w:line="273" w:before="0" w:after="0"/>
        <w:jc w:val="left"/>
        <w:rPr/>
      </w:pPr>
      <w:r>
        <w:rPr/>
        <w:t> </w:t>
      </w:r>
    </w:p>
    <w:tbl>
      <w:tblPr>
        <w:tblW w:w="4394" w:type="dxa"/>
        <w:jc w:val="left"/>
        <w:tblInd w:w="0" w:type="dxa"/>
        <w:tblCellMar>
          <w:top w:w="28" w:type="dxa"/>
          <w:left w:w="28" w:type="dxa"/>
          <w:bottom w:w="28" w:type="dxa"/>
          <w:right w:w="28" w:type="dxa"/>
        </w:tblCellMar>
      </w:tblPr>
      <w:tblGrid>
        <w:gridCol w:w="1741"/>
        <w:gridCol w:w="146"/>
        <w:gridCol w:w="406"/>
        <w:gridCol w:w="210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10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Amanda Coussens</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Amanda Coussens</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Financial Officer</w:t>
            </w:r>
          </w:p>
        </w:tc>
      </w:tr>
    </w:tbl>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968/000119312521308150/d247132dex31.htm" TargetMode="External"/><Relationship Id="rId3" Type="http://schemas.openxmlformats.org/officeDocument/2006/relationships/hyperlink" Target="https://www.sec.gov/Archives/edgar/data/1841968/000119312521308150/d247132dex32.htm" TargetMode="External"/><Relationship Id="rId4" Type="http://schemas.openxmlformats.org/officeDocument/2006/relationships/hyperlink" Target="https://www.sec.gov/Archives/edgar/data/1841968/000119312521308150/d247132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26923</Words>
  <CharactersWithSpaces>175043</CharactersWithSpaces>
  <Paragraphs>5736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