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164465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187325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184150</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P10,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170180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p>
      <w:pPr>
        <w:spacing w:after="0" w:line="200" w:lineRule="exact"/>
        <w:rPr>
          <w:sz w:val="24"/>
          <w:szCs w:val="24"/>
          <w:color w:val="auto"/>
        </w:rPr>
      </w:pPr>
    </w:p>
    <w:p>
      <w:pPr>
        <w:spacing w:after="0" w:line="269" w:lineRule="exact"/>
        <w:rPr>
          <w:sz w:val="24"/>
          <w:szCs w:val="24"/>
          <w:color w:val="auto"/>
        </w:rPr>
      </w:pPr>
    </w:p>
    <w:p>
      <w:pPr>
        <w:ind w:left="13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jc w:val="center"/>
        <w:ind w:right="1520"/>
        <w:spacing w:after="0"/>
        <w:rPr>
          <w:sz w:val="20"/>
          <w:szCs w:val="20"/>
          <w:color w:val="auto"/>
        </w:rPr>
      </w:pPr>
      <w:r>
        <w:rPr>
          <w:rFonts w:ascii="Arial" w:cs="Arial" w:eastAsia="Arial" w:hAnsi="Arial"/>
          <w:sz w:val="12"/>
          <w:szCs w:val="12"/>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87-2908160</w:t>
      </w:r>
    </w:p>
    <w:p>
      <w:pPr>
        <w:spacing w:after="0" w:line="24" w:lineRule="exact"/>
        <w:rPr>
          <w:sz w:val="24"/>
          <w:szCs w:val="24"/>
          <w:color w:val="auto"/>
        </w:rPr>
      </w:pPr>
    </w:p>
    <w:p>
      <w:pPr>
        <w:sectPr>
          <w:pgSz w:w="11900" w:h="16838" w:orient="portrait"/>
          <w:cols w:equalWidth="0" w:num="3">
            <w:col w:w="3560" w:space="720"/>
            <w:col w:w="2140" w:space="720"/>
            <w:col w:w="1879"/>
          </w:cols>
          <w:pgMar w:left="1440" w:top="331" w:right="1440" w:bottom="1440" w:gutter="0" w:footer="0" w:header="0"/>
          <w:type w:val="continuous"/>
        </w:sectPr>
      </w:pPr>
    </w:p>
    <w:p>
      <w:pPr>
        <w:spacing w:after="0" w:line="11" w:lineRule="exact"/>
        <w:rPr>
          <w:sz w:val="24"/>
          <w:szCs w:val="24"/>
          <w:color w:val="auto"/>
        </w:rPr>
      </w:pPr>
    </w:p>
    <w:p>
      <w:pPr>
        <w:jc w:val="center"/>
        <w:ind w:right="340"/>
        <w:spacing w:after="0"/>
        <w:rPr>
          <w:sz w:val="20"/>
          <w:szCs w:val="20"/>
          <w:color w:val="auto"/>
        </w:rPr>
      </w:pPr>
      <w:r>
        <w:rPr>
          <w:rFonts w:ascii="Arial" w:cs="Arial" w:eastAsia="Arial" w:hAnsi="Arial"/>
          <w:sz w:val="10"/>
          <w:szCs w:val="10"/>
          <w:b w:val="1"/>
          <w:bCs w:val="1"/>
          <w:color w:val="auto"/>
        </w:rPr>
        <w:t>(State or other Jurisdiction</w:t>
      </w:r>
    </w:p>
    <w:p>
      <w:pPr>
        <w:jc w:val="center"/>
        <w:ind w:right="340"/>
        <w:spacing w:after="0"/>
        <w:rPr>
          <w:sz w:val="20"/>
          <w:szCs w:val="20"/>
          <w:color w:val="auto"/>
        </w:rPr>
      </w:pPr>
      <w:r>
        <w:rPr>
          <w:rFonts w:ascii="Arial" w:cs="Arial" w:eastAsia="Arial" w:hAnsi="Arial"/>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b w:val="1"/>
          <w:bCs w:val="1"/>
          <w:color w:val="auto"/>
        </w:rPr>
        <w:t>(Commission</w:t>
      </w:r>
    </w:p>
    <w:p>
      <w:pPr>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Arial" w:cs="Arial" w:eastAsia="Arial" w:hAnsi="Arial"/>
          <w:sz w:val="11"/>
          <w:szCs w:val="11"/>
          <w:b w:val="1"/>
          <w:bCs w:val="1"/>
          <w:color w:val="auto"/>
        </w:rPr>
        <w:t>(IRS Employer</w:t>
      </w:r>
    </w:p>
    <w:p>
      <w:pPr>
        <w:jc w:val="center"/>
        <w:ind w:right="1079"/>
        <w:spacing w:after="0"/>
        <w:rPr>
          <w:sz w:val="20"/>
          <w:szCs w:val="20"/>
          <w:color w:val="auto"/>
        </w:rPr>
      </w:pPr>
      <w:r>
        <w:rPr>
          <w:rFonts w:ascii="Arial" w:cs="Arial" w:eastAsia="Arial" w:hAnsi="Arial"/>
          <w:sz w:val="10"/>
          <w:szCs w:val="10"/>
          <w:b w:val="1"/>
          <w:bCs w:val="1"/>
          <w:color w:val="auto"/>
        </w:rPr>
        <w:t>Identification No.)</w:t>
      </w:r>
    </w:p>
    <w:p>
      <w:pPr>
        <w:spacing w:after="0" w:line="144" w:lineRule="exact"/>
        <w:rPr>
          <w:sz w:val="24"/>
          <w:szCs w:val="24"/>
          <w:color w:val="auto"/>
        </w:rPr>
      </w:pPr>
    </w:p>
    <w:p>
      <w:pPr>
        <w:sectPr>
          <w:pgSz w:w="11900" w:h="16838" w:orient="portrait"/>
          <w:cols w:equalWidth="0" w:num="3">
            <w:col w:w="3540" w:space="720"/>
            <w:col w:w="2060" w:space="720"/>
            <w:col w:w="1979"/>
          </w:cols>
          <w:pgMar w:left="1440" w:top="331" w:right="1440" w:bottom="1440" w:gutter="0" w:footer="0" w:header="0"/>
          <w:type w:val="continuous"/>
        </w:sectPr>
      </w:pPr>
    </w:p>
    <w:p>
      <w:pPr>
        <w:ind w:left="3600"/>
        <w:spacing w:after="0"/>
        <w:rPr>
          <w:sz w:val="20"/>
          <w:szCs w:val="20"/>
          <w:color w:val="auto"/>
        </w:rPr>
      </w:pPr>
      <w:r>
        <w:rPr>
          <w:rFonts w:ascii="Arial" w:cs="Arial" w:eastAsia="Arial" w:hAnsi="Arial"/>
          <w:sz w:val="14"/>
          <w:szCs w:val="14"/>
          <w:b w:val="1"/>
          <w:bCs w:val="1"/>
          <w:color w:val="auto"/>
        </w:rPr>
        <w:t>4514 Cole Avenue, Suite 1600</w:t>
      </w:r>
    </w:p>
    <w:p>
      <w:pPr>
        <w:spacing w:after="0" w:line="25"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Dallas, Texas 75205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 and Zip Code)</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(214) 865-7998</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169545</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20" w:right="499"/>
        <w:spacing w:after="0" w:line="28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Instruction A.2. below):</w:t>
      </w:r>
    </w:p>
    <w:p>
      <w:pPr>
        <w:spacing w:after="0" w:line="56"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6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8"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Title of each class</w:t>
            </w:r>
          </w:p>
        </w:tc>
        <w:tc>
          <w:tcPr>
            <w:tcW w:w="2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Trading</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0"/>
              </w:rPr>
              <w:t>Name of each exchange</w:t>
            </w:r>
          </w:p>
        </w:tc>
        <w:tc>
          <w:tcPr>
            <w:tcW w:w="0" w:type="dxa"/>
            <w:vAlign w:val="bottom"/>
          </w:tcPr>
          <w:p>
            <w:pPr>
              <w:spacing w:after="0"/>
              <w:rPr>
                <w:sz w:val="1"/>
                <w:szCs w:val="1"/>
                <w:color w:val="auto"/>
              </w:rPr>
            </w:pPr>
          </w:p>
        </w:tc>
      </w:tr>
      <w:tr>
        <w:trPr>
          <w:trHeight w:val="146"/>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Symbol(s)</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0"/>
              </w:rPr>
              <w:t>on which registered</w:t>
            </w:r>
          </w:p>
        </w:tc>
        <w:tc>
          <w:tcPr>
            <w:tcW w:w="0" w:type="dxa"/>
            <w:vAlign w:val="bottom"/>
          </w:tcPr>
          <w:p>
            <w:pPr>
              <w:spacing w:after="0"/>
              <w:rPr>
                <w:sz w:val="1"/>
                <w:szCs w:val="1"/>
                <w:color w:val="auto"/>
              </w:rPr>
            </w:pPr>
          </w:p>
        </w:tc>
      </w:tr>
      <w:tr>
        <w:trPr>
          <w:trHeight w:val="148"/>
        </w:trPr>
        <w:tc>
          <w:tcPr>
            <w:tcW w:w="29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Class A Common Stock, par value $0.001 per</w:t>
            </w:r>
          </w:p>
        </w:tc>
        <w:tc>
          <w:tcPr>
            <w:tcW w:w="10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PX</w:t>
            </w:r>
          </w:p>
        </w:tc>
        <w:tc>
          <w:tcPr>
            <w:tcW w:w="80" w:type="dxa"/>
            <w:vAlign w:val="bottom"/>
          </w:tcPr>
          <w:p>
            <w:pPr>
              <w:spacing w:after="0"/>
              <w:rPr>
                <w:sz w:val="12"/>
                <w:szCs w:val="12"/>
                <w:color w:val="auto"/>
              </w:rPr>
            </w:pPr>
          </w:p>
        </w:tc>
        <w:tc>
          <w:tcPr>
            <w:tcW w:w="282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New York Stock Exchange LLC</w:t>
            </w: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Series A Junior Participating Preferred Stock</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 Rights</w:t>
            </w: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120" w:right="359"/>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9" w:lineRule="exact"/>
        <w:rPr>
          <w:sz w:val="24"/>
          <w:szCs w:val="24"/>
          <w:color w:val="auto"/>
        </w:rPr>
      </w:pPr>
    </w:p>
    <w:p>
      <w:pPr>
        <w:ind w:left="120" w:right="359"/>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107315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141605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1" w:name="page2"/>
    <w:bookmarkEnd w:id="1"/>
    <w:p>
      <w:pPr>
        <w:ind w:left="120"/>
        <w:spacing w:after="0"/>
        <w:tabs>
          <w:tab w:leader="none" w:pos="10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01" w:lineRule="exact"/>
        <w:rPr>
          <w:sz w:val="20"/>
          <w:szCs w:val="20"/>
          <w:color w:val="auto"/>
        </w:rPr>
      </w:pPr>
    </w:p>
    <w:p>
      <w:pPr>
        <w:jc w:val="both"/>
        <w:ind w:left="120" w:right="419" w:firstLine="351"/>
        <w:spacing w:after="0" w:line="272" w:lineRule="auto"/>
        <w:rPr>
          <w:sz w:val="20"/>
          <w:szCs w:val="20"/>
          <w:color w:val="auto"/>
        </w:rPr>
      </w:pPr>
      <w:r>
        <w:rPr>
          <w:rFonts w:ascii="Arial" w:cs="Arial" w:eastAsia="Arial" w:hAnsi="Arial"/>
          <w:sz w:val="14"/>
          <w:szCs w:val="14"/>
          <w:color w:val="auto"/>
        </w:rPr>
        <w:t>On August 11, 2022, P10, Inc. (the “Company”) issued a press release and detailed presentation announcing its financial results for its second quarter ended June 30, 2022. A copy of the press release and presentation are furnished as Exhibit 99.1 to this Current Report on Form 8-K and are incorporated by reference into this Item 2.02 as if fully set forth herein.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plans to host a conference call at 5:00 p.m. Eastern Time on Thursday, August 11, 2022, to discuss these results.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furnished by the Company pursuant to this Item 2.02, including Exhibit 99.1, shall not be deemed “filed” for purposes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Section 18 of the Securities Exchange Act of 1934, as amended (the “Exchange Act”) or otherwise subject to the liability of that section, and shall not be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deemed to be incorporated by reference into any Company filing under the Securities Act of 1933, as amended, or the Exchange Act, regardless of 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general incorporation language in such filing.</w:t>
      </w:r>
    </w:p>
    <w:p>
      <w:pPr>
        <w:spacing w:after="0" w:line="288"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01" w:lineRule="exact"/>
        <w:rPr>
          <w:sz w:val="20"/>
          <w:szCs w:val="20"/>
          <w:color w:val="auto"/>
        </w:rPr>
      </w:pPr>
    </w:p>
    <w:p>
      <w:pPr>
        <w:ind w:left="120" w:right="299" w:firstLine="351"/>
        <w:spacing w:after="0" w:line="287" w:lineRule="auto"/>
        <w:rPr>
          <w:sz w:val="20"/>
          <w:szCs w:val="20"/>
          <w:color w:val="auto"/>
        </w:rPr>
      </w:pPr>
      <w:r>
        <w:rPr>
          <w:rFonts w:ascii="Arial" w:cs="Arial" w:eastAsia="Arial" w:hAnsi="Arial"/>
          <w:sz w:val="14"/>
          <w:szCs w:val="14"/>
          <w:color w:val="auto"/>
        </w:rPr>
        <w:t xml:space="preserve">On August 11, 2022, the Company posted an investor presentation to its website at </w:t>
      </w:r>
      <w:r>
        <w:rPr>
          <w:rFonts w:ascii="Arial" w:cs="Arial" w:eastAsia="Arial" w:hAnsi="Arial"/>
          <w:sz w:val="14"/>
          <w:szCs w:val="14"/>
          <w:u w:val="single" w:color="auto"/>
          <w:color w:val="auto"/>
        </w:rPr>
        <w:t>https://ir.p10alts.com/</w:t>
      </w:r>
      <w:r>
        <w:rPr>
          <w:rFonts w:ascii="Arial" w:cs="Arial" w:eastAsia="Arial" w:hAnsi="Arial"/>
          <w:sz w:val="14"/>
          <w:szCs w:val="14"/>
          <w:color w:val="auto"/>
        </w:rPr>
        <w:t>. A copy of the investor presentation is attached as Exhibit 99.2 to this Current Report on Form 8-K.</w:t>
      </w:r>
    </w:p>
    <w:p>
      <w:pPr>
        <w:spacing w:after="0" w:line="131" w:lineRule="exact"/>
        <w:rPr>
          <w:sz w:val="20"/>
          <w:szCs w:val="20"/>
          <w:color w:val="auto"/>
        </w:rPr>
      </w:pPr>
    </w:p>
    <w:p>
      <w:pPr>
        <w:ind w:left="120" w:right="119" w:firstLine="351"/>
        <w:spacing w:after="0" w:line="289" w:lineRule="auto"/>
        <w:rPr>
          <w:sz w:val="20"/>
          <w:szCs w:val="20"/>
          <w:color w:val="auto"/>
        </w:rPr>
      </w:pPr>
      <w:r>
        <w:rPr>
          <w:rFonts w:ascii="Arial" w:cs="Arial" w:eastAsia="Arial" w:hAnsi="Arial"/>
          <w:sz w:val="13"/>
          <w:szCs w:val="13"/>
          <w:color w:val="auto"/>
        </w:rPr>
        <w:t>The information in this Current Report on Form 8-K, including Exhibit 99.2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47"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12" w:lineRule="exact"/>
        <w:rPr>
          <w:sz w:val="20"/>
          <w:szCs w:val="20"/>
          <w:color w:val="auto"/>
        </w:rPr>
      </w:pPr>
    </w:p>
    <w:p>
      <w:pPr>
        <w:ind w:left="460" w:hanging="346"/>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34"/>
        </w:trPr>
        <w:tc>
          <w:tcPr>
            <w:tcW w:w="54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Exhibit No.</w:t>
            </w:r>
          </w:p>
        </w:tc>
        <w:tc>
          <w:tcPr>
            <w:tcW w:w="580" w:type="dxa"/>
            <w:vAlign w:val="bottom"/>
          </w:tcPr>
          <w:p>
            <w:pPr>
              <w:spacing w:after="0"/>
              <w:rPr>
                <w:sz w:val="11"/>
                <w:szCs w:val="11"/>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4"/>
              </w:rPr>
              <w:t>Description</w:t>
            </w:r>
          </w:p>
        </w:tc>
        <w:tc>
          <w:tcPr>
            <w:tcW w:w="4360" w:type="dxa"/>
            <w:vAlign w:val="bottom"/>
            <w:gridSpan w:val="2"/>
          </w:tcPr>
          <w:p>
            <w:pPr>
              <w:spacing w:after="0"/>
              <w:rPr>
                <w:sz w:val="11"/>
                <w:szCs w:val="11"/>
                <w:color w:val="auto"/>
              </w:rPr>
            </w:pPr>
          </w:p>
        </w:tc>
      </w:tr>
      <w:tr>
        <w:trPr>
          <w:trHeight w:val="217"/>
        </w:trPr>
        <w:tc>
          <w:tcPr>
            <w:tcW w:w="540" w:type="dxa"/>
            <w:vAlign w:val="bottom"/>
          </w:tcPr>
          <w:p>
            <w:pPr>
              <w:spacing w:after="0"/>
              <w:rPr>
                <w:sz w:val="20"/>
                <w:szCs w:val="20"/>
                <w:color w:val="auto"/>
              </w:rPr>
            </w:pPr>
            <w:r>
              <w:rPr>
                <w:rFonts w:ascii="Arial" w:cs="Arial" w:eastAsia="Arial" w:hAnsi="Arial"/>
                <w:sz w:val="14"/>
                <w:szCs w:val="14"/>
                <w:color w:val="auto"/>
              </w:rPr>
              <w:t>99.1</w:t>
            </w:r>
          </w:p>
        </w:tc>
        <w:tc>
          <w:tcPr>
            <w:tcW w:w="580" w:type="dxa"/>
            <w:vAlign w:val="bottom"/>
          </w:tcPr>
          <w:p>
            <w:pPr>
              <w:spacing w:after="0"/>
              <w:rPr>
                <w:sz w:val="18"/>
                <w:szCs w:val="18"/>
                <w:color w:val="auto"/>
              </w:rPr>
            </w:pPr>
          </w:p>
        </w:tc>
        <w:tc>
          <w:tcPr>
            <w:tcW w:w="49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0"/>
              </w:rPr>
              <w:t>Press Release of P10, Inc., dated August 11, 2022 and Q2 2022 earnings presentation</w:t>
            </w:r>
          </w:p>
        </w:tc>
      </w:tr>
      <w:tr>
        <w:trPr>
          <w:trHeight w:val="238"/>
        </w:trPr>
        <w:tc>
          <w:tcPr>
            <w:tcW w:w="540" w:type="dxa"/>
            <w:vAlign w:val="bottom"/>
          </w:tcPr>
          <w:p>
            <w:pPr>
              <w:spacing w:after="0"/>
              <w:rPr>
                <w:sz w:val="20"/>
                <w:szCs w:val="20"/>
                <w:color w:val="auto"/>
              </w:rPr>
            </w:pPr>
            <w:r>
              <w:rPr>
                <w:rFonts w:ascii="Arial" w:cs="Arial" w:eastAsia="Arial" w:hAnsi="Arial"/>
                <w:sz w:val="14"/>
                <w:szCs w:val="14"/>
                <w:color w:val="auto"/>
              </w:rPr>
              <w:t>99.2</w:t>
            </w:r>
          </w:p>
        </w:tc>
        <w:tc>
          <w:tcPr>
            <w:tcW w:w="58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4"/>
                <w:szCs w:val="14"/>
                <w:color w:val="0000EE"/>
              </w:rPr>
              <w:t>Q2 2022 Company Overview dated August 11, 2022</w:t>
            </w: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9"/>
        </w:trPr>
        <w:tc>
          <w:tcPr>
            <w:tcW w:w="540" w:type="dxa"/>
            <w:vAlign w:val="bottom"/>
          </w:tcPr>
          <w:p>
            <w:pPr>
              <w:spacing w:after="0"/>
              <w:rPr>
                <w:sz w:val="20"/>
                <w:szCs w:val="20"/>
                <w:color w:val="auto"/>
              </w:rPr>
            </w:pPr>
            <w:r>
              <w:rPr>
                <w:rFonts w:ascii="Arial" w:cs="Arial" w:eastAsia="Arial" w:hAnsi="Arial"/>
                <w:sz w:val="14"/>
                <w:szCs w:val="14"/>
                <w:color w:val="auto"/>
              </w:rPr>
              <w:t>104</w:t>
            </w:r>
          </w:p>
        </w:tc>
        <w:tc>
          <w:tcPr>
            <w:tcW w:w="580" w:type="dxa"/>
            <w:vAlign w:val="bottom"/>
          </w:tcPr>
          <w:p>
            <w:pPr>
              <w:spacing w:after="0"/>
              <w:rPr>
                <w:sz w:val="23"/>
                <w:szCs w:val="23"/>
                <w:color w:val="auto"/>
              </w:rPr>
            </w:pPr>
          </w:p>
        </w:tc>
        <w:tc>
          <w:tcPr>
            <w:tcW w:w="4900" w:type="dxa"/>
            <w:vAlign w:val="bottom"/>
            <w:gridSpan w:val="3"/>
          </w:tcPr>
          <w:p>
            <w:pPr>
              <w:spacing w:after="0"/>
              <w:rPr>
                <w:sz w:val="20"/>
                <w:szCs w:val="20"/>
                <w:color w:val="auto"/>
              </w:rPr>
            </w:pPr>
            <w:r>
              <w:rPr>
                <w:rFonts w:ascii="Arial" w:cs="Arial" w:eastAsia="Arial" w:hAnsi="Arial"/>
                <w:sz w:val="14"/>
                <w:szCs w:val="14"/>
                <w:color w:val="auto"/>
              </w:rPr>
              <w:t>Cover Page Interactive Data File (formatted as inline XBRL)</w:t>
            </w:r>
          </w:p>
        </w:tc>
      </w:tr>
    </w:tbl>
    <w:p>
      <w:pPr>
        <w:sectPr>
          <w:pgSz w:w="11900" w:h="16838" w:orient="portrait"/>
          <w:cols w:equalWidth="0" w:num="1">
            <w:col w:w="9019"/>
          </w:cols>
          <w:pgMar w:left="1440" w:top="26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w:t>
      </w:r>
    </w:p>
    <w:p>
      <w:pPr>
        <w:spacing w:after="0" w:line="187" w:lineRule="exact"/>
        <w:rPr>
          <w:sz w:val="20"/>
          <w:szCs w:val="20"/>
          <w:color w:val="auto"/>
        </w:rPr>
      </w:pPr>
    </w:p>
    <w:p>
      <w:pPr>
        <w:ind w:left="120" w:right="359" w:firstLine="351"/>
        <w:spacing w:after="0" w:line="28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P10, INC.</w:t>
      </w:r>
    </w:p>
    <w:p>
      <w:pPr>
        <w:spacing w:after="0" w:line="183" w:lineRule="exact"/>
        <w:rPr>
          <w:sz w:val="20"/>
          <w:szCs w:val="20"/>
          <w:color w:val="auto"/>
        </w:rPr>
      </w:pPr>
    </w:p>
    <w:p>
      <w:pPr>
        <w:ind w:left="120"/>
        <w:spacing w:after="0"/>
        <w:tabs>
          <w:tab w:leader="none" w:pos="4580" w:val="left"/>
          <w:tab w:leader="none" w:pos="4920" w:val="left"/>
        </w:tabs>
        <w:rPr>
          <w:sz w:val="20"/>
          <w:szCs w:val="20"/>
          <w:color w:val="auto"/>
        </w:rPr>
      </w:pPr>
      <w:r>
        <w:rPr>
          <w:rFonts w:ascii="Arial" w:cs="Arial" w:eastAsia="Arial" w:hAnsi="Arial"/>
          <w:sz w:val="14"/>
          <w:szCs w:val="14"/>
          <w:color w:val="auto"/>
        </w:rPr>
        <w:t>Date: August 11,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13970</wp:posOffset>
            </wp:positionV>
            <wp:extent cx="25076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7615" cy="6985"/>
                    </a:xfrm>
                    <a:prstGeom prst="rect">
                      <a:avLst/>
                    </a:prstGeom>
                    <a:noFill/>
                  </pic:spPr>
                </pic:pic>
              </a:graphicData>
            </a:graphic>
          </wp:anchor>
        </w:drawing>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Amanda Coussens</w:t>
      </w:r>
    </w:p>
    <w:p>
      <w:pPr>
        <w:spacing w:after="0" w:line="11"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9019"/>
          </w:cols>
          <w:pgMar w:left="1440" w:top="265" w:right="1440" w:bottom="1440" w:gutter="0" w:footer="0" w:header="0"/>
        </w:sectPr>
      </w:pPr>
    </w:p>
    <w:bookmarkStart w:id="3" w:name="page4"/>
    <w:bookmarkEnd w:id="3"/>
    <w:p>
      <w:pPr>
        <w:jc w:val="right"/>
        <w:ind w:right="119"/>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139700</wp:posOffset>
            </wp:positionV>
            <wp:extent cx="744855" cy="354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4855" cy="35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P10 Reports Second Quarter 2022 Results</w:t>
      </w:r>
    </w:p>
    <w:p>
      <w:pPr>
        <w:spacing w:after="0" w:line="187" w:lineRule="exact"/>
        <w:rPr>
          <w:sz w:val="20"/>
          <w:szCs w:val="20"/>
          <w:color w:val="auto"/>
        </w:rPr>
      </w:pPr>
    </w:p>
    <w:p>
      <w:pPr>
        <w:jc w:val="center"/>
        <w:ind w:left="120" w:right="139"/>
        <w:spacing w:after="0" w:line="287" w:lineRule="auto"/>
        <w:rPr>
          <w:sz w:val="20"/>
          <w:szCs w:val="20"/>
          <w:color w:val="auto"/>
        </w:rPr>
      </w:pPr>
      <w:r>
        <w:rPr>
          <w:rFonts w:ascii="Arial" w:cs="Arial" w:eastAsia="Arial" w:hAnsi="Arial"/>
          <w:sz w:val="14"/>
          <w:szCs w:val="14"/>
          <w:i w:val="1"/>
          <w:iCs w:val="1"/>
          <w:color w:val="auto"/>
        </w:rPr>
        <w:t>Record Results Driven by a 38% Increase in Year-Over-Year Revenue and a 30% Increase in Year-Over-Year Fee Paying Assets Under Management. Company Declares Cash Dividend of $.03 Per Share</w:t>
      </w:r>
    </w:p>
    <w:p>
      <w:pPr>
        <w:spacing w:after="0" w:line="41" w:lineRule="exact"/>
        <w:rPr>
          <w:sz w:val="20"/>
          <w:szCs w:val="20"/>
          <w:color w:val="auto"/>
        </w:rPr>
      </w:pPr>
    </w:p>
    <w:p>
      <w:pPr>
        <w:ind w:left="120" w:right="279"/>
        <w:spacing w:after="0" w:line="293" w:lineRule="auto"/>
        <w:rPr>
          <w:sz w:val="20"/>
          <w:szCs w:val="20"/>
          <w:color w:val="auto"/>
        </w:rPr>
      </w:pPr>
      <w:r>
        <w:rPr>
          <w:rFonts w:ascii="Arial" w:cs="Arial" w:eastAsia="Arial" w:hAnsi="Arial"/>
          <w:sz w:val="14"/>
          <w:szCs w:val="14"/>
          <w:b w:val="1"/>
          <w:bCs w:val="1"/>
          <w:color w:val="auto"/>
        </w:rPr>
        <w:t xml:space="preserve">Dallas, Texas – August 11, 2022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P10, Inc.</w:t>
      </w:r>
      <w:r>
        <w:rPr>
          <w:rFonts w:ascii="Arial" w:cs="Arial" w:eastAsia="Arial" w:hAnsi="Arial"/>
          <w:sz w:val="14"/>
          <w:szCs w:val="14"/>
          <w:b w:val="1"/>
          <w:bCs w:val="1"/>
          <w:color w:val="auto"/>
        </w:rPr>
        <w:t xml:space="preserve"> </w:t>
      </w:r>
      <w:r>
        <w:rPr>
          <w:rFonts w:ascii="Arial" w:cs="Arial" w:eastAsia="Arial" w:hAnsi="Arial"/>
          <w:sz w:val="14"/>
          <w:szCs w:val="14"/>
          <w:color w:val="auto"/>
        </w:rPr>
        <w:t>(NYSE: PX), a leading private markets solutions provider, today reported financial results for the second</w:t>
      </w:r>
      <w:r>
        <w:rPr>
          <w:rFonts w:ascii="Arial" w:cs="Arial" w:eastAsia="Arial" w:hAnsi="Arial"/>
          <w:sz w:val="14"/>
          <w:szCs w:val="14"/>
          <w:b w:val="1"/>
          <w:bCs w:val="1"/>
          <w:color w:val="auto"/>
        </w:rPr>
        <w:t xml:space="preserve"> </w:t>
      </w:r>
      <w:r>
        <w:rPr>
          <w:rFonts w:ascii="Arial" w:cs="Arial" w:eastAsia="Arial" w:hAnsi="Arial"/>
          <w:sz w:val="14"/>
          <w:szCs w:val="14"/>
          <w:color w:val="auto"/>
        </w:rPr>
        <w:t>quarter ended June 30, 2022.</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Second Quarter 2022 Financial Highlights:</w:t>
      </w:r>
    </w:p>
    <w:p>
      <w:pPr>
        <w:spacing w:after="0" w:line="108" w:lineRule="exact"/>
        <w:rPr>
          <w:sz w:val="20"/>
          <w:szCs w:val="20"/>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Paying Assets Under Management: $18.5 billion, a 30%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Revenue: $46.7 million, a 38%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GAAP Net Income: $11.2 million, a 351%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EBITDA: $25.7 million, a 52%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Net Income (ANI): $23.2 million, a 99%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Fully diluted GAAP EPS: $.09, a 310%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Fully diluted ANI per share: $.19, an 81% increase year-over-year.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Declaration of Dividend:</w:t>
      </w:r>
    </w:p>
    <w:p>
      <w:pPr>
        <w:spacing w:after="0" w:line="183" w:lineRule="exact"/>
        <w:rPr>
          <w:sz w:val="20"/>
          <w:szCs w:val="20"/>
          <w:color w:val="auto"/>
        </w:rPr>
      </w:pPr>
    </w:p>
    <w:p>
      <w:pPr>
        <w:ind w:left="120" w:right="379"/>
        <w:spacing w:after="0" w:line="287" w:lineRule="auto"/>
        <w:rPr>
          <w:sz w:val="20"/>
          <w:szCs w:val="20"/>
          <w:color w:val="auto"/>
        </w:rPr>
      </w:pPr>
      <w:r>
        <w:rPr>
          <w:rFonts w:ascii="Arial" w:cs="Arial" w:eastAsia="Arial" w:hAnsi="Arial"/>
          <w:sz w:val="14"/>
          <w:szCs w:val="14"/>
          <w:color w:val="auto"/>
        </w:rPr>
        <w:t>The Board of Directors of the Company has declared a quarterly cash dividend of $0.03 per share of Class A and Class B common stock, payable on September 20, 2022, to the holders of record as of the close of business on August 29, 2022.</w:t>
      </w:r>
    </w:p>
    <w:p>
      <w:pPr>
        <w:spacing w:after="0" w:line="131" w:lineRule="exact"/>
        <w:rPr>
          <w:sz w:val="20"/>
          <w:szCs w:val="20"/>
          <w:color w:val="auto"/>
        </w:rPr>
      </w:pPr>
    </w:p>
    <w:p>
      <w:pPr>
        <w:ind w:left="120" w:right="459"/>
        <w:spacing w:after="0" w:line="302" w:lineRule="auto"/>
        <w:rPr>
          <w:sz w:val="20"/>
          <w:szCs w:val="20"/>
          <w:color w:val="auto"/>
        </w:rPr>
      </w:pPr>
      <w:r>
        <w:rPr>
          <w:rFonts w:ascii="Arial" w:cs="Arial" w:eastAsia="Arial" w:hAnsi="Arial"/>
          <w:sz w:val="13"/>
          <w:szCs w:val="13"/>
          <w:color w:val="auto"/>
        </w:rPr>
        <w:t>Robert Alpert, Chairman and Co-CEO, and Co-CEO Clark Webb said, “P10’s strong second quarter results demonstrate our differentiated business model and resilient ecosystem of premier private markets strategies. Fee paying assets under management increased by $1.2 billion, offset by $299 million of fee stepdowns and expirations. We believe we are well positioned for continued growth.”</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A presentation of the second quarter financials may be accessed </w:t>
      </w:r>
      <w:r>
        <w:rPr>
          <w:rFonts w:ascii="Arial" w:cs="Arial" w:eastAsia="Arial" w:hAnsi="Arial"/>
          <w:sz w:val="14"/>
          <w:szCs w:val="14"/>
          <w:u w:val="single" w:color="auto"/>
          <w:color w:val="auto"/>
        </w:rPr>
        <w:t>here</w:t>
      </w:r>
      <w:r>
        <w:rPr>
          <w:rFonts w:ascii="Arial" w:cs="Arial" w:eastAsia="Arial" w:hAnsi="Arial"/>
          <w:sz w:val="14"/>
          <w:szCs w:val="14"/>
          <w:color w:val="auto"/>
        </w:rPr>
        <w:t xml:space="preserve"> and is available on the Company’s website.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Conference Call Details:</w:t>
      </w:r>
    </w:p>
    <w:p>
      <w:pPr>
        <w:spacing w:after="0" w:line="183" w:lineRule="exact"/>
        <w:rPr>
          <w:sz w:val="20"/>
          <w:szCs w:val="20"/>
          <w:color w:val="auto"/>
        </w:rPr>
      </w:pPr>
    </w:p>
    <w:p>
      <w:pPr>
        <w:ind w:left="120" w:right="339"/>
        <w:spacing w:after="0" w:line="287" w:lineRule="auto"/>
        <w:rPr>
          <w:sz w:val="20"/>
          <w:szCs w:val="20"/>
          <w:color w:val="auto"/>
        </w:rPr>
      </w:pPr>
      <w:r>
        <w:rPr>
          <w:rFonts w:ascii="Arial" w:cs="Arial" w:eastAsia="Arial" w:hAnsi="Arial"/>
          <w:sz w:val="14"/>
          <w:szCs w:val="14"/>
          <w:color w:val="auto"/>
        </w:rPr>
        <w:t xml:space="preserve">The company will host a conference call at 5:00 p.m. Eastern Time on Thursday, August 11, 2022. The call will be webcast live and may be accessed </w:t>
      </w:r>
      <w:r>
        <w:rPr>
          <w:rFonts w:ascii="Arial" w:cs="Arial" w:eastAsia="Arial" w:hAnsi="Arial"/>
          <w:sz w:val="14"/>
          <w:szCs w:val="14"/>
          <w:u w:val="single" w:color="auto"/>
          <w:color w:val="auto"/>
        </w:rPr>
        <w:t>here</w:t>
      </w:r>
      <w:r>
        <w:rPr>
          <w:rFonts w:ascii="Arial" w:cs="Arial" w:eastAsia="Arial" w:hAnsi="Arial"/>
          <w:sz w:val="14"/>
          <w:szCs w:val="14"/>
          <w:color w:val="auto"/>
        </w:rPr>
        <w:t>.</w:t>
      </w:r>
    </w:p>
    <w:p>
      <w:pPr>
        <w:sectPr>
          <w:pgSz w:w="11900" w:h="16838" w:orient="portrait"/>
          <w:cols w:equalWidth="0" w:num="1">
            <w:col w:w="9019"/>
          </w:cols>
          <w:pgMar w:left="1440" w:top="125" w:right="1440" w:bottom="1440" w:gutter="0" w:footer="0" w:header="0"/>
        </w:sectPr>
      </w:pPr>
    </w:p>
    <w:bookmarkStart w:id="4" w:name="page5"/>
    <w:bookmarkEnd w:id="4"/>
    <w:p>
      <w:pPr>
        <w:ind w:left="1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 participants joining by telephone should dial one of the following numbers, followed by the Participant Access Code provided:</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580" w:type="dxa"/>
            <w:vAlign w:val="bottom"/>
          </w:tcPr>
          <w:p>
            <w:pPr>
              <w:spacing w:after="0"/>
              <w:rPr>
                <w:sz w:val="20"/>
                <w:szCs w:val="20"/>
                <w:color w:val="auto"/>
              </w:rPr>
            </w:pPr>
            <w:r>
              <w:rPr>
                <w:rFonts w:ascii="Arial" w:cs="Arial" w:eastAsia="Arial" w:hAnsi="Arial"/>
                <w:sz w:val="14"/>
                <w:szCs w:val="14"/>
                <w:color w:val="auto"/>
              </w:rPr>
              <w:t>U.S. (toll free):</w:t>
            </w:r>
          </w:p>
        </w:tc>
        <w:tc>
          <w:tcPr>
            <w:tcW w:w="1180" w:type="dxa"/>
            <w:vAlign w:val="bottom"/>
          </w:tcPr>
          <w:p>
            <w:pPr>
              <w:jc w:val="right"/>
              <w:spacing w:after="0"/>
              <w:rPr>
                <w:sz w:val="20"/>
                <w:szCs w:val="20"/>
                <w:color w:val="auto"/>
              </w:rPr>
            </w:pPr>
            <w:r>
              <w:rPr>
                <w:rFonts w:ascii="Arial" w:cs="Arial" w:eastAsia="Arial" w:hAnsi="Arial"/>
                <w:sz w:val="14"/>
                <w:szCs w:val="14"/>
                <w:color w:val="auto"/>
              </w:rPr>
              <w:t>1-844-200-6205</w:t>
            </w:r>
          </w:p>
        </w:tc>
      </w:tr>
      <w:tr>
        <w:trPr>
          <w:trHeight w:val="172"/>
        </w:trPr>
        <w:tc>
          <w:tcPr>
            <w:tcW w:w="1580" w:type="dxa"/>
            <w:vAlign w:val="bottom"/>
          </w:tcPr>
          <w:p>
            <w:pPr>
              <w:spacing w:after="0"/>
              <w:rPr>
                <w:sz w:val="20"/>
                <w:szCs w:val="20"/>
                <w:color w:val="auto"/>
              </w:rPr>
            </w:pPr>
            <w:r>
              <w:rPr>
                <w:rFonts w:ascii="Arial" w:cs="Arial" w:eastAsia="Arial" w:hAnsi="Arial"/>
                <w:sz w:val="14"/>
                <w:szCs w:val="14"/>
                <w:color w:val="auto"/>
              </w:rPr>
              <w:t>U.S. (local):</w:t>
            </w:r>
          </w:p>
        </w:tc>
        <w:tc>
          <w:tcPr>
            <w:tcW w:w="1180" w:type="dxa"/>
            <w:vAlign w:val="bottom"/>
          </w:tcPr>
          <w:p>
            <w:pPr>
              <w:ind w:left="160"/>
              <w:spacing w:after="0"/>
              <w:rPr>
                <w:sz w:val="20"/>
                <w:szCs w:val="20"/>
                <w:color w:val="auto"/>
              </w:rPr>
            </w:pPr>
            <w:r>
              <w:rPr>
                <w:rFonts w:ascii="Arial" w:cs="Arial" w:eastAsia="Arial" w:hAnsi="Arial"/>
                <w:sz w:val="14"/>
                <w:szCs w:val="14"/>
                <w:color w:val="auto"/>
              </w:rPr>
              <w:t>1-646-904-5544</w:t>
            </w:r>
          </w:p>
        </w:tc>
      </w:tr>
      <w:tr>
        <w:trPr>
          <w:trHeight w:val="182"/>
        </w:trPr>
        <w:tc>
          <w:tcPr>
            <w:tcW w:w="1580" w:type="dxa"/>
            <w:vAlign w:val="bottom"/>
          </w:tcPr>
          <w:p>
            <w:pPr>
              <w:spacing w:after="0"/>
              <w:rPr>
                <w:sz w:val="20"/>
                <w:szCs w:val="20"/>
                <w:color w:val="auto"/>
              </w:rPr>
            </w:pPr>
            <w:r>
              <w:rPr>
                <w:rFonts w:ascii="Arial" w:cs="Arial" w:eastAsia="Arial" w:hAnsi="Arial"/>
                <w:sz w:val="14"/>
                <w:szCs w:val="14"/>
                <w:color w:val="auto"/>
              </w:rPr>
              <w:t>All other locations:</w:t>
            </w:r>
          </w:p>
        </w:tc>
        <w:tc>
          <w:tcPr>
            <w:tcW w:w="1180" w:type="dxa"/>
            <w:vAlign w:val="bottom"/>
          </w:tcPr>
          <w:p>
            <w:pPr>
              <w:ind w:left="160"/>
              <w:spacing w:after="0"/>
              <w:rPr>
                <w:sz w:val="20"/>
                <w:szCs w:val="20"/>
                <w:color w:val="auto"/>
              </w:rPr>
            </w:pPr>
            <w:r>
              <w:rPr>
                <w:rFonts w:ascii="Arial" w:cs="Arial" w:eastAsia="Arial" w:hAnsi="Arial"/>
                <w:sz w:val="14"/>
                <w:szCs w:val="14"/>
                <w:color w:val="auto"/>
                <w:w w:val="92"/>
              </w:rPr>
              <w:t>+1-929-526-1599</w:t>
            </w:r>
          </w:p>
        </w:tc>
      </w:tr>
      <w:tr>
        <w:trPr>
          <w:trHeight w:val="430"/>
        </w:trPr>
        <w:tc>
          <w:tcPr>
            <w:tcW w:w="1580" w:type="dxa"/>
            <w:vAlign w:val="bottom"/>
          </w:tcPr>
          <w:p>
            <w:pPr>
              <w:spacing w:after="0"/>
              <w:rPr>
                <w:sz w:val="20"/>
                <w:szCs w:val="20"/>
                <w:color w:val="auto"/>
              </w:rPr>
            </w:pPr>
            <w:r>
              <w:rPr>
                <w:rFonts w:ascii="Arial" w:cs="Arial" w:eastAsia="Arial" w:hAnsi="Arial"/>
                <w:sz w:val="14"/>
                <w:szCs w:val="14"/>
                <w:color w:val="auto"/>
                <w:w w:val="99"/>
              </w:rPr>
              <w:t>Participant Access Code:</w:t>
            </w:r>
          </w:p>
        </w:tc>
        <w:tc>
          <w:tcPr>
            <w:tcW w:w="1180" w:type="dxa"/>
            <w:vAlign w:val="bottom"/>
          </w:tcPr>
          <w:p>
            <w:pPr>
              <w:jc w:val="right"/>
              <w:ind w:right="468"/>
              <w:spacing w:after="0"/>
              <w:rPr>
                <w:sz w:val="20"/>
                <w:szCs w:val="20"/>
                <w:color w:val="auto"/>
              </w:rPr>
            </w:pPr>
            <w:r>
              <w:rPr>
                <w:rFonts w:ascii="Arial" w:cs="Arial" w:eastAsia="Arial" w:hAnsi="Arial"/>
                <w:sz w:val="14"/>
                <w:szCs w:val="14"/>
                <w:color w:val="auto"/>
              </w:rPr>
              <w:t>866288</w:t>
            </w: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For those unable to participate in the live call, a replay will be made available on P10’s </w:t>
      </w:r>
      <w:r>
        <w:rPr>
          <w:rFonts w:ascii="Arial" w:cs="Arial" w:eastAsia="Arial" w:hAnsi="Arial"/>
          <w:sz w:val="14"/>
          <w:szCs w:val="14"/>
          <w:u w:val="single" w:color="auto"/>
          <w:color w:val="auto"/>
        </w:rPr>
        <w:t>investor relations page</w:t>
      </w:r>
      <w:r>
        <w:rPr>
          <w:rFonts w:ascii="Arial" w:cs="Arial" w:eastAsia="Arial" w:hAnsi="Arial"/>
          <w:sz w:val="14"/>
          <w:szCs w:val="14"/>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About P10</w:t>
      </w:r>
    </w:p>
    <w:p>
      <w:pPr>
        <w:spacing w:after="0" w:line="101" w:lineRule="exact"/>
        <w:rPr>
          <w:sz w:val="20"/>
          <w:szCs w:val="20"/>
          <w:color w:val="auto"/>
        </w:rPr>
      </w:pPr>
    </w:p>
    <w:p>
      <w:pPr>
        <w:ind w:left="120" w:right="159"/>
        <w:spacing w:after="0" w:line="293" w:lineRule="auto"/>
        <w:rPr>
          <w:sz w:val="20"/>
          <w:szCs w:val="20"/>
          <w:color w:val="auto"/>
        </w:rPr>
      </w:pPr>
      <w:r>
        <w:rPr>
          <w:rFonts w:ascii="Arial" w:cs="Arial" w:eastAsia="Arial" w:hAnsi="Arial"/>
          <w:sz w:val="13"/>
          <w:szCs w:val="13"/>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2022, P10 has a global investor base of over 2,700 investors across 49 states, 53 countries and six continents, which includes some of the world’s largest pension funds, endowments, foundations, corporate pensions, and financial institutions. Visit </w:t>
      </w:r>
      <w:r>
        <w:rPr>
          <w:rFonts w:ascii="Arial" w:cs="Arial" w:eastAsia="Arial" w:hAnsi="Arial"/>
          <w:sz w:val="13"/>
          <w:szCs w:val="13"/>
          <w:u w:val="single" w:color="auto"/>
          <w:color w:val="auto"/>
        </w:rPr>
        <w:t>www.p10alts.com</w:t>
      </w:r>
      <w:r>
        <w:rPr>
          <w:rFonts w:ascii="Arial" w:cs="Arial" w:eastAsia="Arial" w:hAnsi="Arial"/>
          <w:sz w:val="13"/>
          <w:szCs w:val="13"/>
          <w:color w:val="auto"/>
        </w:rPr>
        <w: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Forward Looking Statements</w:t>
      </w:r>
    </w:p>
    <w:p>
      <w:pPr>
        <w:spacing w:after="0" w:line="101" w:lineRule="exact"/>
        <w:rPr>
          <w:sz w:val="20"/>
          <w:szCs w:val="20"/>
          <w:color w:val="auto"/>
        </w:rPr>
      </w:pPr>
    </w:p>
    <w:p>
      <w:pPr>
        <w:ind w:left="120" w:right="139"/>
        <w:spacing w:after="0" w:line="282" w:lineRule="auto"/>
        <w:rPr>
          <w:sz w:val="20"/>
          <w:szCs w:val="20"/>
          <w:color w:val="auto"/>
        </w:rPr>
      </w:pPr>
      <w:r>
        <w:rPr>
          <w:rFonts w:ascii="Arial" w:cs="Arial" w:eastAsia="Arial" w:hAnsi="Arial"/>
          <w:sz w:val="13"/>
          <w:szCs w:val="13"/>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w:t>
      </w:r>
    </w:p>
    <w:p>
      <w:pPr>
        <w:sectPr>
          <w:pgSz w:w="11900" w:h="16838" w:orient="portrait"/>
          <w:cols w:equalWidth="0" w:num="1">
            <w:col w:w="9019"/>
          </w:cols>
          <w:pgMar w:left="1440" w:top="247" w:right="1440" w:bottom="1440" w:gutter="0" w:footer="0" w:header="0"/>
        </w:sectPr>
      </w:pPr>
    </w:p>
    <w:bookmarkStart w:id="5" w:name="page6"/>
    <w:bookmarkEnd w:id="5"/>
    <w:p>
      <w:pPr>
        <w:ind w:left="120" w:right="179"/>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Use of Non-GAAP Financial Measures by P10, Inc.</w:t>
      </w:r>
    </w:p>
    <w:p>
      <w:pPr>
        <w:spacing w:after="0" w:line="101" w:lineRule="exact"/>
        <w:rPr>
          <w:sz w:val="20"/>
          <w:szCs w:val="20"/>
          <w:color w:val="auto"/>
        </w:rPr>
      </w:pPr>
    </w:p>
    <w:p>
      <w:pPr>
        <w:ind w:left="120" w:right="139"/>
        <w:spacing w:after="0" w:line="281" w:lineRule="auto"/>
        <w:rPr>
          <w:sz w:val="20"/>
          <w:szCs w:val="20"/>
          <w:color w:val="auto"/>
        </w:rPr>
      </w:pPr>
      <w:r>
        <w:rPr>
          <w:rFonts w:ascii="Arial" w:cs="Arial" w:eastAsia="Arial" w:hAnsi="Arial"/>
          <w:sz w:val="13"/>
          <w:szCs w:val="13"/>
          <w:color w:val="auto"/>
        </w:rPr>
        <w:t>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second quarter 2022 financials.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 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ectPr>
          <w:pgSz w:w="11900" w:h="16838" w:orient="portrait"/>
          <w:cols w:equalWidth="0" w:num="1">
            <w:col w:w="9019"/>
          </w:cols>
          <w:pgMar w:left="1440" w:top="247" w:right="1440" w:bottom="1440" w:gutter="0" w:footer="0" w:header="0"/>
        </w:sectPr>
      </w:pPr>
    </w:p>
    <w:bookmarkStart w:id="6" w:name="page7"/>
    <w:bookmarkEnd w:id="6"/>
    <w:p>
      <w:pPr>
        <w:ind w:left="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Ownership Limitations</w:t>
      </w:r>
    </w:p>
    <w:p>
      <w:pPr>
        <w:spacing w:after="0" w:line="101" w:lineRule="exact"/>
        <w:rPr>
          <w:sz w:val="20"/>
          <w:szCs w:val="20"/>
          <w:color w:val="auto"/>
        </w:rPr>
      </w:pPr>
    </w:p>
    <w:p>
      <w:pPr>
        <w:ind w:left="120" w:right="379"/>
        <w:spacing w:after="0" w:line="272" w:lineRule="auto"/>
        <w:rPr>
          <w:sz w:val="20"/>
          <w:szCs w:val="20"/>
          <w:color w:val="auto"/>
        </w:rPr>
      </w:pPr>
      <w:r>
        <w:rPr>
          <w:rFonts w:ascii="Arial" w:cs="Arial" w:eastAsia="Arial" w:hAnsi="Arial"/>
          <w:sz w:val="14"/>
          <w:szCs w:val="14"/>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P10 Press and Investor Contact: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info@p10alts.com</w:t>
      </w:r>
    </w:p>
    <w:p>
      <w:pPr>
        <w:sectPr>
          <w:pgSz w:w="11900" w:h="16838" w:orient="portrait"/>
          <w:cols w:equalWidth="0" w:num="1">
            <w:col w:w="9019"/>
          </w:cols>
          <w:pgMar w:left="1440" w:top="243"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2022-08-11T15:25:44Z</dcterms:created>
  <dcterms:modified xsi:type="dcterms:W3CDTF">2022-08-11T15:25:44Z</dcterms:modified>
</cp:coreProperties>
</file>