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Date Of Report (Date Of Earliest Event Reported): 02/02/2005</w:t>
      </w:r>
    </w:p>
    <w:p>
      <w:pPr>
        <w:spacing w:after="0" w:line="125"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ACTIVE POWER INC</w:t>
      </w:r>
    </w:p>
    <w:p>
      <w:pPr>
        <w:spacing w:after="0" w:line="4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Commission File Number: 000-30939</w:t>
      </w:r>
    </w:p>
    <w:p>
      <w:pPr>
        <w:sectPr>
          <w:pgSz w:w="11900" w:h="16838" w:orient="portrait"/>
          <w:cols w:equalWidth="0" w:num="1">
            <w:col w:w="10920"/>
          </w:cols>
          <w:pgMar w:left="240" w:top="530" w:right="739" w:bottom="1440" w:gutter="0" w:footer="0" w:header="0"/>
        </w:sectPr>
      </w:pPr>
    </w:p>
    <w:p>
      <w:pPr>
        <w:spacing w:after="0" w:line="139" w:lineRule="exact"/>
        <w:rPr>
          <w:sz w:val="24"/>
          <w:szCs w:val="24"/>
          <w:color w:val="auto"/>
        </w:rPr>
      </w:pPr>
    </w:p>
    <w:p>
      <w:pPr>
        <w:ind w:left="294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74-2961657</w:t>
      </w:r>
    </w:p>
    <w:p>
      <w:pPr>
        <w:spacing w:after="0" w:line="62" w:lineRule="exact"/>
        <w:rPr>
          <w:sz w:val="24"/>
          <w:szCs w:val="24"/>
          <w:color w:val="auto"/>
        </w:rPr>
      </w:pPr>
    </w:p>
    <w:p>
      <w:pPr>
        <w:sectPr>
          <w:pgSz w:w="11900" w:h="16838" w:orient="portrait"/>
          <w:cols w:equalWidth="0" w:num="2">
            <w:col w:w="8020" w:space="720"/>
            <w:col w:w="2180"/>
          </w:cols>
          <w:pgMar w:left="240" w:top="530" w:right="739" w:bottom="1440" w:gutter="0" w:footer="0" w:header="0"/>
          <w:type w:val="continuous"/>
        </w:sectPr>
      </w:pPr>
    </w:p>
    <w:p>
      <w:pPr>
        <w:ind w:left="224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ind w:left="220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b w:val="1"/>
          <w:bCs w:val="1"/>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155" w:lineRule="exact"/>
        <w:rPr>
          <w:sz w:val="24"/>
          <w:szCs w:val="24"/>
          <w:color w:val="auto"/>
        </w:rPr>
      </w:pPr>
    </w:p>
    <w:p>
      <w:pPr>
        <w:sectPr>
          <w:pgSz w:w="11900" w:h="16838" w:orient="portrait"/>
          <w:cols w:equalWidth="0" w:num="2">
            <w:col w:w="7840" w:space="720"/>
            <w:col w:w="2360"/>
          </w:cols>
          <w:pgMar w:left="240" w:top="530" w:right="739" w:bottom="1440" w:gutter="0" w:footer="0" w:header="0"/>
          <w:type w:val="continuous"/>
        </w:sectPr>
      </w:pPr>
    </w:p>
    <w:p>
      <w:pPr>
        <w:jc w:val="center"/>
        <w:ind w:right="-519"/>
        <w:spacing w:after="0"/>
        <w:rPr>
          <w:sz w:val="20"/>
          <w:szCs w:val="20"/>
          <w:color w:val="auto"/>
        </w:rPr>
      </w:pPr>
      <w:r>
        <w:rPr>
          <w:rFonts w:ascii="Arial" w:cs="Arial" w:eastAsia="Arial" w:hAnsi="Arial"/>
          <w:sz w:val="21"/>
          <w:szCs w:val="21"/>
          <w:b w:val="1"/>
          <w:bCs w:val="1"/>
          <w:color w:val="auto"/>
        </w:rPr>
        <w:t>2128 W. Braker Lane, BK12, Austin, TX 78758</w:t>
      </w:r>
    </w:p>
    <w:p>
      <w:pPr>
        <w:spacing w:after="0" w:line="35"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1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512 836 6464</w:t>
      </w:r>
    </w:p>
    <w:p>
      <w:pPr>
        <w:spacing w:after="0" w:line="23"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61"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ectPr>
          <w:pgSz w:w="11900" w:h="16838" w:orient="portrait"/>
          <w:cols w:equalWidth="0" w:num="1">
            <w:col w:w="10920"/>
          </w:cols>
          <w:pgMar w:left="240" w:top="530" w:right="739" w:bottom="1440" w:gutter="0" w:footer="0" w:header="0"/>
          <w:type w:val="continuous"/>
        </w:sectPr>
      </w:pPr>
    </w:p>
    <w:p>
      <w:pPr>
        <w:spacing w:after="0" w:line="341"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Soliciting material pursuant to Rule 14a-12 under the Exchange Act(17CFR240.14a-12)</w:t>
      </w:r>
    </w:p>
    <w:p>
      <w:pPr>
        <w:spacing w:after="0" w:line="225"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Pre-commencement communications pursuant to Rule 14d-2(b) under the Exchange Act(17CFR240.14d-2(b))</w:t>
      </w:r>
    </w:p>
    <w:p>
      <w:pPr>
        <w:spacing w:after="0" w:line="225" w:lineRule="exact"/>
        <w:rPr>
          <w:rFonts w:ascii="Arial" w:cs="Arial" w:eastAsia="Arial" w:hAnsi="Arial"/>
          <w:sz w:val="18"/>
          <w:szCs w:val="18"/>
          <w:b w:val="1"/>
          <w:bCs w:val="1"/>
          <w:color w:val="auto"/>
        </w:rPr>
      </w:pPr>
    </w:p>
    <w:p>
      <w:pPr>
        <w:ind w:left="160" w:hanging="152"/>
        <w:spacing w:after="0"/>
        <w:tabs>
          <w:tab w:leader="none" w:pos="1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Pre-commencement communications pursuant to Rule 13e-4(c) under the Exchange Act(17CFR240.13e-4(c))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920"/>
          </w:cols>
          <w:pgMar w:left="240" w:top="530" w:right="7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color w:val="auto"/>
        </w:rPr>
        <w:t>Items to be Included in this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64" w:lineRule="exact"/>
        <w:rPr>
          <w:sz w:val="20"/>
          <w:szCs w:val="20"/>
          <w:color w:val="auto"/>
        </w:rPr>
      </w:pPr>
    </w:p>
    <w:p>
      <w:pPr>
        <w:ind w:firstLine="464"/>
        <w:spacing w:after="0" w:line="298" w:lineRule="auto"/>
        <w:tabs>
          <w:tab w:leader="none" w:pos="1002"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February 2, 2005, Active Power, Inc. announced that it had appointed John Penver as its Vice President and Chief Financial Officer. Mr. Penver will begin his employment with Active Power on February 28, 2005. Mr. Penver will replace David Gino as Active Power's principal financial officer and principal accounting officer. Active Power announced on December 8, 2004 that Mr. Gino had resigned his position with Active Power but would continue his service as Active Power's Chief Financial Officer through the filing of its Annual Report on Form 10-K.</w:t>
      </w:r>
    </w:p>
    <w:p>
      <w:pPr>
        <w:spacing w:after="0" w:line="167" w:lineRule="exact"/>
        <w:rPr>
          <w:sz w:val="20"/>
          <w:szCs w:val="20"/>
          <w:color w:val="auto"/>
        </w:rPr>
      </w:pPr>
    </w:p>
    <w:p>
      <w:pPr>
        <w:ind w:firstLine="808"/>
        <w:spacing w:after="0" w:line="290" w:lineRule="auto"/>
        <w:rPr>
          <w:sz w:val="20"/>
          <w:szCs w:val="20"/>
          <w:color w:val="auto"/>
        </w:rPr>
      </w:pPr>
      <w:r>
        <w:rPr>
          <w:rFonts w:ascii="Arial" w:cs="Arial" w:eastAsia="Arial" w:hAnsi="Arial"/>
          <w:sz w:val="16"/>
          <w:szCs w:val="16"/>
          <w:color w:val="auto"/>
        </w:rPr>
        <w:t>Prior to joining Active Power, Mr. Penver, 42, served as Chief Financial Officer of PerformanceRetail, Inc., a private retail management software company, from May 2004 to February 2005. Prior to that, Mr. Penver served as Chief Financial Officer of Factory Logic, Inc., a private enterprise-application software company, from September 2002 to April 2004. From October 2001, to August 2002, Mr. Penver served as an independent business consultant to several private companies. From March 2000 to September 2001, Mr. Penver served as Chief Financial Officer and Vice President of Finance and Human Resources for Yclip Corporation, a private internet-marketing software company. From February 1997 through March 2000, Mr. Penver was Vice President of Finance for Silicon Gaming, Inc., a publicly traded manufacturer of high-technology slot machines for the gaming industry. Mr. Penver is a CPA and a Chartered Accountant, and holds a Bachelor of Business in Accounting from Monash University in Australia and an M.B.A. from Santa Clara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ACTIVE POWER INC</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February 03,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Chairman of the Board, President and Chief Executive</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360"/>
      </w:cols>
      <w:pgMar w:left="24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2019-12-14T16:14:06Z</dcterms:created>
  <dcterms:modified xsi:type="dcterms:W3CDTF">2019-12-14T16:14:06Z</dcterms:modified>
</cp:coreProperties>
</file>