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u w:val="single" w:color="auto"/>
          <w:color w:val="auto"/>
        </w:rPr>
        <w:t>P10, Inc.</w:t>
      </w:r>
    </w:p>
    <w:p>
      <w:pPr>
        <w:spacing w:after="0" w:line="3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178"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2"/>
          <w:szCs w:val="22"/>
          <w:b w:val="1"/>
          <w:bCs w:val="1"/>
          <w:color w:val="auto"/>
        </w:rPr>
        <w:t>Class A Common Stock, $0.001 par value per share</w:t>
      </w:r>
    </w:p>
    <w:p>
      <w:pPr>
        <w:spacing w:after="0" w:line="18"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7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69376K106</w:t>
      </w:r>
    </w:p>
    <w:p>
      <w:pPr>
        <w:spacing w:after="0" w:line="1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17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22"/>
          <w:szCs w:val="22"/>
          <w:b w:val="1"/>
          <w:bCs w:val="1"/>
          <w:color w:val="auto"/>
        </w:rPr>
        <w:t>December 31, 2022</w:t>
      </w:r>
    </w:p>
    <w:p>
      <w:pPr>
        <w:spacing w:after="0" w:line="1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15" w:lineRule="exact"/>
        <w:rPr>
          <w:sz w:val="24"/>
          <w:szCs w:val="24"/>
          <w:color w:val="auto"/>
        </w:rPr>
      </w:pPr>
    </w:p>
    <w:p>
      <w:pPr>
        <w:jc w:val="both"/>
        <w:ind w:left="440" w:right="9320"/>
        <w:spacing w:after="0" w:line="226" w:lineRule="exact"/>
        <w:tabs>
          <w:tab w:leader="none" w:pos="872"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color w:val="auto"/>
        </w:rPr>
        <w:t xml:space="preserve">Rule 13d-1(b)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color w:val="auto"/>
        </w:rPr>
        <w:t xml:space="preserve"> Rule 13d-1(c)</w:t>
      </w:r>
    </w:p>
    <w:p>
      <w:pPr>
        <w:ind w:left="880" w:hanging="440"/>
        <w:spacing w:after="0"/>
        <w:tabs>
          <w:tab w:leader="none" w:pos="8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color w:val="auto"/>
        </w:rPr>
        <w:t>Rule 13d-1(d)</w:t>
      </w:r>
    </w:p>
    <w:p>
      <w:pPr>
        <w:spacing w:after="0" w:line="196" w:lineRule="exact"/>
        <w:rPr>
          <w:sz w:val="24"/>
          <w:szCs w:val="24"/>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31"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29"/>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340" w:type="dxa"/>
            <w:vAlign w:val="bottom"/>
            <w:tcBorders>
              <w:right w:val="single" w:sz="8" w:color="auto"/>
            </w:tcBorders>
          </w:tcPr>
          <w:p>
            <w:pPr>
              <w:spacing w:after="0"/>
              <w:rPr>
                <w:sz w:val="19"/>
                <w:szCs w:val="19"/>
                <w:color w:val="auto"/>
              </w:rPr>
            </w:pPr>
          </w:p>
        </w:tc>
        <w:tc>
          <w:tcPr>
            <w:tcW w:w="1780" w:type="dxa"/>
            <w:vAlign w:val="bottom"/>
            <w:tcBorders>
              <w:top w:val="single" w:sz="8" w:color="auto"/>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69376K106</w:t>
            </w:r>
          </w:p>
        </w:tc>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4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The Conversant Opportunity Master Fund LP</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tcBorders>
            <w:gridSpan w:val="5"/>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9720" w:type="dxa"/>
            <w:vAlign w:val="bottom"/>
            <w:gridSpan w:val="6"/>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340" w:type="dxa"/>
            <w:vAlign w:val="bottom"/>
            <w:tcBorders>
              <w:right w:val="single" w:sz="8" w:color="BFBFBF"/>
            </w:tcBorders>
            <w:shd w:val="clear" w:color="auto" w:fill="BFBFBF"/>
          </w:tcPr>
          <w:p>
            <w:pPr>
              <w:spacing w:after="0"/>
              <w:rPr>
                <w:sz w:val="24"/>
                <w:szCs w:val="24"/>
                <w:color w:val="auto"/>
              </w:rPr>
            </w:pPr>
          </w:p>
        </w:tc>
        <w:tc>
          <w:tcPr>
            <w:tcW w:w="30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820" w:type="dxa"/>
            <w:vAlign w:val="bottom"/>
            <w:tcBorders>
              <w:right w:val="single" w:sz="8" w:color="BFBFBF"/>
            </w:tcBorders>
            <w:shd w:val="clear" w:color="auto" w:fill="BFBFBF"/>
          </w:tcPr>
          <w:p>
            <w:pPr>
              <w:spacing w:after="0"/>
              <w:rPr>
                <w:sz w:val="24"/>
                <w:szCs w:val="24"/>
                <w:color w:val="auto"/>
              </w:rPr>
            </w:pPr>
          </w:p>
        </w:tc>
        <w:tc>
          <w:tcPr>
            <w:tcW w:w="76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340" w:type="dxa"/>
            <w:vAlign w:val="bottom"/>
            <w:tcBorders>
              <w:bottom w:val="single" w:sz="8" w:color="auto"/>
              <w:right w:val="single" w:sz="8" w:color="BFBFBF"/>
            </w:tcBorders>
            <w:shd w:val="clear" w:color="auto" w:fill="BFBFBF"/>
          </w:tcPr>
          <w:p>
            <w:pPr>
              <w:spacing w:after="0"/>
              <w:rPr>
                <w:sz w:val="23"/>
                <w:szCs w:val="23"/>
                <w:color w:val="auto"/>
              </w:rPr>
            </w:pPr>
          </w:p>
        </w:tc>
        <w:tc>
          <w:tcPr>
            <w:tcW w:w="30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820" w:type="dxa"/>
            <w:vAlign w:val="bottom"/>
            <w:tcBorders>
              <w:bottom w:val="single" w:sz="8" w:color="auto"/>
              <w:right w:val="single" w:sz="8" w:color="BFBFBF"/>
            </w:tcBorders>
            <w:shd w:val="clear" w:color="auto" w:fill="BFBFBF"/>
          </w:tcPr>
          <w:p>
            <w:pPr>
              <w:spacing w:after="0"/>
              <w:rPr>
                <w:sz w:val="23"/>
                <w:szCs w:val="23"/>
                <w:color w:val="auto"/>
              </w:rPr>
            </w:pPr>
          </w:p>
        </w:tc>
        <w:tc>
          <w:tcPr>
            <w:tcW w:w="76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21"/>
                <w:szCs w:val="21"/>
                <w:color w:val="auto"/>
              </w:rPr>
            </w:pPr>
          </w:p>
        </w:tc>
        <w:tc>
          <w:tcPr>
            <w:tcW w:w="480" w:type="dxa"/>
            <w:vAlign w:val="bottom"/>
            <w:tcBorders>
              <w:right w:val="single" w:sz="8" w:color="auto"/>
            </w:tcBorders>
            <w:vMerge w:val="continue"/>
          </w:tcPr>
          <w:p>
            <w:pPr>
              <w:spacing w:after="0"/>
              <w:rPr>
                <w:sz w:val="21"/>
                <w:szCs w:val="21"/>
                <w:color w:val="auto"/>
              </w:rPr>
            </w:pPr>
          </w:p>
        </w:tc>
        <w:tc>
          <w:tcPr>
            <w:tcW w:w="82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2,459,702</w:t>
            </w:r>
          </w:p>
        </w:tc>
        <w:tc>
          <w:tcPr>
            <w:tcW w:w="7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gridSpan w:val="3"/>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6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8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84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400" w:type="dxa"/>
            <w:vAlign w:val="bottom"/>
            <w:tcBorders>
              <w:left w:val="single" w:sz="8" w:color="auto"/>
            </w:tcBorders>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2,459,702</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gridSpan w:val="2"/>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2,459,702</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gridSpan w:val="2"/>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left w:val="single" w:sz="8" w:color="auto"/>
              <w:right w:val="single" w:sz="8" w:color="auto"/>
            </w:tcBorders>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PN</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6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35"/>
        </w:trPr>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9"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340" w:type="dxa"/>
            <w:vAlign w:val="bottom"/>
            <w:tcBorders>
              <w:right w:val="single" w:sz="8" w:color="auto"/>
            </w:tcBorders>
          </w:tcPr>
          <w:p>
            <w:pPr>
              <w:spacing w:after="0"/>
              <w:rPr>
                <w:sz w:val="19"/>
                <w:szCs w:val="19"/>
                <w:color w:val="auto"/>
              </w:rPr>
            </w:pPr>
          </w:p>
        </w:tc>
        <w:tc>
          <w:tcPr>
            <w:tcW w:w="1780" w:type="dxa"/>
            <w:vAlign w:val="bottom"/>
            <w:tcBorders>
              <w:top w:val="single" w:sz="8" w:color="auto"/>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69376K106</w:t>
            </w:r>
          </w:p>
        </w:tc>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4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Conversant GP Holdings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tcBorders>
            <w:gridSpan w:val="5"/>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9720" w:type="dxa"/>
            <w:vAlign w:val="bottom"/>
            <w:gridSpan w:val="6"/>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340" w:type="dxa"/>
            <w:vAlign w:val="bottom"/>
            <w:tcBorders>
              <w:right w:val="single" w:sz="8" w:color="BFBFBF"/>
            </w:tcBorders>
            <w:shd w:val="clear" w:color="auto" w:fill="BFBFBF"/>
          </w:tcPr>
          <w:p>
            <w:pPr>
              <w:spacing w:after="0"/>
              <w:rPr>
                <w:sz w:val="24"/>
                <w:szCs w:val="24"/>
                <w:color w:val="auto"/>
              </w:rPr>
            </w:pPr>
          </w:p>
        </w:tc>
        <w:tc>
          <w:tcPr>
            <w:tcW w:w="30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820" w:type="dxa"/>
            <w:vAlign w:val="bottom"/>
            <w:tcBorders>
              <w:right w:val="single" w:sz="8" w:color="BFBFBF"/>
            </w:tcBorders>
            <w:shd w:val="clear" w:color="auto" w:fill="BFBFBF"/>
          </w:tcPr>
          <w:p>
            <w:pPr>
              <w:spacing w:after="0"/>
              <w:rPr>
                <w:sz w:val="24"/>
                <w:szCs w:val="24"/>
                <w:color w:val="auto"/>
              </w:rPr>
            </w:pPr>
          </w:p>
        </w:tc>
        <w:tc>
          <w:tcPr>
            <w:tcW w:w="76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340" w:type="dxa"/>
            <w:vAlign w:val="bottom"/>
            <w:tcBorders>
              <w:bottom w:val="single" w:sz="8" w:color="auto"/>
              <w:right w:val="single" w:sz="8" w:color="BFBFBF"/>
            </w:tcBorders>
            <w:shd w:val="clear" w:color="auto" w:fill="BFBFBF"/>
          </w:tcPr>
          <w:p>
            <w:pPr>
              <w:spacing w:after="0"/>
              <w:rPr>
                <w:sz w:val="23"/>
                <w:szCs w:val="23"/>
                <w:color w:val="auto"/>
              </w:rPr>
            </w:pPr>
          </w:p>
        </w:tc>
        <w:tc>
          <w:tcPr>
            <w:tcW w:w="30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820" w:type="dxa"/>
            <w:vAlign w:val="bottom"/>
            <w:tcBorders>
              <w:bottom w:val="single" w:sz="8" w:color="auto"/>
              <w:right w:val="single" w:sz="8" w:color="BFBFBF"/>
            </w:tcBorders>
            <w:shd w:val="clear" w:color="auto" w:fill="BFBFBF"/>
          </w:tcPr>
          <w:p>
            <w:pPr>
              <w:spacing w:after="0"/>
              <w:rPr>
                <w:sz w:val="23"/>
                <w:szCs w:val="23"/>
                <w:color w:val="auto"/>
              </w:rPr>
            </w:pPr>
          </w:p>
        </w:tc>
        <w:tc>
          <w:tcPr>
            <w:tcW w:w="76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21"/>
                <w:szCs w:val="21"/>
                <w:color w:val="auto"/>
              </w:rPr>
            </w:pPr>
          </w:p>
        </w:tc>
        <w:tc>
          <w:tcPr>
            <w:tcW w:w="480" w:type="dxa"/>
            <w:vAlign w:val="bottom"/>
            <w:tcBorders>
              <w:right w:val="single" w:sz="8" w:color="auto"/>
            </w:tcBorders>
            <w:vMerge w:val="continue"/>
          </w:tcPr>
          <w:p>
            <w:pPr>
              <w:spacing w:after="0"/>
              <w:rPr>
                <w:sz w:val="21"/>
                <w:szCs w:val="21"/>
                <w:color w:val="auto"/>
              </w:rPr>
            </w:pPr>
          </w:p>
        </w:tc>
        <w:tc>
          <w:tcPr>
            <w:tcW w:w="82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2,459,702</w:t>
            </w:r>
          </w:p>
        </w:tc>
        <w:tc>
          <w:tcPr>
            <w:tcW w:w="7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gridSpan w:val="3"/>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6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8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84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400" w:type="dxa"/>
            <w:vAlign w:val="bottom"/>
            <w:tcBorders>
              <w:left w:val="single" w:sz="8" w:color="auto"/>
            </w:tcBorders>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2,459,702</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gridSpan w:val="2"/>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2,459,702</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gridSpan w:val="2"/>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left w:val="single" w:sz="8" w:color="auto"/>
              <w:right w:val="single" w:sz="8" w:color="auto"/>
            </w:tcBorders>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OO</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6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35"/>
        </w:trPr>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9"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340" w:type="dxa"/>
            <w:vAlign w:val="bottom"/>
            <w:tcBorders>
              <w:right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69376K106</w:t>
            </w:r>
          </w:p>
        </w:tc>
        <w:tc>
          <w:tcPr>
            <w:tcW w:w="800" w:type="dxa"/>
            <w:vAlign w:val="bottom"/>
            <w:tcBorders>
              <w:top w:val="single" w:sz="8" w:color="auto"/>
              <w:bottom w:val="single" w:sz="8" w:color="auto"/>
              <w:right w:val="single" w:sz="8" w:color="auto"/>
            </w:tcBorders>
          </w:tcPr>
          <w:p>
            <w:pPr>
              <w:spacing w:after="0"/>
              <w:rPr>
                <w:sz w:val="19"/>
                <w:szCs w:val="19"/>
                <w:color w:val="auto"/>
              </w:rPr>
            </w:pPr>
          </w:p>
        </w:tc>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4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7"/>
            <w:vMerge w:val="restart"/>
          </w:tcPr>
          <w:p>
            <w:pPr>
              <w:ind w:left="40"/>
              <w:spacing w:after="0"/>
              <w:rPr>
                <w:sz w:val="20"/>
                <w:szCs w:val="20"/>
                <w:color w:val="auto"/>
              </w:rPr>
            </w:pPr>
            <w:r>
              <w:rPr>
                <w:rFonts w:ascii="Times New Roman" w:cs="Times New Roman" w:eastAsia="Times New Roman" w:hAnsi="Times New Roman"/>
                <w:sz w:val="18"/>
                <w:szCs w:val="18"/>
                <w:color w:val="auto"/>
              </w:rPr>
              <w:t>Conversant Capital LLC</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tcPr>
          <w:p>
            <w:pPr>
              <w:spacing w:after="0"/>
              <w:rPr>
                <w:sz w:val="13"/>
                <w:szCs w:val="13"/>
                <w:color w:val="auto"/>
              </w:rPr>
            </w:pPr>
          </w:p>
        </w:tc>
        <w:tc>
          <w:tcPr>
            <w:tcW w:w="9720" w:type="dxa"/>
            <w:vAlign w:val="bottom"/>
            <w:gridSpan w:val="7"/>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tcBorders>
            <w:gridSpan w:val="6"/>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gridSpan w:val="5"/>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800" w:type="dxa"/>
            <w:vAlign w:val="bottom"/>
            <w:tcBorders>
              <w:right w:val="single" w:sz="8" w:color="BFBFBF"/>
            </w:tcBorders>
            <w:shd w:val="clear" w:color="auto" w:fill="BFBFBF"/>
          </w:tcPr>
          <w:p>
            <w:pPr>
              <w:spacing w:after="0"/>
              <w:rPr>
                <w:sz w:val="20"/>
                <w:szCs w:val="20"/>
                <w:color w:val="auto"/>
              </w:rPr>
            </w:pPr>
          </w:p>
        </w:tc>
        <w:tc>
          <w:tcPr>
            <w:tcW w:w="76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340" w:type="dxa"/>
            <w:vAlign w:val="bottom"/>
            <w:tcBorders>
              <w:right w:val="single" w:sz="8" w:color="BFBFBF"/>
            </w:tcBorders>
            <w:shd w:val="clear" w:color="auto" w:fill="BFBFBF"/>
          </w:tcPr>
          <w:p>
            <w:pPr>
              <w:spacing w:after="0"/>
              <w:rPr>
                <w:sz w:val="24"/>
                <w:szCs w:val="24"/>
                <w:color w:val="auto"/>
              </w:rPr>
            </w:pPr>
          </w:p>
        </w:tc>
        <w:tc>
          <w:tcPr>
            <w:tcW w:w="30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00" w:type="dxa"/>
            <w:vAlign w:val="bottom"/>
            <w:tcBorders>
              <w:right w:val="single" w:sz="8" w:color="BFBFBF"/>
            </w:tcBorders>
            <w:shd w:val="clear" w:color="auto" w:fill="BFBFBF"/>
          </w:tcPr>
          <w:p>
            <w:pPr>
              <w:spacing w:after="0"/>
              <w:rPr>
                <w:sz w:val="24"/>
                <w:szCs w:val="24"/>
                <w:color w:val="auto"/>
              </w:rPr>
            </w:pPr>
          </w:p>
        </w:tc>
        <w:tc>
          <w:tcPr>
            <w:tcW w:w="76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340" w:type="dxa"/>
            <w:vAlign w:val="bottom"/>
            <w:tcBorders>
              <w:bottom w:val="single" w:sz="8" w:color="auto"/>
              <w:right w:val="single" w:sz="8" w:color="BFBFBF"/>
            </w:tcBorders>
            <w:shd w:val="clear" w:color="auto" w:fill="BFBFBF"/>
          </w:tcPr>
          <w:p>
            <w:pPr>
              <w:spacing w:after="0"/>
              <w:rPr>
                <w:sz w:val="23"/>
                <w:szCs w:val="23"/>
                <w:color w:val="auto"/>
              </w:rPr>
            </w:pPr>
          </w:p>
        </w:tc>
        <w:tc>
          <w:tcPr>
            <w:tcW w:w="30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00" w:type="dxa"/>
            <w:vAlign w:val="bottom"/>
            <w:tcBorders>
              <w:bottom w:val="single" w:sz="8" w:color="auto"/>
              <w:right w:val="single" w:sz="8" w:color="BFBFBF"/>
            </w:tcBorders>
            <w:shd w:val="clear" w:color="auto" w:fill="BFBFBF"/>
          </w:tcPr>
          <w:p>
            <w:pPr>
              <w:spacing w:after="0"/>
              <w:rPr>
                <w:sz w:val="23"/>
                <w:szCs w:val="23"/>
                <w:color w:val="auto"/>
              </w:rPr>
            </w:pPr>
          </w:p>
        </w:tc>
        <w:tc>
          <w:tcPr>
            <w:tcW w:w="76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21"/>
                <w:szCs w:val="21"/>
                <w:color w:val="auto"/>
              </w:rPr>
            </w:pPr>
          </w:p>
        </w:tc>
        <w:tc>
          <w:tcPr>
            <w:tcW w:w="480" w:type="dxa"/>
            <w:vAlign w:val="bottom"/>
            <w:tcBorders>
              <w:right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2,459,702</w:t>
            </w:r>
          </w:p>
        </w:tc>
        <w:tc>
          <w:tcPr>
            <w:tcW w:w="7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gridSpan w:val="3"/>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6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34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7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2,459,702</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gridSpan w:val="2"/>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2,459,702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gridSpan w:val="2"/>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20" w:type="dxa"/>
            <w:vAlign w:val="bottom"/>
            <w:tcBorders>
              <w:bottom w:val="single" w:sz="8" w:color="auto"/>
            </w:tcBorders>
            <w:gridSpan w:val="2"/>
          </w:tcPr>
          <w:p>
            <w:pPr>
              <w:spacing w:after="0"/>
              <w:rPr>
                <w:sz w:val="12"/>
                <w:szCs w:val="12"/>
                <w:color w:val="auto"/>
              </w:rPr>
            </w:pPr>
          </w:p>
        </w:tc>
        <w:tc>
          <w:tcPr>
            <w:tcW w:w="76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left w:val="single" w:sz="8" w:color="auto"/>
              <w:right w:val="single" w:sz="8" w:color="auto"/>
            </w:tcBorders>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OO, IA</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35"/>
        </w:trPr>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9" w:right="339" w:bottom="1440" w:gutter="0" w:footer="0" w:header="0"/>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340" w:type="dxa"/>
            <w:vAlign w:val="bottom"/>
            <w:tcBorders>
              <w:right w:val="single" w:sz="8" w:color="auto"/>
            </w:tcBorders>
          </w:tcPr>
          <w:p>
            <w:pPr>
              <w:spacing w:after="0"/>
              <w:rPr>
                <w:sz w:val="19"/>
                <w:szCs w:val="19"/>
                <w:color w:val="auto"/>
              </w:rPr>
            </w:pPr>
          </w:p>
        </w:tc>
        <w:tc>
          <w:tcPr>
            <w:tcW w:w="1780" w:type="dxa"/>
            <w:vAlign w:val="bottom"/>
            <w:tcBorders>
              <w:top w:val="single" w:sz="8" w:color="auto"/>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69376K106</w:t>
            </w:r>
          </w:p>
        </w:tc>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14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spacing w:after="0"/>
              <w:rPr>
                <w:sz w:val="20"/>
                <w:szCs w:val="20"/>
                <w:color w:val="auto"/>
              </w:rPr>
            </w:pPr>
          </w:p>
        </w:tc>
        <w:tc>
          <w:tcPr>
            <w:tcW w:w="7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Michael Simanovsky</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tcPr>
          <w:p>
            <w:pPr>
              <w:spacing w:after="0"/>
              <w:rPr>
                <w:sz w:val="13"/>
                <w:szCs w:val="13"/>
                <w:color w:val="auto"/>
              </w:rPr>
            </w:pPr>
          </w:p>
        </w:tc>
        <w:tc>
          <w:tcPr>
            <w:tcW w:w="9720" w:type="dxa"/>
            <w:vAlign w:val="bottom"/>
            <w:gridSpan w:val="6"/>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tcBorders>
            <w:gridSpan w:val="5"/>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3"/>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9720" w:type="dxa"/>
            <w:vAlign w:val="bottom"/>
            <w:gridSpan w:val="6"/>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340" w:type="dxa"/>
            <w:vAlign w:val="bottom"/>
            <w:tcBorders>
              <w:right w:val="single" w:sz="8" w:color="BFBFBF"/>
            </w:tcBorders>
            <w:shd w:val="clear" w:color="auto" w:fill="BFBFBF"/>
          </w:tcPr>
          <w:p>
            <w:pPr>
              <w:spacing w:after="0"/>
              <w:rPr>
                <w:sz w:val="24"/>
                <w:szCs w:val="24"/>
                <w:color w:val="auto"/>
              </w:rPr>
            </w:pPr>
          </w:p>
        </w:tc>
        <w:tc>
          <w:tcPr>
            <w:tcW w:w="300" w:type="dxa"/>
            <w:vAlign w:val="bottom"/>
            <w:tcBorders>
              <w:right w:val="single" w:sz="8" w:color="BFBFBF"/>
            </w:tcBorders>
            <w:shd w:val="clear" w:color="auto" w:fill="BFBFBF"/>
          </w:tcPr>
          <w:p>
            <w:pPr>
              <w:spacing w:after="0"/>
              <w:rPr>
                <w:sz w:val="24"/>
                <w:szCs w:val="24"/>
                <w:color w:val="auto"/>
              </w:rPr>
            </w:pPr>
          </w:p>
        </w:tc>
        <w:tc>
          <w:tcPr>
            <w:tcW w:w="180" w:type="dxa"/>
            <w:vAlign w:val="bottom"/>
            <w:shd w:val="clear" w:color="auto" w:fill="BFBFBF"/>
          </w:tcPr>
          <w:p>
            <w:pPr>
              <w:spacing w:after="0"/>
              <w:rPr>
                <w:sz w:val="24"/>
                <w:szCs w:val="24"/>
                <w:color w:val="auto"/>
              </w:rPr>
            </w:pPr>
          </w:p>
        </w:tc>
        <w:tc>
          <w:tcPr>
            <w:tcW w:w="480" w:type="dxa"/>
            <w:vAlign w:val="bottom"/>
            <w:tcBorders>
              <w:right w:val="single" w:sz="8" w:color="BFBFBF"/>
            </w:tcBorders>
            <w:shd w:val="clear" w:color="auto" w:fill="BFBFBF"/>
          </w:tcPr>
          <w:p>
            <w:pPr>
              <w:spacing w:after="0"/>
              <w:rPr>
                <w:sz w:val="24"/>
                <w:szCs w:val="24"/>
                <w:color w:val="auto"/>
              </w:rPr>
            </w:pPr>
          </w:p>
        </w:tc>
        <w:tc>
          <w:tcPr>
            <w:tcW w:w="820" w:type="dxa"/>
            <w:vAlign w:val="bottom"/>
            <w:tcBorders>
              <w:right w:val="single" w:sz="8" w:color="BFBFBF"/>
            </w:tcBorders>
            <w:shd w:val="clear" w:color="auto" w:fill="BFBFBF"/>
          </w:tcPr>
          <w:p>
            <w:pPr>
              <w:spacing w:after="0"/>
              <w:rPr>
                <w:sz w:val="24"/>
                <w:szCs w:val="24"/>
                <w:color w:val="auto"/>
              </w:rPr>
            </w:pPr>
          </w:p>
        </w:tc>
        <w:tc>
          <w:tcPr>
            <w:tcW w:w="76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340" w:type="dxa"/>
            <w:vAlign w:val="bottom"/>
            <w:tcBorders>
              <w:bottom w:val="single" w:sz="8" w:color="auto"/>
              <w:right w:val="single" w:sz="8" w:color="BFBFBF"/>
            </w:tcBorders>
            <w:shd w:val="clear" w:color="auto" w:fill="BFBFBF"/>
          </w:tcPr>
          <w:p>
            <w:pPr>
              <w:spacing w:after="0"/>
              <w:rPr>
                <w:sz w:val="23"/>
                <w:szCs w:val="23"/>
                <w:color w:val="auto"/>
              </w:rPr>
            </w:pPr>
          </w:p>
        </w:tc>
        <w:tc>
          <w:tcPr>
            <w:tcW w:w="30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tcBorders>
            <w:shd w:val="clear" w:color="auto" w:fill="BFBFBF"/>
          </w:tcPr>
          <w:p>
            <w:pPr>
              <w:spacing w:after="0"/>
              <w:rPr>
                <w:sz w:val="23"/>
                <w:szCs w:val="23"/>
                <w:color w:val="auto"/>
              </w:rPr>
            </w:pPr>
          </w:p>
        </w:tc>
        <w:tc>
          <w:tcPr>
            <w:tcW w:w="480" w:type="dxa"/>
            <w:vAlign w:val="bottom"/>
            <w:tcBorders>
              <w:bottom w:val="single" w:sz="8" w:color="auto"/>
              <w:right w:val="single" w:sz="8" w:color="BFBFBF"/>
            </w:tcBorders>
            <w:shd w:val="clear" w:color="auto" w:fill="BFBFBF"/>
          </w:tcPr>
          <w:p>
            <w:pPr>
              <w:spacing w:after="0"/>
              <w:rPr>
                <w:sz w:val="23"/>
                <w:szCs w:val="23"/>
                <w:color w:val="auto"/>
              </w:rPr>
            </w:pPr>
          </w:p>
        </w:tc>
        <w:tc>
          <w:tcPr>
            <w:tcW w:w="820" w:type="dxa"/>
            <w:vAlign w:val="bottom"/>
            <w:tcBorders>
              <w:bottom w:val="single" w:sz="8" w:color="auto"/>
              <w:right w:val="single" w:sz="8" w:color="BFBFBF"/>
            </w:tcBorders>
            <w:shd w:val="clear" w:color="auto" w:fill="BFBFBF"/>
          </w:tcPr>
          <w:p>
            <w:pPr>
              <w:spacing w:after="0"/>
              <w:rPr>
                <w:sz w:val="23"/>
                <w:szCs w:val="23"/>
                <w:color w:val="auto"/>
              </w:rPr>
            </w:pPr>
          </w:p>
        </w:tc>
        <w:tc>
          <w:tcPr>
            <w:tcW w:w="76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80" w:type="dxa"/>
            <w:vAlign w:val="bottom"/>
          </w:tcPr>
          <w:p>
            <w:pPr>
              <w:spacing w:after="0"/>
              <w:rPr>
                <w:sz w:val="21"/>
                <w:szCs w:val="21"/>
                <w:color w:val="auto"/>
              </w:rPr>
            </w:pPr>
          </w:p>
        </w:tc>
        <w:tc>
          <w:tcPr>
            <w:tcW w:w="480" w:type="dxa"/>
            <w:vAlign w:val="bottom"/>
            <w:tcBorders>
              <w:right w:val="single" w:sz="8" w:color="auto"/>
            </w:tcBorders>
            <w:vMerge w:val="continue"/>
          </w:tcPr>
          <w:p>
            <w:pPr>
              <w:spacing w:after="0"/>
              <w:rPr>
                <w:sz w:val="21"/>
                <w:szCs w:val="21"/>
                <w:color w:val="auto"/>
              </w:rPr>
            </w:pPr>
          </w:p>
        </w:tc>
        <w:tc>
          <w:tcPr>
            <w:tcW w:w="820" w:type="dxa"/>
            <w:vAlign w:val="bottom"/>
          </w:tcPr>
          <w:p>
            <w:pPr>
              <w:spacing w:after="0"/>
              <w:rPr>
                <w:sz w:val="21"/>
                <w:szCs w:val="21"/>
                <w:color w:val="auto"/>
              </w:rPr>
            </w:pPr>
          </w:p>
        </w:tc>
        <w:tc>
          <w:tcPr>
            <w:tcW w:w="760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2,459,702</w:t>
            </w:r>
          </w:p>
        </w:tc>
        <w:tc>
          <w:tcPr>
            <w:tcW w:w="76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auto"/>
              <w:right w:val="single" w:sz="8" w:color="auto"/>
            </w:tcBorders>
            <w:gridSpan w:val="3"/>
            <w:vMerge w:val="restart"/>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6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040" w:type="dxa"/>
            <w:vAlign w:val="bottom"/>
            <w:tcBorders>
              <w:left w:val="single" w:sz="8" w:color="auto"/>
              <w:right w:val="single" w:sz="8" w:color="auto"/>
            </w:tcBorders>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8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18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842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1400" w:type="dxa"/>
            <w:vAlign w:val="bottom"/>
            <w:tcBorders>
              <w:left w:val="single" w:sz="8" w:color="auto"/>
            </w:tcBorders>
          </w:tcPr>
          <w:p>
            <w:pPr>
              <w:jc w:val="center"/>
              <w:ind w:left="509"/>
              <w:spacing w:after="0"/>
              <w:rPr>
                <w:sz w:val="20"/>
                <w:szCs w:val="20"/>
                <w:color w:val="auto"/>
              </w:rPr>
            </w:pPr>
            <w:r>
              <w:rPr>
                <w:rFonts w:ascii="Times New Roman" w:cs="Times New Roman" w:eastAsia="Times New Roman" w:hAnsi="Times New Roman"/>
                <w:sz w:val="18"/>
                <w:szCs w:val="18"/>
                <w:b w:val="1"/>
                <w:bCs w:val="1"/>
                <w:color w:val="auto"/>
              </w:rPr>
              <w:t>WITH</w:t>
            </w: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8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2,459,702</w:t>
            </w: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right w:val="single" w:sz="8" w:color="auto"/>
            </w:tcBorders>
          </w:tcPr>
          <w:p>
            <w:pPr>
              <w:spacing w:after="0"/>
              <w:rPr>
                <w:sz w:val="13"/>
                <w:szCs w:val="13"/>
                <w:color w:val="auto"/>
              </w:rPr>
            </w:pPr>
          </w:p>
        </w:tc>
        <w:tc>
          <w:tcPr>
            <w:tcW w:w="820" w:type="dxa"/>
            <w:vAlign w:val="bottom"/>
            <w:vMerge w:val="continue"/>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tcBorders>
          </w:tcPr>
          <w:p>
            <w:pPr>
              <w:spacing w:after="0"/>
              <w:rPr>
                <w:sz w:val="4"/>
                <w:szCs w:val="4"/>
                <w:color w:val="auto"/>
              </w:rPr>
            </w:pPr>
          </w:p>
        </w:tc>
        <w:tc>
          <w:tcPr>
            <w:tcW w:w="640" w:type="dxa"/>
            <w:vAlign w:val="bottom"/>
            <w:tcBorders>
              <w:bottom w:val="single" w:sz="8" w:color="auto"/>
              <w:right w:val="single" w:sz="8" w:color="auto"/>
            </w:tcBorders>
            <w:gridSpan w:val="2"/>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2,459,702</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400" w:type="dxa"/>
            <w:vAlign w:val="bottom"/>
            <w:tcBorders>
              <w:left w:val="single" w:sz="8" w:color="auto"/>
              <w:right w:val="single" w:sz="8" w:color="auto"/>
            </w:tcBorders>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6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gridSpan w:val="2"/>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6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gridSpan w:val="2"/>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6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9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IN</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6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35"/>
        </w:trPr>
        <w:tc>
          <w:tcPr>
            <w:tcW w:w="1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59" w:right="339" w:bottom="1440" w:gutter="0" w:footer="0" w:header="0"/>
        </w:sectPr>
      </w:pPr>
    </w:p>
    <w:bookmarkStart w:id="5" w:name="page6"/>
    <w:bookmarkEnd w:id="5"/>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name of the issuer is P10,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Company’s principal executive offices are located at 4514 Cole Ave., Suite 1600, Dallas, TX 75205.</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7"/>
          <w:szCs w:val="17"/>
          <w:b w:val="1"/>
          <w:bCs w:val="1"/>
          <w:color w:val="auto"/>
        </w:rPr>
        <w:t>Name of Person Filing</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This statement is filed by:</w:t>
      </w:r>
    </w:p>
    <w:p>
      <w:pPr>
        <w:spacing w:after="0" w:line="225" w:lineRule="exact"/>
        <w:rPr>
          <w:sz w:val="20"/>
          <w:szCs w:val="20"/>
          <w:color w:val="auto"/>
        </w:rPr>
      </w:pPr>
    </w:p>
    <w:p>
      <w:pPr>
        <w:ind w:left="1360" w:hanging="448"/>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Conversant Opportunity Master Fund LP, a Cayman Islands exempted limited partnership (“</w:t>
      </w:r>
      <w:r>
        <w:rPr>
          <w:rFonts w:ascii="Times New Roman" w:cs="Times New Roman" w:eastAsia="Times New Roman" w:hAnsi="Times New Roman"/>
          <w:sz w:val="18"/>
          <w:szCs w:val="18"/>
          <w:u w:val="single" w:color="auto"/>
          <w:color w:val="auto"/>
        </w:rPr>
        <w:t>Opportunity Master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60" w:right="660" w:hanging="448"/>
        <w:spacing w:after="0" w:line="282" w:lineRule="auto"/>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Conversant GP Holdings LLC, a Delaware limited liability company (“</w:t>
      </w:r>
      <w:r>
        <w:rPr>
          <w:rFonts w:ascii="Times New Roman" w:cs="Times New Roman" w:eastAsia="Times New Roman" w:hAnsi="Times New Roman"/>
          <w:sz w:val="18"/>
          <w:szCs w:val="18"/>
          <w:u w:val="single" w:color="auto"/>
          <w:color w:val="auto"/>
        </w:rPr>
        <w:t>Conversant GP</w:t>
      </w:r>
      <w:r>
        <w:rPr>
          <w:rFonts w:ascii="Times New Roman" w:cs="Times New Roman" w:eastAsia="Times New Roman" w:hAnsi="Times New Roman"/>
          <w:sz w:val="18"/>
          <w:szCs w:val="18"/>
          <w:color w:val="auto"/>
        </w:rPr>
        <w:t>”), which serves as the general partner of Opportunity Master;</w:t>
      </w:r>
    </w:p>
    <w:p>
      <w:pPr>
        <w:spacing w:after="0" w:line="161" w:lineRule="exact"/>
        <w:rPr>
          <w:rFonts w:ascii="Times New Roman" w:cs="Times New Roman" w:eastAsia="Times New Roman" w:hAnsi="Times New Roman"/>
          <w:sz w:val="18"/>
          <w:szCs w:val="18"/>
          <w:color w:val="auto"/>
        </w:rPr>
      </w:pPr>
    </w:p>
    <w:p>
      <w:pPr>
        <w:ind w:left="1360" w:right="420" w:hanging="448"/>
        <w:spacing w:after="0" w:line="282" w:lineRule="auto"/>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Conversant Capital LLC, a Delaware limited liability company (“</w:t>
      </w:r>
      <w:r>
        <w:rPr>
          <w:rFonts w:ascii="Times New Roman" w:cs="Times New Roman" w:eastAsia="Times New Roman" w:hAnsi="Times New Roman"/>
          <w:sz w:val="18"/>
          <w:szCs w:val="18"/>
          <w:u w:val="single" w:color="auto"/>
          <w:color w:val="auto"/>
        </w:rPr>
        <w:t>Conversant Capital</w:t>
      </w:r>
      <w:r>
        <w:rPr>
          <w:rFonts w:ascii="Times New Roman" w:cs="Times New Roman" w:eastAsia="Times New Roman" w:hAnsi="Times New Roman"/>
          <w:sz w:val="18"/>
          <w:szCs w:val="18"/>
          <w:color w:val="auto"/>
        </w:rPr>
        <w:t>”), which serves as the investment manager to Opportunity Master; and</w:t>
      </w:r>
    </w:p>
    <w:p>
      <w:pPr>
        <w:spacing w:after="0" w:line="161" w:lineRule="exact"/>
        <w:rPr>
          <w:rFonts w:ascii="Times New Roman" w:cs="Times New Roman" w:eastAsia="Times New Roman" w:hAnsi="Times New Roman"/>
          <w:sz w:val="18"/>
          <w:szCs w:val="18"/>
          <w:color w:val="auto"/>
        </w:rPr>
      </w:pPr>
    </w:p>
    <w:p>
      <w:pPr>
        <w:ind w:left="1360" w:hanging="448"/>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Simanovsky, an individual, who serves as sole managing member of Conversant GP and Conversant Capital.</w:t>
      </w:r>
    </w:p>
    <w:p>
      <w:pPr>
        <w:spacing w:after="0" w:line="252" w:lineRule="exact"/>
        <w:rPr>
          <w:sz w:val="20"/>
          <w:szCs w:val="20"/>
          <w:color w:val="auto"/>
        </w:rPr>
      </w:pPr>
    </w:p>
    <w:p>
      <w:pPr>
        <w:ind w:left="920"/>
        <w:spacing w:after="0" w:line="266" w:lineRule="auto"/>
        <w:rPr>
          <w:sz w:val="20"/>
          <w:szCs w:val="20"/>
          <w:color w:val="auto"/>
        </w:rPr>
      </w:pPr>
      <w:r>
        <w:rPr>
          <w:rFonts w:ascii="Times New Roman" w:cs="Times New Roman" w:eastAsia="Times New Roman" w:hAnsi="Times New Roman"/>
          <w:sz w:val="18"/>
          <w:szCs w:val="18"/>
          <w:color w:val="auto"/>
        </w:rPr>
        <w:t>Opportunity Master, Conversant GP, Conversant Capital, and Mr. Simanovsky are hereinafter sometimes collectively referred to as the “Reporting Persons.” Any disclosures herein with respect to persons other than the Reporting Persons are made on information and belief after making inquiry to the appropriate party.</w:t>
      </w:r>
    </w:p>
    <w:p>
      <w:pPr>
        <w:spacing w:after="0" w:line="176" w:lineRule="exact"/>
        <w:rPr>
          <w:sz w:val="20"/>
          <w:szCs w:val="20"/>
          <w:color w:val="auto"/>
        </w:rPr>
      </w:pPr>
    </w:p>
    <w:p>
      <w:pPr>
        <w:ind w:left="920" w:right="640"/>
        <w:spacing w:after="0" w:line="282" w:lineRule="auto"/>
        <w:rPr>
          <w:sz w:val="20"/>
          <w:szCs w:val="20"/>
          <w:color w:val="auto"/>
        </w:rPr>
      </w:pPr>
      <w:r>
        <w:rPr>
          <w:rFonts w:ascii="Times New Roman" w:cs="Times New Roman" w:eastAsia="Times New Roman" w:hAnsi="Times New Roman"/>
          <w:sz w:val="18"/>
          <w:szCs w:val="18"/>
          <w:color w:val="auto"/>
        </w:rPr>
        <w:t>The Reporting Persons are filing this statement jointly with respect to the same securities as contemplated by Rule 13d-1(k)(1), not as members of a group.</w:t>
      </w:r>
    </w:p>
    <w:p>
      <w:pPr>
        <w:spacing w:after="0" w:line="1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principal business address for each of the Reporting Persons is 25 Deforest Ave., Summit, NJ 07901.</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7"/>
          <w:szCs w:val="17"/>
          <w:b w:val="1"/>
          <w:bCs w:val="1"/>
          <w:color w:val="auto"/>
        </w:rPr>
        <w:t>Citizenship</w:t>
      </w:r>
    </w:p>
    <w:p>
      <w:pPr>
        <w:spacing w:after="0" w:line="229" w:lineRule="exact"/>
        <w:rPr>
          <w:sz w:val="20"/>
          <w:szCs w:val="20"/>
          <w:color w:val="auto"/>
        </w:rPr>
      </w:pPr>
    </w:p>
    <w:p>
      <w:pPr>
        <w:ind w:left="920" w:right="120"/>
        <w:spacing w:after="0" w:line="282" w:lineRule="auto"/>
        <w:rPr>
          <w:sz w:val="20"/>
          <w:szCs w:val="20"/>
          <w:color w:val="auto"/>
        </w:rPr>
      </w:pPr>
      <w:r>
        <w:rPr>
          <w:rFonts w:ascii="Times New Roman" w:cs="Times New Roman" w:eastAsia="Times New Roman" w:hAnsi="Times New Roman"/>
          <w:sz w:val="18"/>
          <w:szCs w:val="18"/>
          <w:color w:val="auto"/>
        </w:rPr>
        <w:t>Opportunity Master is organized under the laws of the Cayman Islands. Conversant GP and Conversant Capital are organized under the laws of the State of Delaware. Mr. Simanovsky is a citizen of the United States of America.</w:t>
      </w:r>
    </w:p>
    <w:p>
      <w:pPr>
        <w:spacing w:after="0" w:line="1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Class A Common Stock, $0.001 par value per share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6" w:name="page7"/>
    <w:bookmarkEnd w:id="6"/>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No.</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CUSIP number for the Class A Common Stock is 69376K106.</w:t>
      </w:r>
    </w:p>
    <w:p>
      <w:pPr>
        <w:spacing w:after="0" w:line="248"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§§240.13d-1(b) or 240.13d-2(b) or (c), Check Whether the Person Filing is a:</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information in Items 5 through 9 and Item 11 on the cover pages to this Schedule 13G is hereby incorporated by reference.</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information in Items 2 and 4 is hereby incorporated by reference.</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tab/>
        <w:t>Certification</w:t>
      </w:r>
    </w:p>
    <w:p>
      <w:pPr>
        <w:spacing w:after="0" w:line="229" w:lineRule="exact"/>
        <w:rPr>
          <w:sz w:val="20"/>
          <w:szCs w:val="20"/>
          <w:color w:val="auto"/>
        </w:rPr>
      </w:pPr>
    </w:p>
    <w:p>
      <w:pPr>
        <w:jc w:val="both"/>
        <w:ind w:left="9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60" w:right="459" w:bottom="1440" w:gutter="0" w:footer="0" w:header="0"/>
        </w:sectPr>
      </w:pPr>
    </w:p>
    <w:bookmarkStart w:id="7" w:name="page8"/>
    <w:bookmarkEnd w:id="7"/>
    <w:p>
      <w:pPr>
        <w:jc w:val="center"/>
        <w:ind w:right="-7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10, 2023</w:t>
      </w:r>
    </w:p>
    <w:p>
      <w:pPr>
        <w:spacing w:after="0" w:line="23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CONVERSANT OPPORTUNITY MASTER FUND LP</w:t>
      </w:r>
    </w:p>
    <w:p>
      <w:pPr>
        <w:spacing w:after="0" w:line="229" w:lineRule="exact"/>
        <w:rPr>
          <w:sz w:val="20"/>
          <w:szCs w:val="20"/>
          <w:color w:val="auto"/>
        </w:rPr>
      </w:pPr>
    </w:p>
    <w:p>
      <w:pPr>
        <w:ind w:left="5780"/>
        <w:spacing w:after="0"/>
        <w:tabs>
          <w:tab w:leader="none" w:pos="6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Conversant GP Holdings LLC</w:t>
      </w:r>
    </w:p>
    <w:p>
      <w:pPr>
        <w:spacing w:after="0" w:line="22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7343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34310" cy="1714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Michael Simanovsky</w:t>
      </w:r>
    </w:p>
    <w:p>
      <w:pPr>
        <w:spacing w:after="0" w:line="27" w:lineRule="exact"/>
        <w:rPr>
          <w:sz w:val="20"/>
          <w:szCs w:val="20"/>
          <w:color w:val="auto"/>
        </w:rPr>
      </w:pPr>
    </w:p>
    <w:p>
      <w:pPr>
        <w:ind w:left="636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1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CONVERSANT GP HOLDINGS LLC</w:t>
      </w:r>
    </w:p>
    <w:p>
      <w:pPr>
        <w:spacing w:after="0" w:line="229" w:lineRule="exact"/>
        <w:rPr>
          <w:sz w:val="20"/>
          <w:szCs w:val="20"/>
          <w:color w:val="auto"/>
        </w:rPr>
      </w:pPr>
    </w:p>
    <w:p>
      <w:pPr>
        <w:ind w:left="5780"/>
        <w:spacing w:after="0"/>
        <w:tabs>
          <w:tab w:leader="none" w:pos="6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7343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34310" cy="1714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Michael Simanovsky</w:t>
      </w:r>
    </w:p>
    <w:p>
      <w:pPr>
        <w:spacing w:after="0" w:line="27" w:lineRule="exact"/>
        <w:rPr>
          <w:sz w:val="20"/>
          <w:szCs w:val="20"/>
          <w:color w:val="auto"/>
        </w:rPr>
      </w:pPr>
    </w:p>
    <w:p>
      <w:pPr>
        <w:ind w:left="636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1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CONVERSANT CAPITAL LLC</w:t>
      </w:r>
    </w:p>
    <w:p>
      <w:pPr>
        <w:spacing w:after="0" w:line="229" w:lineRule="exact"/>
        <w:rPr>
          <w:sz w:val="20"/>
          <w:szCs w:val="20"/>
          <w:color w:val="auto"/>
        </w:rPr>
      </w:pPr>
    </w:p>
    <w:p>
      <w:pPr>
        <w:ind w:left="5780"/>
        <w:spacing w:after="0"/>
        <w:tabs>
          <w:tab w:leader="none" w:pos="6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7343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34310" cy="1714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Michael Simanovsky</w:t>
      </w:r>
    </w:p>
    <w:p>
      <w:pPr>
        <w:spacing w:after="0" w:line="27" w:lineRule="exact"/>
        <w:rPr>
          <w:sz w:val="20"/>
          <w:szCs w:val="20"/>
          <w:color w:val="auto"/>
        </w:rPr>
      </w:pPr>
    </w:p>
    <w:p>
      <w:pPr>
        <w:ind w:left="636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1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MICHAEL SIMANOVSKY</w:t>
      </w:r>
    </w:p>
    <w:p>
      <w:pPr>
        <w:spacing w:after="0" w:line="22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7343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34310" cy="17145"/>
                    </a:xfrm>
                    <a:prstGeom prst="rect">
                      <a:avLst/>
                    </a:prstGeom>
                    <a:noFill/>
                  </pic:spPr>
                </pic:pic>
              </a:graphicData>
            </a:graphic>
          </wp:anchor>
        </w:drawing>
      </w:r>
    </w:p>
    <w:p>
      <w:pPr>
        <w:sectPr>
          <w:pgSz w:w="11900" w:h="16838" w:orient="portrait"/>
          <w:cols w:equalWidth="0" w:num="1">
            <w:col w:w="10480"/>
          </w:cols>
          <w:pgMar w:left="320" w:top="810" w:right="109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PURSUANT TO RULE 13d-1(k)</w:t>
      </w:r>
    </w:p>
    <w:p>
      <w:pPr>
        <w:spacing w:after="0" w:line="18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undersigned acknowledge and agree that the foregoing statement on Schedule 13G in respect of the Class A Common Stock of P10, Inc. is filed on behalf of each of the undersigned and that all subsequent amendments to this statement on Schedule 13G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or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February 10, 2023</w:t>
      </w:r>
    </w:p>
    <w:p>
      <w:pPr>
        <w:spacing w:after="0" w:line="21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CONVERSANT OPPORTUNITY MASTER FUND LP</w:t>
      </w:r>
    </w:p>
    <w:p>
      <w:pPr>
        <w:spacing w:after="0" w:line="229" w:lineRule="exact"/>
        <w:rPr>
          <w:sz w:val="20"/>
          <w:szCs w:val="20"/>
          <w:color w:val="auto"/>
        </w:rPr>
      </w:pPr>
    </w:p>
    <w:p>
      <w:pPr>
        <w:ind w:left="5780"/>
        <w:spacing w:after="0"/>
        <w:tabs>
          <w:tab w:leader="none" w:pos="6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Conversant GP Holdings LLC</w:t>
      </w:r>
    </w:p>
    <w:p>
      <w:pPr>
        <w:spacing w:after="0" w:line="22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7343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34310" cy="1714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Michael Simanovsky</w:t>
      </w:r>
    </w:p>
    <w:p>
      <w:pPr>
        <w:spacing w:after="0" w:line="27" w:lineRule="exact"/>
        <w:rPr>
          <w:sz w:val="20"/>
          <w:szCs w:val="20"/>
          <w:color w:val="auto"/>
        </w:rPr>
      </w:pPr>
    </w:p>
    <w:p>
      <w:pPr>
        <w:ind w:left="636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1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CONVERSANT GP HOLDINGS LLC</w:t>
      </w:r>
    </w:p>
    <w:p>
      <w:pPr>
        <w:spacing w:after="0" w:line="229" w:lineRule="exact"/>
        <w:rPr>
          <w:sz w:val="20"/>
          <w:szCs w:val="20"/>
          <w:color w:val="auto"/>
        </w:rPr>
      </w:pPr>
    </w:p>
    <w:p>
      <w:pPr>
        <w:ind w:left="5780"/>
        <w:spacing w:after="0"/>
        <w:tabs>
          <w:tab w:leader="none" w:pos="6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7343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34310" cy="1714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Michael Simanovsky</w:t>
      </w:r>
    </w:p>
    <w:p>
      <w:pPr>
        <w:spacing w:after="0" w:line="27" w:lineRule="exact"/>
        <w:rPr>
          <w:sz w:val="20"/>
          <w:szCs w:val="20"/>
          <w:color w:val="auto"/>
        </w:rPr>
      </w:pPr>
    </w:p>
    <w:p>
      <w:pPr>
        <w:ind w:left="636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1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CONVERSANT CAPITAL LLC</w:t>
      </w:r>
    </w:p>
    <w:p>
      <w:pPr>
        <w:spacing w:after="0" w:line="229" w:lineRule="exact"/>
        <w:rPr>
          <w:sz w:val="20"/>
          <w:szCs w:val="20"/>
          <w:color w:val="auto"/>
        </w:rPr>
      </w:pPr>
    </w:p>
    <w:p>
      <w:pPr>
        <w:ind w:left="5780"/>
        <w:spacing w:after="0"/>
        <w:tabs>
          <w:tab w:leader="none" w:pos="63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7343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34310" cy="1714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Michael Simanovsky</w:t>
      </w:r>
    </w:p>
    <w:p>
      <w:pPr>
        <w:spacing w:after="0" w:line="27" w:lineRule="exact"/>
        <w:rPr>
          <w:sz w:val="20"/>
          <w:szCs w:val="20"/>
          <w:color w:val="auto"/>
        </w:rPr>
      </w:pPr>
    </w:p>
    <w:p>
      <w:pPr>
        <w:ind w:left="636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tab/>
        <w:t>Managing Member</w:t>
      </w:r>
    </w:p>
    <w:p>
      <w:pPr>
        <w:spacing w:after="0" w:line="200" w:lineRule="exact"/>
        <w:rPr>
          <w:sz w:val="20"/>
          <w:szCs w:val="20"/>
          <w:color w:val="auto"/>
        </w:rPr>
      </w:pPr>
    </w:p>
    <w:p>
      <w:pPr>
        <w:spacing w:after="0" w:line="21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MICHAEL SIMANOVSKY</w:t>
      </w:r>
    </w:p>
    <w:p>
      <w:pPr>
        <w:spacing w:after="0" w:line="22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Michael Simanovsky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27343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3431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2023-02-13T07:43:30Z</dcterms:created>
  <dcterms:modified xsi:type="dcterms:W3CDTF">2023-02-13T07:43:30Z</dcterms:modified>
</cp:coreProperties>
</file>