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October 26,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204470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000-30939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3">
            <w:col w:w="4740" w:space="720"/>
            <w:col w:w="300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205105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 and Financial Condition.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26, 2007, Active Power, Inc. issued a press release reporting its preliminary results of operations for its fiscal quarter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 A copy of the press release is furnished herewith as Exhibit 99.1.</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information furnished in this Current Report, including under this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99.1   Press Release of Active Power, Inc. dated October 26, 2007.</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October 26, 2007</w:t>
      </w:r>
      <w:r>
        <w:rPr>
          <w:sz w:val="20"/>
          <w:szCs w:val="20"/>
          <w:color w:val="auto"/>
        </w:rPr>
        <w:tab/>
      </w:r>
      <w:r>
        <w:rPr>
          <w:rFonts w:ascii="Arial" w:cs="Arial" w:eastAsia="Arial" w:hAnsi="Arial"/>
          <w:sz w:val="16"/>
          <w:szCs w:val="16"/>
          <w:color w:val="auto"/>
        </w:rPr>
        <w:t>By: /s/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James A. Clishem</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380" w:type="dxa"/>
            <w:vAlign w:val="bottom"/>
          </w:tcPr>
          <w:p>
            <w:pPr>
              <w:ind w:left="400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820" w:type="dxa"/>
            <w:vAlign w:val="bottom"/>
          </w:tcPr>
          <w:p>
            <w:pPr>
              <w:spacing w:after="0" w:line="202"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Press Release of Active Power, Inc. dated October 26, 2007.</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744470"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44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Third Quarter 2007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improves margins; lowers cash burn and operating losses</w:t>
      </w:r>
    </w:p>
    <w:p>
      <w:pPr>
        <w:spacing w:after="0" w:line="16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AUSTIN, Texas (Oct. 26, 2007) </w:t>
      </w:r>
      <w:r>
        <w:rPr>
          <w:rFonts w:ascii="Arial" w:cs="Arial" w:eastAsia="Arial" w:hAnsi="Arial"/>
          <w:sz w:val="16"/>
          <w:szCs w:val="16"/>
          <w:color w:val="auto"/>
        </w:rPr>
        <w:t>– Active Power, Inc. (NASDAQ: ACPW) today announced results for its third quarter ended Sept. 30, 2007. Revenue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third quarter of fiscal 2007 was $8.2 million, a 44 percent increase from the same period last year, and down 10 percent from the previous quarter. For the first nine months of 2007, revenue was $23.4 million, a 40 percent increase over the $16.8 million recorded in the same period of 2006. Quarterly cash burn results are $2.8 million, which includes $1.5 million in one-time historical stock option review expenses.</w:t>
      </w:r>
    </w:p>
    <w:p>
      <w:pPr>
        <w:spacing w:after="0" w:line="1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quarter, Active Power reported a record gross profit margin of 19 percent compared to 16 percent in the same period last year and 17 percent in the previous quarter. The continuing increase in gross profit margins is attributable to improved margins on direct sales transactions compared to the previous periods and from increases in service revenues that generate higher margins.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loss for the quarter was $3.5 million, or 6 cents per share, compared to a net loss of $4.9 million, or 10 cents per share, for the same period last year and a net loss of $4.6 million, or 9 cents per share in the previous quarter. The higher revenues and lower expenses resulted in a 29 percent reduction in operating losses compared to Q3 of 2006.</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continue to see improving financial results as we execute on our strategy of geographic expansion, multi-channel distribution, service and selling solutions,” said Jim Clishem, president and CEO of Active Power. “Our efforts to increase direct sales and service business are advancing us closer to operating profitability. This quarter continued to yield improvements in gross margins and cash burn. This combined with substantial year-over-year revenue gains are indicative of the market acceptance of Active Power’s highly efficient, reliable and green critical power solutions.”</w:t>
      </w:r>
    </w:p>
    <w:p>
      <w:pPr>
        <w:spacing w:after="0" w:line="113"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Cash and investment usage for the quarter was $2.8 million, which included $1.5 million for costs associated with the review of Active Power’s historical stock option granting practices. This compares to usage of $4.4 million in the previous quarter and $6.3 million in Q3 of 2006. Cash and investments at Sept. 30, 2007 were $22.8 million after the completion of a private placement of shares in August 2007 that resulted in net proceeds to the Company of $13.1 million.</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Recent Business Highlights</w:t>
      </w:r>
    </w:p>
    <w:p>
      <w:pPr>
        <w:spacing w:after="0" w:line="96"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 sales accounted for 73 percent of total Q3 sales, while indirect channels contributed 27 percent.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EMEA sales revenue increased by 48 percent compared to the prior quarter and 138 percent compared to the same period of 2006.</w:t>
      </w:r>
    </w:p>
    <w:p>
      <w:pPr>
        <w:spacing w:after="0" w:line="90" w:lineRule="exact"/>
        <w:rPr>
          <w:rFonts w:ascii="Arial" w:cs="Arial" w:eastAsia="Arial" w:hAnsi="Arial"/>
          <w:sz w:val="18"/>
          <w:szCs w:val="18"/>
          <w:color w:val="auto"/>
        </w:rPr>
      </w:pPr>
    </w:p>
    <w:p>
      <w:pPr>
        <w:ind w:left="660" w:right="18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Service revenues for the first nine months of 2007 were 64 percent higher compared to prior year levels, reflecting the benefits of establishing a direct sales model and selling full solutions. Direct sales afford Active Power the ability to provide pre- and post-sales support to end users while building brand equity.</w:t>
      </w:r>
    </w:p>
    <w:p>
      <w:pPr>
        <w:spacing w:after="0" w:line="59"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Booked a 7.6 MW sale of containerized UPS solutions for a European IT customer and shipped the first two of eight containers. This order incorporates the Company’s 1500ic modularized UPS product.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three major customer orders totaling 10.8 MW of power all for data center applications.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 private placement of shares in August that resulted in net proceeds to the Company of $13.1 million.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Secured a new $5 million revolving bank line of credit facility.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Shipped equipment to eleven countries in Q3, which represented 56 percent of revenue.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Active Power expects Q4 2007 revenue to be approximately $9 to $10 million and Q4 earnings per share to be a loss of approximately 5 to 7 cents, excluding any further costs that may be associated with the stock option review. The Company expects cash and investments usage in Q4 to be between $3 and $4 million as it pays between $1 and $2 million for previously expensed costs associated with the stock option review.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Active Power will host a conference call today, Friday, Oct. 26, 2007, at 11:00 a.m. Eastern Time, to further review fiscal Q3 results. Interested parties can listen via Web cast at http://www.videonewswire.com/event.asp?id=43407. A replay of the Web cast will be available until Nov. 9, 2007. Investors may also access the live broadcast and replay through the Company’s Web site at www.activepower.com.</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Active Power</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more than 40 countries. Active Power also offers CoolAir, the only solution that provides both backup power and backup cooling. With expert power system engineers and worldwide services and support, Active Power ensures organizations have the power to perform. For more information, please visit www.activepower.com.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Active Power, the Active Power logo, CleanSource and CoolAir are registered trademarks of Active Power, Inc. All other trademarks are the properties of their respective companies.</w:t>
      </w:r>
    </w:p>
    <w:p>
      <w:pPr>
        <w:sectPr>
          <w:pgSz w:w="11900" w:h="16838" w:orient="portrait"/>
          <w:cols w:equalWidth="0" w:num="1">
            <w:col w:w="11380"/>
          </w:cols>
          <w:pgMar w:left="240" w:top="274" w:right="27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512-744-9488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p>
      <w:pPr>
        <w:sectPr>
          <w:pgSz w:w="11900" w:h="16838" w:orient="portrait"/>
          <w:cols w:equalWidth="0" w:num="2">
            <w:col w:w="5240" w:space="720"/>
            <w:col w:w="5420"/>
          </w:cols>
          <w:pgMar w:left="240" w:top="274" w:right="2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left="315"/>
              <w:spacing w:after="0"/>
              <w:rPr>
                <w:sz w:val="20"/>
                <w:szCs w:val="20"/>
                <w:color w:val="auto"/>
              </w:rPr>
            </w:pPr>
            <w:r>
              <w:rPr>
                <w:rFonts w:ascii="Arial" w:cs="Arial" w:eastAsia="Arial" w:hAnsi="Arial"/>
                <w:sz w:val="14"/>
                <w:szCs w:val="14"/>
                <w:b w:val="1"/>
                <w:bCs w:val="1"/>
                <w:color w:val="auto"/>
                <w:w w:val="94"/>
              </w:rPr>
              <w:t>Three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left="475"/>
              <w:spacing w:after="0"/>
              <w:rPr>
                <w:sz w:val="20"/>
                <w:szCs w:val="20"/>
                <w:color w:val="auto"/>
              </w:rPr>
            </w:pPr>
            <w:r>
              <w:rPr>
                <w:rFonts w:ascii="Arial" w:cs="Arial" w:eastAsia="Arial" w:hAnsi="Arial"/>
                <w:sz w:val="14"/>
                <w:szCs w:val="14"/>
                <w:b w:val="1"/>
                <w:bCs w:val="1"/>
                <w:color w:val="auto"/>
                <w:w w:val="85"/>
              </w:rPr>
              <w:t>Nine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2007</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5,675</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17,055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14,296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6,649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19,920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1, 412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18,673</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19,407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(3,725)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(5,278)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(15,204)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(18,769)</w:t>
            </w:r>
          </w:p>
        </w:tc>
        <w:tc>
          <w:tcPr>
            <w:tcW w:w="0" w:type="dxa"/>
            <w:vAlign w:val="bottom"/>
          </w:tcPr>
          <w:p>
            <w:pPr>
              <w:spacing w:after="0"/>
              <w:rPr>
                <w:sz w:val="1"/>
                <w:szCs w:val="1"/>
                <w:color w:val="auto"/>
              </w:rPr>
            </w:pPr>
          </w:p>
        </w:tc>
      </w:tr>
      <w:tr>
        <w:trPr>
          <w:trHeight w:val="322"/>
        </w:trPr>
        <w:tc>
          <w:tcPr>
            <w:tcW w:w="80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(3,512)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(4,926)</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(14,582)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(17,309)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55,210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49,795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51,821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49,542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(3,512)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(4,926)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(14,582)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(17,309)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gain (loss) on subsidiaries in foreign currencies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(4,847)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(14,445)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4,398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10,663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40,977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Deposits and other</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47,624</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1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1,464</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12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258,120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(219,347)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(204,765)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Other accumulated comprehensive income (loss)</w:t>
            </w:r>
          </w:p>
        </w:tc>
        <w:tc>
          <w:tcPr>
            <w:tcW w:w="14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47,624</w:t>
            </w: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2019-12-14T17:08:05Z</dcterms:created>
  <dcterms:modified xsi:type="dcterms:W3CDTF">2019-12-14T17:08:05Z</dcterms:modified>
</cp:coreProperties>
</file>