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19,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333-268275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on</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FORM S-1</w:t>
      </w:r>
    </w:p>
    <w:p>
      <w:pPr>
        <w:jc w:val="center"/>
        <w:spacing w:after="0" w:line="239"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00" w:type="dxa"/>
        <w:tblCellMar>
          <w:top w:w="0" w:type="dxa"/>
          <w:left w:w="0" w:type="dxa"/>
          <w:bottom w:w="0" w:type="dxa"/>
          <w:right w:w="0" w:type="dxa"/>
        </w:tblCellMar>
      </w:tblPr>
      <w:tr>
        <w:trPr>
          <w:trHeight w:val="214"/>
        </w:trPr>
        <w:tc>
          <w:tcPr>
            <w:tcW w:w="2860" w:type="dxa"/>
            <w:vAlign w:val="bottom"/>
          </w:tcPr>
          <w:p>
            <w:pPr>
              <w:jc w:val="center"/>
              <w:ind w:right="8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6282</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w w:val="98"/>
              </w:rPr>
              <w:t>87-2908160</w:t>
            </w:r>
          </w:p>
        </w:tc>
      </w:tr>
      <w:tr>
        <w:trPr>
          <w:trHeight w:val="148"/>
        </w:trPr>
        <w:tc>
          <w:tcPr>
            <w:tcW w:w="2860" w:type="dxa"/>
            <w:vAlign w:val="bottom"/>
          </w:tcPr>
          <w:p>
            <w:pPr>
              <w:jc w:val="center"/>
              <w:ind w:right="8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Classification Code No.)</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4514 Cole Avenue, Suite 1600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4514 Cole Avenue, Suite 1600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54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37"/>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Melodie Craft, Esq.</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Todd E. Lenson, Esq.</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Kramer Levin Naftalis &amp; Frankel LLP</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P10, Inc.</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1177 Avenue of the Americas</w:t>
            </w:r>
          </w:p>
        </w:tc>
      </w:tr>
      <w:tr>
        <w:trPr>
          <w:trHeight w:val="216"/>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4514 Cole Avenue, Suite 1600</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New York, NY 10036</w:t>
            </w:r>
          </w:p>
        </w:tc>
      </w:tr>
      <w:tr>
        <w:trPr>
          <w:trHeight w:val="216"/>
        </w:trPr>
        <w:tc>
          <w:tcPr>
            <w:tcW w:w="27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Dallas, Texas 75205</w:t>
            </w:r>
          </w:p>
        </w:tc>
        <w:tc>
          <w:tcPr>
            <w:tcW w:w="542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Telephone: (212) 715-9216</w:t>
            </w:r>
          </w:p>
        </w:tc>
      </w:tr>
      <w:tr>
        <w:trPr>
          <w:trHeight w:val="238"/>
        </w:trPr>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Telephone: (214) 997-1956</w:t>
            </w:r>
          </w:p>
        </w:tc>
        <w:tc>
          <w:tcPr>
            <w:tcW w:w="5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This Post-Effective Amendment is being filed to deregister all of the unsold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previously registered under the Registration Statement.</w:t>
      </w:r>
    </w:p>
    <w:p>
      <w:pPr>
        <w:spacing w:after="0" w:line="159"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28" w:gutter="0" w:footer="0" w:header="0"/>
        </w:sectPr>
      </w:pPr>
    </w:p>
    <w:bookmarkStart w:id="1" w:name="page2"/>
    <w:bookmarkEnd w:id="1"/>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 DEREGISTRATION OF SECURITIES</w:t>
      </w:r>
    </w:p>
    <w:p>
      <w:pPr>
        <w:spacing w:after="0" w:line="229" w:lineRule="exact"/>
        <w:rPr>
          <w:sz w:val="20"/>
          <w:szCs w:val="20"/>
          <w:color w:val="auto"/>
        </w:rPr>
      </w:pPr>
    </w:p>
    <w:p>
      <w:pPr>
        <w:ind w:firstLine="440"/>
        <w:spacing w:after="0" w:line="28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Post-Effective Amendment No. 1 (the “Post-Effective Amendment”) is being filed by P10, Inc. (the “Registrant”), to withdraw and remove from registration all of the unsold securities under the Registration Statement on Form S-3 (</w:t>
      </w:r>
      <w:hyperlink r:id="rId19">
        <w:r>
          <w:rPr>
            <w:rFonts w:ascii="Times New Roman" w:cs="Times New Roman" w:eastAsia="Times New Roman" w:hAnsi="Times New Roman"/>
            <w:sz w:val="17"/>
            <w:szCs w:val="17"/>
            <w:u w:val="single" w:color="auto"/>
            <w:color w:val="0000EE"/>
          </w:rPr>
          <w:t>File No. 333-268275</w:t>
        </w:r>
      </w:hyperlink>
      <w:r>
        <w:rPr>
          <w:rFonts w:ascii="Times New Roman" w:cs="Times New Roman" w:eastAsia="Times New Roman" w:hAnsi="Times New Roman"/>
          <w:sz w:val="17"/>
          <w:szCs w:val="17"/>
          <w:color w:val="auto"/>
        </w:rPr>
        <w:t>) (the “Registration Statement”), which was originally filed with the U.S. Securities and Exchange Commission on November 9, 2022, and was declared effective on January 9, 2023. Because the Registrant no longer satisfies the eligibility requirements of Form S-3, the Registrant has filed this Post-Effective Amendment on Form S-1.</w:t>
      </w:r>
    </w:p>
    <w:p>
      <w:pPr>
        <w:spacing w:after="0" w:line="164"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Registrant is terminating all offerings of its securities pursuant to the Registration Statement and no securities were sold under the Registration Statement. In accordance with an undertaking made by the Registrant in the Registration Statement to remove from registration by means of a post-effective amendment any of the securities which remain unsold at the termination of the offering, the Registrant hereby removes from registration all of the securities registered but unsold under the Registration Statement as of the date hereof. The Registration Statement is hereby amended, as appropriate, to reflect the deregistration of such securities.</w:t>
      </w:r>
    </w:p>
    <w:p>
      <w:pPr>
        <w:sectPr>
          <w:pgSz w:w="11900" w:h="16838" w:orient="portrait"/>
          <w:cols w:equalWidth="0" w:num="1">
            <w:col w:w="10940"/>
          </w:cols>
          <w:pgMar w:left="440" w:top="266" w:right="51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Post-Effective Amendment to the Registration Statement to be signed on its behalf by the undersigned, thereunto duly authorized, in the City of New York, State of New York, on July 19,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Luke A. Sarsfield III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Chairman of the Board and Chief Executive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520"/>
      </w:cols>
      <w:pgMar w:left="440" w:top="266"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9" Type="http://schemas.openxmlformats.org/officeDocument/2006/relationships/hyperlink" Target="http://www.sec.gov/Archives/edgar/data/1841968/000119312522281348/d417197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2024-07-19T15:13:36Z</dcterms:created>
  <dcterms:modified xsi:type="dcterms:W3CDTF">2024-07-19T15:13:36Z</dcterms:modified>
</cp:coreProperties>
</file>