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53"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KINDERHOOK PARTNERS, LP</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ONE EXECUTIVE DRIVE,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12/14/2011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73" w:lineRule="exact"/>
        <w:rPr>
          <w:sz w:val="24"/>
          <w:szCs w:val="24"/>
          <w:color w:val="auto"/>
        </w:rPr>
      </w:pPr>
    </w:p>
    <w:p>
      <w:pPr>
        <w:sectPr>
          <w:pgSz w:w="11900" w:h="16853" w:orient="portrait"/>
          <w:cols w:equalWidth="0" w:num="3">
            <w:col w:w="3360" w:space="720"/>
            <w:col w:w="3257" w:space="720"/>
            <w:col w:w="3363"/>
          </w:cols>
          <w:pgMar w:left="240" w:top="226" w:right="239" w:bottom="0" w:gutter="0" w:footer="0" w:header="0"/>
          <w:type w:val="continuous"/>
        </w:sectPr>
      </w:pPr>
    </w:p>
    <w:p>
      <w:pPr>
        <w:spacing w:after="0" w:line="18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40" w:type="dxa"/>
            <w:vAlign w:val="bottom"/>
          </w:tcPr>
          <w:p>
            <w:pPr>
              <w:spacing w:after="0"/>
              <w:rPr>
                <w:sz w:val="20"/>
                <w:szCs w:val="20"/>
                <w:color w:val="auto"/>
              </w:rPr>
            </w:pPr>
            <w:r>
              <w:rPr>
                <w:rFonts w:ascii="Arial" w:cs="Arial" w:eastAsia="Arial" w:hAnsi="Arial"/>
                <w:sz w:val="18"/>
                <w:szCs w:val="18"/>
                <w:color w:val="0000FF"/>
              </w:rPr>
              <w:t>FORT LEE</w:t>
            </w:r>
          </w:p>
        </w:tc>
        <w:tc>
          <w:tcPr>
            <w:tcW w:w="1080" w:type="dxa"/>
            <w:vAlign w:val="bottom"/>
          </w:tcPr>
          <w:p>
            <w:pPr>
              <w:ind w:left="240"/>
              <w:spacing w:after="0"/>
              <w:rPr>
                <w:sz w:val="20"/>
                <w:szCs w:val="20"/>
                <w:color w:val="auto"/>
              </w:rPr>
            </w:pPr>
            <w:r>
              <w:rPr>
                <w:rFonts w:ascii="Arial" w:cs="Arial" w:eastAsia="Arial" w:hAnsi="Arial"/>
                <w:sz w:val="18"/>
                <w:szCs w:val="18"/>
                <w:color w:val="0000FF"/>
              </w:rPr>
              <w:t>NJ</w:t>
            </w:r>
          </w:p>
        </w:tc>
        <w:tc>
          <w:tcPr>
            <w:tcW w:w="1680" w:type="dxa"/>
            <w:vAlign w:val="bottom"/>
          </w:tcPr>
          <w:p>
            <w:pPr>
              <w:ind w:left="420"/>
              <w:spacing w:after="0"/>
              <w:rPr>
                <w:sz w:val="20"/>
                <w:szCs w:val="20"/>
                <w:color w:val="auto"/>
              </w:rPr>
            </w:pPr>
            <w:r>
              <w:rPr>
                <w:rFonts w:ascii="Arial" w:cs="Arial" w:eastAsia="Arial" w:hAnsi="Arial"/>
                <w:sz w:val="18"/>
                <w:szCs w:val="18"/>
                <w:color w:val="0000FF"/>
              </w:rPr>
              <w:t>07024</w:t>
            </w:r>
          </w:p>
        </w:tc>
      </w:tr>
      <w:tr>
        <w:trPr>
          <w:trHeight w:val="158"/>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(City)</w:t>
            </w:r>
          </w:p>
        </w:tc>
        <w:tc>
          <w:tcPr>
            <w:tcW w:w="1080" w:type="dxa"/>
            <w:vAlign w:val="bottom"/>
          </w:tcPr>
          <w:p>
            <w:pPr>
              <w:ind w:left="2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00" w:lineRule="exact"/>
        <w:rPr>
          <w:sz w:val="24"/>
          <w:szCs w:val="24"/>
          <w:color w:val="auto"/>
        </w:rPr>
      </w:pPr>
    </w:p>
    <w:p>
      <w:pPr>
        <w:sectPr>
          <w:pgSz w:w="11900" w:h="16853"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20" w:type="dxa"/>
            <w:vAlign w:val="bottom"/>
          </w:tcPr>
          <w:p>
            <w:pPr>
              <w:spacing w:after="0"/>
              <w:rPr>
                <w:sz w:val="14"/>
                <w:szCs w:val="14"/>
                <w:color w:val="auto"/>
              </w:rPr>
            </w:pPr>
          </w:p>
        </w:tc>
        <w:tc>
          <w:tcPr>
            <w:tcW w:w="1500" w:type="dxa"/>
            <w:vAlign w:val="bottom"/>
            <w:gridSpan w:val="3"/>
          </w:tcPr>
          <w:p>
            <w:pPr>
              <w:ind w:left="3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gridSpan w:val="3"/>
          </w:tcPr>
          <w:p>
            <w:pPr>
              <w:ind w:left="3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8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80"/>
              <w:spacing w:after="0"/>
              <w:rPr>
                <w:sz w:val="20"/>
                <w:szCs w:val="20"/>
                <w:color w:val="auto"/>
              </w:rPr>
            </w:pPr>
            <w:r>
              <w:rPr>
                <w:rFonts w:ascii="Arial" w:cs="Arial" w:eastAsia="Arial" w:hAnsi="Arial"/>
                <w:sz w:val="18"/>
                <w:szCs w:val="18"/>
                <w:color w:val="0000FF"/>
              </w:rPr>
              <w:t>12/14/2011</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11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376,616</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0.59</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8,809,456</w:t>
            </w:r>
          </w:p>
        </w:tc>
        <w:tc>
          <w:tcPr>
            <w:tcW w:w="92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(1)</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17"/>
          </w:tcPr>
          <w:p>
            <w:pPr>
              <w:jc w:val="center"/>
              <w:ind w:left="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40" w:type="dxa"/>
            <w:vAlign w:val="bottom"/>
            <w:gridSpan w:val="13"/>
          </w:tcPr>
          <w:p>
            <w:pPr>
              <w:jc w:val="center"/>
              <w:ind w:left="112"/>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6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gridSpan w:val="2"/>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7"/>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KINDERHOOK PARTNERS, LP</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7"/>
          </w:tcPr>
          <w:p>
            <w:pPr>
              <w:spacing w:after="0"/>
              <w:rPr>
                <w:sz w:val="20"/>
                <w:szCs w:val="20"/>
                <w:color w:val="auto"/>
              </w:rPr>
            </w:pPr>
            <w:r>
              <w:rPr>
                <w:rFonts w:ascii="Arial" w:cs="Arial" w:eastAsia="Arial" w:hAnsi="Arial"/>
                <w:sz w:val="18"/>
                <w:szCs w:val="18"/>
                <w:color w:val="0000FF"/>
              </w:rPr>
              <w:t>ONE EXECUTIVE DRIVE, SUITE 160</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FORT LEE</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NJ</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07024</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2"/>
          </w:tcPr>
          <w:p>
            <w:pPr>
              <w:spacing w:after="0"/>
              <w:rPr>
                <w:sz w:val="7"/>
                <w:szCs w:val="7"/>
                <w:color w:val="auto"/>
              </w:rPr>
            </w:pPr>
          </w:p>
        </w:tc>
        <w:tc>
          <w:tcPr>
            <w:tcW w:w="116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KINDERHOOK GP LLC</w:t>
              </w:r>
            </w:hyperlink>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7"/>
          </w:tcPr>
          <w:p>
            <w:pPr>
              <w:spacing w:after="0"/>
              <w:rPr>
                <w:sz w:val="20"/>
                <w:szCs w:val="20"/>
                <w:color w:val="auto"/>
              </w:rPr>
            </w:pPr>
            <w:r>
              <w:rPr>
                <w:rFonts w:ascii="Arial" w:cs="Arial" w:eastAsia="Arial" w:hAnsi="Arial"/>
                <w:sz w:val="18"/>
                <w:szCs w:val="18"/>
                <w:color w:val="0000FF"/>
              </w:rPr>
              <w:t>ONE EXECUTIVE DRIVE, SUITE 160</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FORT LEE</w:t>
            </w: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NJ</w:t>
            </w:r>
          </w:p>
        </w:tc>
        <w:tc>
          <w:tcPr>
            <w:tcW w:w="1120" w:type="dxa"/>
            <w:vAlign w:val="bottom"/>
            <w:gridSpan w:val="2"/>
          </w:tcPr>
          <w:p>
            <w:pPr>
              <w:ind w:left="300"/>
              <w:spacing w:after="0"/>
              <w:rPr>
                <w:sz w:val="20"/>
                <w:szCs w:val="20"/>
                <w:color w:val="auto"/>
              </w:rPr>
            </w:pPr>
            <w:r>
              <w:rPr>
                <w:rFonts w:ascii="Arial" w:cs="Arial" w:eastAsia="Arial" w:hAnsi="Arial"/>
                <w:sz w:val="18"/>
                <w:szCs w:val="18"/>
                <w:color w:val="0000FF"/>
              </w:rPr>
              <w:t>07024</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gridSpan w:val="2"/>
          </w:tcPr>
          <w:p>
            <w:pPr>
              <w:spacing w:after="0"/>
              <w:rPr>
                <w:sz w:val="7"/>
                <w:szCs w:val="7"/>
                <w:color w:val="auto"/>
              </w:rPr>
            </w:pPr>
          </w:p>
        </w:tc>
        <w:tc>
          <w:tcPr>
            <w:tcW w:w="116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Shah Tushar</w:t>
              </w:r>
            </w:hyperlink>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ONE EXECUTIVE DRIVE, SUITE 160</w:t>
      </w:r>
    </w:p>
    <w:p>
      <w:pPr>
        <w:spacing w:after="0" w:line="354" w:lineRule="exact"/>
        <w:rPr>
          <w:sz w:val="20"/>
          <w:szCs w:val="20"/>
          <w:color w:val="auto"/>
        </w:rPr>
      </w:pPr>
    </w:p>
    <w:p>
      <w:pPr>
        <w:ind w:left="80"/>
        <w:spacing w:after="0"/>
        <w:rPr>
          <w:sz w:val="20"/>
          <w:szCs w:val="20"/>
          <w:color w:val="auto"/>
        </w:rPr>
      </w:pPr>
      <w:r>
        <w:rPr>
          <w:rFonts w:ascii="Arial" w:cs="Arial" w:eastAsia="Arial" w:hAnsi="Arial"/>
          <w:sz w:val="14"/>
          <w:szCs w:val="14"/>
          <w:color w:val="auto"/>
        </w:rPr>
        <w:t>(Street)</w:t>
      </w:r>
    </w:p>
    <w:p>
      <w:pPr>
        <w:sectPr>
          <w:pgSz w:w="11900" w:h="16853" w:orient="portrait"/>
          <w:cols w:equalWidth="0" w:num="1">
            <w:col w:w="11420"/>
          </w:cols>
          <w:pgMar w:left="240" w:top="226" w:right="239" w:bottom="0" w:gutter="0" w:footer="0" w:header="0"/>
          <w:type w:val="continuous"/>
        </w:sectPr>
      </w:pPr>
    </w:p>
    <w:p>
      <w:pPr>
        <w:spacing w:after="0" w:line="20"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8"/>
          <w:szCs w:val="18"/>
          <w:color w:val="0000FF"/>
        </w:rPr>
        <w:t>FORT LEE</w:t>
      </w:r>
      <w:r>
        <w:rPr>
          <w:sz w:val="20"/>
          <w:szCs w:val="20"/>
          <w:color w:val="auto"/>
        </w:rPr>
        <w:tab/>
      </w:r>
      <w:r>
        <w:rPr>
          <w:rFonts w:ascii="Arial" w:cs="Arial" w:eastAsia="Arial" w:hAnsi="Arial"/>
          <w:sz w:val="18"/>
          <w:szCs w:val="18"/>
          <w:color w:val="0000FF"/>
        </w:rPr>
        <w:t>NJ</w:t>
      </w:r>
      <w:r>
        <w:rPr>
          <w:sz w:val="20"/>
          <w:szCs w:val="20"/>
          <w:color w:val="auto"/>
        </w:rPr>
        <w:tab/>
      </w:r>
      <w:r>
        <w:rPr>
          <w:rFonts w:ascii="Arial" w:cs="Arial" w:eastAsia="Arial" w:hAnsi="Arial"/>
          <w:sz w:val="15"/>
          <w:szCs w:val="15"/>
          <w:color w:val="0000FF"/>
        </w:rPr>
        <w:t>07024</w:t>
      </w:r>
    </w:p>
    <w:p>
      <w:pPr>
        <w:sectPr>
          <w:pgSz w:w="11900" w:h="16853"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6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0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00" w:type="dxa"/>
            <w:vAlign w:val="bottom"/>
            <w:gridSpan w:val="3"/>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CLEARMAN STEPHEN J</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(Last)</w:t>
            </w:r>
          </w:p>
        </w:tc>
        <w:tc>
          <w:tcPr>
            <w:tcW w:w="1760" w:type="dxa"/>
            <w:vAlign w:val="bottom"/>
            <w:gridSpan w:val="2"/>
          </w:tcPr>
          <w:p>
            <w:pPr>
              <w:ind w:left="320"/>
              <w:spacing w:after="0"/>
              <w:rPr>
                <w:sz w:val="20"/>
                <w:szCs w:val="20"/>
                <w:color w:val="auto"/>
              </w:rPr>
            </w:pPr>
            <w:r>
              <w:rPr>
                <w:rFonts w:ascii="Arial" w:cs="Arial" w:eastAsia="Arial" w:hAnsi="Arial"/>
                <w:sz w:val="14"/>
                <w:szCs w:val="14"/>
                <w:color w:val="auto"/>
              </w:rPr>
              <w:t>(First)</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00" w:type="dxa"/>
            <w:vAlign w:val="bottom"/>
            <w:gridSpan w:val="3"/>
          </w:tcPr>
          <w:p>
            <w:pPr>
              <w:spacing w:after="0"/>
              <w:rPr>
                <w:sz w:val="20"/>
                <w:szCs w:val="20"/>
                <w:color w:val="auto"/>
              </w:rPr>
            </w:pPr>
            <w:r>
              <w:rPr>
                <w:rFonts w:ascii="Arial" w:cs="Arial" w:eastAsia="Arial" w:hAnsi="Arial"/>
                <w:sz w:val="18"/>
                <w:szCs w:val="18"/>
                <w:color w:val="0000FF"/>
                <w:w w:val="94"/>
              </w:rPr>
              <w:t>ONE EXECUTIVE DRIVE, SUITE 160</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2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FORT LEE</w:t>
            </w:r>
          </w:p>
        </w:tc>
        <w:tc>
          <w:tcPr>
            <w:tcW w:w="1760" w:type="dxa"/>
            <w:vAlign w:val="bottom"/>
            <w:gridSpan w:val="2"/>
          </w:tcPr>
          <w:p>
            <w:pPr>
              <w:ind w:left="320"/>
              <w:spacing w:after="0"/>
              <w:rPr>
                <w:sz w:val="20"/>
                <w:szCs w:val="20"/>
                <w:color w:val="auto"/>
              </w:rPr>
            </w:pPr>
            <w:r>
              <w:rPr>
                <w:rFonts w:ascii="Arial" w:cs="Arial" w:eastAsia="Arial" w:hAnsi="Arial"/>
                <w:sz w:val="18"/>
                <w:szCs w:val="18"/>
                <w:color w:val="0000FF"/>
              </w:rPr>
              <w:t>NJ</w:t>
            </w:r>
          </w:p>
        </w:tc>
        <w:tc>
          <w:tcPr>
            <w:tcW w:w="1440" w:type="dxa"/>
            <w:vAlign w:val="bottom"/>
          </w:tcPr>
          <w:p>
            <w:pPr>
              <w:ind w:left="20"/>
              <w:spacing w:after="0"/>
              <w:rPr>
                <w:sz w:val="20"/>
                <w:szCs w:val="20"/>
                <w:color w:val="auto"/>
              </w:rPr>
            </w:pPr>
            <w:r>
              <w:rPr>
                <w:rFonts w:ascii="Arial" w:cs="Arial" w:eastAsia="Arial" w:hAnsi="Arial"/>
                <w:sz w:val="18"/>
                <w:szCs w:val="18"/>
                <w:color w:val="0000FF"/>
              </w:rPr>
              <w:t>07024</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1760" w:type="dxa"/>
            <w:vAlign w:val="bottom"/>
            <w:gridSpan w:val="2"/>
          </w:tcPr>
          <w:p>
            <w:pPr>
              <w:ind w:left="320"/>
              <w:spacing w:after="0"/>
              <w:rPr>
                <w:sz w:val="20"/>
                <w:szCs w:val="20"/>
                <w:color w:val="auto"/>
              </w:rPr>
            </w:pPr>
            <w:r>
              <w:rPr>
                <w:rFonts w:ascii="Arial" w:cs="Arial" w:eastAsia="Arial" w:hAnsi="Arial"/>
                <w:sz w:val="14"/>
                <w:szCs w:val="14"/>
                <w:color w:val="auto"/>
              </w:rPr>
              <w:t>(State)</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967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19678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28"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Mr. Tushar Shah and Mr. Stephen J. Clearman are the co-managing members of the Kinderhook GP, LLC (the "General Partner") responsible for making investment decisions with respect to the Partnership and, as a result, Mr. Shah and Mr. Clearman may be deemed to control such entities. In addition, Mr. Shah and Mr. Clearman are responsible for making investment decisions with respect to Kinderhook Capital. Accordingly, Mr. Shah and Mr. Clearman may be deemed to have a beneficial interest in the shares of Common Stock by virtue of their indirect control of the Partnership's, the General Partner's and Kinderhook Capital's power to vote and/or dispose of the shares of Common Stock. Mr. Shah and Mr. Clearman disclaim beneficial ownership of the shares of Common Stock except to the extent of his respective pecuniary interest, if any, therein.</w:t>
      </w:r>
    </w:p>
    <w:p>
      <w:pPr>
        <w:spacing w:after="0" w:line="38" w:lineRule="exact"/>
        <w:rPr>
          <w:sz w:val="20"/>
          <w:szCs w:val="20"/>
          <w:color w:val="auto"/>
        </w:rPr>
      </w:pPr>
    </w:p>
    <w:tbl>
      <w:tblPr>
        <w:tblLayout w:type="fixed"/>
        <w:tblInd w:w="6840" w:type="dxa"/>
        <w:tblCellMar>
          <w:top w:w="0" w:type="dxa"/>
          <w:left w:w="0" w:type="dxa"/>
          <w:bottom w:w="0" w:type="dxa"/>
          <w:right w:w="0" w:type="dxa"/>
        </w:tblCellMar>
      </w:tblPr>
      <w:tr>
        <w:trPr>
          <w:trHeight w:val="207"/>
        </w:trPr>
        <w:tc>
          <w:tcPr>
            <w:tcW w:w="172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85"/>
              </w:rPr>
              <w:t>/s/ Stephen J. Clearman,</w:t>
            </w:r>
          </w:p>
        </w:tc>
        <w:tc>
          <w:tcPr>
            <w:tcW w:w="4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196"/>
        </w:trPr>
        <w:tc>
          <w:tcPr>
            <w:tcW w:w="2120" w:type="dxa"/>
            <w:vAlign w:val="bottom"/>
            <w:gridSpan w:val="6"/>
          </w:tcPr>
          <w:p>
            <w:pPr>
              <w:spacing w:after="0" w:line="196" w:lineRule="exact"/>
              <w:rPr>
                <w:sz w:val="20"/>
                <w:szCs w:val="20"/>
                <w:color w:val="auto"/>
              </w:rPr>
            </w:pPr>
            <w:r>
              <w:rPr>
                <w:rFonts w:ascii="Arial" w:cs="Arial" w:eastAsia="Arial" w:hAnsi="Arial"/>
                <w:sz w:val="18"/>
                <w:szCs w:val="18"/>
                <w:color w:val="0000FF"/>
              </w:rPr>
              <w:t>Managing Member of</w:t>
            </w:r>
          </w:p>
        </w:tc>
        <w:tc>
          <w:tcPr>
            <w:tcW w:w="960" w:type="dxa"/>
            <w:vAlign w:val="bottom"/>
            <w:gridSpan w:val="2"/>
          </w:tcPr>
          <w:p>
            <w:pPr>
              <w:ind w:left="180"/>
              <w:spacing w:after="0" w:line="196" w:lineRule="exact"/>
              <w:rPr>
                <w:sz w:val="20"/>
                <w:szCs w:val="20"/>
                <w:color w:val="auto"/>
              </w:rPr>
            </w:pPr>
            <w:r>
              <w:rPr>
                <w:rFonts w:ascii="Arial" w:cs="Arial" w:eastAsia="Arial" w:hAnsi="Arial"/>
                <w:sz w:val="18"/>
                <w:szCs w:val="18"/>
                <w:color w:val="0000FF"/>
                <w:w w:val="84"/>
              </w:rPr>
              <w:t>12/16/2011</w:t>
            </w:r>
          </w:p>
        </w:tc>
      </w:tr>
      <w:tr>
        <w:trPr>
          <w:trHeight w:val="20"/>
        </w:trPr>
        <w:tc>
          <w:tcPr>
            <w:tcW w:w="110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196"/>
        </w:trPr>
        <w:tc>
          <w:tcPr>
            <w:tcW w:w="2120" w:type="dxa"/>
            <w:vAlign w:val="bottom"/>
            <w:gridSpan w:val="6"/>
          </w:tcPr>
          <w:p>
            <w:pPr>
              <w:spacing w:after="0" w:line="196" w:lineRule="exact"/>
              <w:rPr>
                <w:sz w:val="20"/>
                <w:szCs w:val="20"/>
                <w:color w:val="auto"/>
              </w:rPr>
            </w:pPr>
            <w:r>
              <w:rPr>
                <w:rFonts w:ascii="Arial" w:cs="Arial" w:eastAsia="Arial" w:hAnsi="Arial"/>
                <w:sz w:val="18"/>
                <w:szCs w:val="18"/>
                <w:color w:val="0000FF"/>
              </w:rPr>
              <w:t>Kinderhook Partners, L.P.</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0"/>
        </w:trPr>
        <w:tc>
          <w:tcPr>
            <w:tcW w:w="172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8"/>
                <w:szCs w:val="18"/>
                <w:color w:val="0000FF"/>
                <w:w w:val="85"/>
              </w:rPr>
              <w:t>/s/ Stephen J. Clearman,</w:t>
            </w:r>
          </w:p>
        </w:tc>
        <w:tc>
          <w:tcPr>
            <w:tcW w:w="10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196"/>
        </w:trPr>
        <w:tc>
          <w:tcPr>
            <w:tcW w:w="2120" w:type="dxa"/>
            <w:vAlign w:val="bottom"/>
            <w:gridSpan w:val="6"/>
          </w:tcPr>
          <w:p>
            <w:pPr>
              <w:spacing w:after="0" w:line="196" w:lineRule="exact"/>
              <w:rPr>
                <w:sz w:val="20"/>
                <w:szCs w:val="20"/>
                <w:color w:val="auto"/>
              </w:rPr>
            </w:pPr>
            <w:r>
              <w:rPr>
                <w:rFonts w:ascii="Arial" w:cs="Arial" w:eastAsia="Arial" w:hAnsi="Arial"/>
                <w:sz w:val="18"/>
                <w:szCs w:val="18"/>
                <w:color w:val="0000FF"/>
              </w:rPr>
              <w:t>Managing Member of</w:t>
            </w:r>
          </w:p>
        </w:tc>
        <w:tc>
          <w:tcPr>
            <w:tcW w:w="960" w:type="dxa"/>
            <w:vAlign w:val="bottom"/>
            <w:gridSpan w:val="2"/>
          </w:tcPr>
          <w:p>
            <w:pPr>
              <w:ind w:left="180"/>
              <w:spacing w:after="0" w:line="196" w:lineRule="exact"/>
              <w:rPr>
                <w:sz w:val="20"/>
                <w:szCs w:val="20"/>
                <w:color w:val="auto"/>
              </w:rPr>
            </w:pPr>
            <w:r>
              <w:rPr>
                <w:rFonts w:ascii="Arial" w:cs="Arial" w:eastAsia="Arial" w:hAnsi="Arial"/>
                <w:sz w:val="18"/>
                <w:szCs w:val="18"/>
                <w:color w:val="0000FF"/>
                <w:w w:val="84"/>
              </w:rPr>
              <w:t>12/16/2011</w:t>
            </w:r>
          </w:p>
        </w:tc>
      </w:tr>
      <w:tr>
        <w:trPr>
          <w:trHeight w:val="196"/>
        </w:trPr>
        <w:tc>
          <w:tcPr>
            <w:tcW w:w="154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0000FF"/>
                <w:w w:val="90"/>
              </w:rPr>
              <w:t>Kinderhook GP, LLC</w:t>
            </w:r>
          </w:p>
        </w:tc>
        <w:tc>
          <w:tcPr>
            <w:tcW w:w="58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250"/>
        </w:trPr>
        <w:tc>
          <w:tcPr>
            <w:tcW w:w="1100" w:type="dxa"/>
            <w:vAlign w:val="bottom"/>
          </w:tcPr>
          <w:p>
            <w:pPr>
              <w:spacing w:after="0"/>
              <w:rPr>
                <w:sz w:val="20"/>
                <w:szCs w:val="20"/>
                <w:color w:val="auto"/>
              </w:rPr>
            </w:pPr>
            <w:r>
              <w:rPr>
                <w:rFonts w:ascii="Arial" w:cs="Arial" w:eastAsia="Arial" w:hAnsi="Arial"/>
                <w:sz w:val="18"/>
                <w:szCs w:val="18"/>
                <w:color w:val="0000FF"/>
                <w:w w:val="84"/>
              </w:rPr>
              <w:t>/s/ Tushar Shah</w:t>
            </w:r>
          </w:p>
        </w:tc>
        <w:tc>
          <w:tcPr>
            <w:tcW w:w="1020" w:type="dxa"/>
            <w:vAlign w:val="bottom"/>
            <w:gridSpan w:val="5"/>
          </w:tcPr>
          <w:p>
            <w:pPr>
              <w:spacing w:after="0"/>
              <w:rPr>
                <w:sz w:val="21"/>
                <w:szCs w:val="21"/>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12/16/2011</w:t>
            </w:r>
          </w:p>
        </w:tc>
      </w:tr>
      <w:tr>
        <w:trPr>
          <w:trHeight w:val="20"/>
        </w:trPr>
        <w:tc>
          <w:tcPr>
            <w:tcW w:w="1100" w:type="dxa"/>
            <w:vAlign w:val="bottom"/>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50"/>
        </w:trPr>
        <w:tc>
          <w:tcPr>
            <w:tcW w:w="2120" w:type="dxa"/>
            <w:vAlign w:val="bottom"/>
            <w:gridSpan w:val="6"/>
          </w:tcPr>
          <w:p>
            <w:pPr>
              <w:spacing w:after="0"/>
              <w:rPr>
                <w:sz w:val="20"/>
                <w:szCs w:val="20"/>
                <w:color w:val="auto"/>
              </w:rPr>
            </w:pPr>
            <w:r>
              <w:rPr>
                <w:rFonts w:ascii="Arial" w:cs="Arial" w:eastAsia="Arial" w:hAnsi="Arial"/>
                <w:sz w:val="18"/>
                <w:szCs w:val="18"/>
                <w:color w:val="0000FF"/>
              </w:rPr>
              <w:t>/s/ Stephen J. Clearman</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12/16/2011</w:t>
            </w:r>
          </w:p>
        </w:tc>
      </w:tr>
      <w:tr>
        <w:trPr>
          <w:trHeight w:val="20"/>
        </w:trPr>
        <w:tc>
          <w:tcPr>
            <w:tcW w:w="1660" w:type="dxa"/>
            <w:vAlign w:val="bottom"/>
            <w:gridSpan w:val="3"/>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6"/>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46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60" w:top="3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2" Type="http://schemas.openxmlformats.org/officeDocument/2006/relationships/hyperlink" Target="http://www.sec.gov/cgi-bin/browse-edgar?action=getcompany&amp;CIK=0001220338" TargetMode="External"/><Relationship Id="rId13" Type="http://schemas.openxmlformats.org/officeDocument/2006/relationships/hyperlink" Target="http://www.sec.gov/cgi-bin/browse-edgar?action=getcompany&amp;CIK=0001044435" TargetMode="External"/><Relationship Id="rId14" Type="http://schemas.openxmlformats.org/officeDocument/2006/relationships/hyperlink" Target="http://www.sec.gov/cgi-bin/browse-edgar?action=getcompany&amp;CIK=0001266402" TargetMode="External"/><Relationship Id="rId15" Type="http://schemas.openxmlformats.org/officeDocument/2006/relationships/hyperlink" Target="http://www.sec.gov/cgi-bin/browse-edgar?action=getcompany&amp;CIK=0001487632" TargetMode="External"/><Relationship Id="rId16" Type="http://schemas.openxmlformats.org/officeDocument/2006/relationships/hyperlink" Target="http://www.sec.gov/cgi-bin/browse-edgar?action=getcompany&amp;CIK=00010328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2019-12-17T06:13:30Z</dcterms:created>
  <dcterms:modified xsi:type="dcterms:W3CDTF">2019-12-17T06:13:30Z</dcterms:modified>
</cp:coreProperties>
</file>