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727075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742315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0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180340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7"/>
              </w:rPr>
              <w:t>2699 Howell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1000</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Dallas, Texas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75204</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803910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10" w:right="319" w:bottom="1440" w:gutter="0" w:footer="0" w:header="0"/>
        </w:sectPr>
      </w:pPr>
    </w:p>
    <w:bookmarkStart w:id="1" w:name="page2"/>
    <w:bookmarkEnd w:id="1"/>
    <w:p>
      <w:pPr>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895985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0960"/>
          </w:cols>
          <w:pgMar w:left="320" w:top="1176"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On August 7, 2025, P10, Inc. (the “Company”) issued a press release announcing its financial results for the second quarter ended June 30, 2025. A copy of the press release is attached hereto as Exhibit 99.1 and is incorporated herein by reference.</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212529"/>
        </w:rPr>
        <w:t>The information disclosed under this Item 2</w:t>
      </w:r>
      <w:r>
        <w:rPr>
          <w:rFonts w:ascii="Times New Roman" w:cs="Times New Roman" w:eastAsia="Times New Roman" w:hAnsi="Times New Roman"/>
          <w:sz w:val="16"/>
          <w:szCs w:val="16"/>
          <w:color w:val="000000"/>
        </w:rPr>
        <w:t>.02, including Exhibit 99.1,</w:t>
      </w:r>
      <w:r>
        <w:rPr>
          <w:rFonts w:ascii="Times New Roman" w:cs="Times New Roman" w:eastAsia="Times New Roman" w:hAnsi="Times New Roman"/>
          <w:sz w:val="16"/>
          <w:szCs w:val="16"/>
          <w:color w:val="212529"/>
        </w:rPr>
        <w:t xml:space="preserve"> is being furnished and shall not be deemed “filed” for purposes of Section 18 of the </w:t>
      </w:r>
      <w:r>
        <w:rPr>
          <w:rFonts w:ascii="Times New Roman" w:cs="Times New Roman" w:eastAsia="Times New Roman" w:hAnsi="Times New Roman"/>
          <w:sz w:val="16"/>
          <w:szCs w:val="16"/>
          <w:color w:val="000000"/>
        </w:rPr>
        <w:t>Securities</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 xml:space="preserve">Exchange Act of 1934, as amended (the “Exchange Act”) </w:t>
      </w:r>
      <w:r>
        <w:rPr>
          <w:rFonts w:ascii="Times New Roman" w:cs="Times New Roman" w:eastAsia="Times New Roman" w:hAnsi="Times New Roman"/>
          <w:sz w:val="16"/>
          <w:szCs w:val="16"/>
          <w:color w:val="212529"/>
        </w:rPr>
        <w:t>or otherwise subject to the liability of that section, and shall not be deemed incorporated by reference into any</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12529"/>
        </w:rPr>
        <w:t>Company filing made under the Securities Act of 1933, as amended (the “Securities Act”), or under the Exchange Act, except as expressly set forth by specific reference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212529"/>
        </w:rPr>
        <w:t>On August 7, 2025, the Company posted an earnings presentation to its website. A copy of the earnings presentation is attached hereto as Exhibit 99.2 and is incorporated herein by reference.</w:t>
      </w:r>
    </w:p>
    <w:p>
      <w:pPr>
        <w:spacing w:after="0" w:line="14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6"/>
          <w:szCs w:val="16"/>
          <w:color w:val="212529"/>
        </w:rPr>
        <w:t>The information disclosed under this Item 7.01, including Exhibit 99.2, is being furnished and shall not be deemed “filed” for purposes of Section 18 of the Exchange Act or otherwise subject to the liability of that section, and shall not be deemed incorporated by reference into any Company filing made under the Securities Act or under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No.</w:t>
            </w:r>
          </w:p>
        </w:tc>
        <w:tc>
          <w:tcPr>
            <w:tcW w:w="1010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00" w:type="dxa"/>
            <w:vAlign w:val="bottom"/>
            <w:gridSpan w:val="5"/>
          </w:tcPr>
          <w:p>
            <w:pPr>
              <w:ind w:left="440"/>
              <w:spacing w:after="0" w:line="169" w:lineRule="exact"/>
              <w:rPr>
                <w:sz w:val="20"/>
                <w:szCs w:val="20"/>
                <w:color w:val="auto"/>
              </w:rPr>
            </w:pPr>
            <w:r>
              <w:rPr>
                <w:rFonts w:ascii="Times New Roman" w:cs="Times New Roman" w:eastAsia="Times New Roman" w:hAnsi="Times New Roman"/>
                <w:sz w:val="16"/>
                <w:szCs w:val="16"/>
                <w:color w:val="0000FF"/>
              </w:rPr>
              <w:t>Press Release of P10, Inc. dated August 7, 2025</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00" w:type="dxa"/>
            <w:vAlign w:val="bottom"/>
            <w:gridSpan w:val="5"/>
          </w:tcPr>
          <w:p>
            <w:pPr>
              <w:ind w:left="440"/>
              <w:spacing w:after="0" w:line="169" w:lineRule="exact"/>
              <w:rPr>
                <w:sz w:val="20"/>
                <w:szCs w:val="20"/>
                <w:color w:val="auto"/>
              </w:rPr>
            </w:pPr>
            <w:r>
              <w:rPr>
                <w:rFonts w:ascii="Times New Roman" w:cs="Times New Roman" w:eastAsia="Times New Roman" w:hAnsi="Times New Roman"/>
                <w:sz w:val="16"/>
                <w:szCs w:val="16"/>
                <w:color w:val="0000FF"/>
              </w:rPr>
              <w:t>Second Quarter 2025 Earnings Presentation, dated August 7, 2025</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0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22"/>
        </w:trPr>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15" w:right="31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P10, INC.</w:t>
      </w:r>
    </w:p>
    <w:p>
      <w:pPr>
        <w:spacing w:after="0" w:line="323"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August 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b w:val="1"/>
          <w:bCs w:val="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22860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981710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032"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755650</wp:posOffset>
            </wp:positionH>
            <wp:positionV relativeFrom="page">
              <wp:posOffset>516890</wp:posOffset>
            </wp:positionV>
            <wp:extent cx="758190" cy="353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58190" cy="353060"/>
                    </a:xfrm>
                    <a:prstGeom prst="rect">
                      <a:avLst/>
                    </a:prstGeom>
                    <a:noFill/>
                  </pic:spPr>
                </pic:pic>
              </a:graphicData>
            </a:graphic>
          </wp:anchor>
        </w:drawing>
        <w:drawing>
          <wp:anchor simplePos="0" relativeHeight="251657728" behindDoc="1" locked="0" layoutInCell="0" allowOverlap="1">
            <wp:simplePos x="0" y="0"/>
            <wp:positionH relativeFrom="page">
              <wp:posOffset>3481705</wp:posOffset>
            </wp:positionH>
            <wp:positionV relativeFrom="page">
              <wp:posOffset>809625</wp:posOffset>
            </wp:positionV>
            <wp:extent cx="2628265" cy="2425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628265" cy="2425700"/>
                    </a:xfrm>
                    <a:prstGeom prst="rect">
                      <a:avLst/>
                    </a:prstGeom>
                    <a:noFill/>
                  </pic:spPr>
                </pic:pic>
              </a:graphicData>
            </a:graphic>
          </wp:anchor>
        </w:drawing>
      </w:r>
    </w:p>
    <w:p>
      <w:pPr>
        <w:spacing w:after="0" w:line="250" w:lineRule="exact"/>
        <w:rPr>
          <w:sz w:val="20"/>
          <w:szCs w:val="20"/>
          <w:color w:val="auto"/>
        </w:rPr>
      </w:pPr>
    </w:p>
    <w:p>
      <w:pPr>
        <w:ind w:left="2380"/>
        <w:spacing w:after="0"/>
        <w:rPr>
          <w:sz w:val="20"/>
          <w:szCs w:val="20"/>
          <w:color w:val="auto"/>
        </w:rPr>
      </w:pPr>
      <w:r>
        <w:rPr>
          <w:rFonts w:ascii="Arial" w:cs="Arial" w:eastAsia="Arial" w:hAnsi="Arial"/>
          <w:sz w:val="19"/>
          <w:szCs w:val="19"/>
          <w:b w:val="1"/>
          <w:bCs w:val="1"/>
          <w:color w:val="2F2F45"/>
        </w:rPr>
        <w:t>P10 Reports Second Quarter 2025 Earnings Results</w:t>
      </w:r>
    </w:p>
    <w:p>
      <w:pPr>
        <w:spacing w:after="0" w:line="304" w:lineRule="exact"/>
        <w:rPr>
          <w:sz w:val="20"/>
          <w:szCs w:val="20"/>
          <w:color w:val="auto"/>
        </w:rPr>
      </w:pPr>
    </w:p>
    <w:p>
      <w:pPr>
        <w:jc w:val="center"/>
        <w:ind w:left="820" w:right="459"/>
        <w:spacing w:after="0" w:line="265" w:lineRule="auto"/>
        <w:rPr>
          <w:sz w:val="20"/>
          <w:szCs w:val="20"/>
          <w:color w:val="auto"/>
        </w:rPr>
      </w:pPr>
      <w:r>
        <w:rPr>
          <w:rFonts w:ascii="Arial" w:cs="Arial" w:eastAsia="Arial" w:hAnsi="Arial"/>
          <w:sz w:val="19"/>
          <w:szCs w:val="19"/>
          <w:i w:val="1"/>
          <w:iCs w:val="1"/>
          <w:color w:val="2F2F45"/>
        </w:rPr>
        <w:t>Record Organic Fundraising and Deployments of over $1.9 Billion in Gross New Fee-Paying AUM</w:t>
      </w:r>
    </w:p>
    <w:p>
      <w:pPr>
        <w:spacing w:after="0" w:line="156" w:lineRule="exact"/>
        <w:rPr>
          <w:sz w:val="20"/>
          <w:szCs w:val="20"/>
          <w:color w:val="auto"/>
        </w:rPr>
      </w:pPr>
    </w:p>
    <w:p>
      <w:pPr>
        <w:ind w:left="2920"/>
        <w:spacing w:after="0"/>
        <w:rPr>
          <w:sz w:val="20"/>
          <w:szCs w:val="20"/>
          <w:color w:val="auto"/>
        </w:rPr>
      </w:pPr>
      <w:r>
        <w:rPr>
          <w:rFonts w:ascii="Arial" w:cs="Arial" w:eastAsia="Arial" w:hAnsi="Arial"/>
          <w:sz w:val="19"/>
          <w:szCs w:val="19"/>
          <w:i w:val="1"/>
          <w:iCs w:val="1"/>
          <w:color w:val="2F2F45"/>
        </w:rPr>
        <w:t>Fee-Paying AUM grew 21% year over year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9"/>
          <w:szCs w:val="19"/>
          <w:i w:val="1"/>
          <w:iCs w:val="1"/>
          <w:color w:val="2F2F45"/>
        </w:rPr>
        <w:t>Closed acquisition of Qualitas Funds, Bringing Platform-Wide Fee-Paying AUM to $28.9</w:t>
      </w:r>
    </w:p>
    <w:p>
      <w:pPr>
        <w:spacing w:after="0" w:line="10" w:lineRule="exact"/>
        <w:rPr>
          <w:sz w:val="20"/>
          <w:szCs w:val="20"/>
          <w:color w:val="auto"/>
        </w:rPr>
      </w:pPr>
    </w:p>
    <w:p>
      <w:pPr>
        <w:jc w:val="center"/>
        <w:ind w:right="-420"/>
        <w:spacing w:after="0"/>
        <w:rPr>
          <w:sz w:val="20"/>
          <w:szCs w:val="20"/>
          <w:color w:val="auto"/>
        </w:rPr>
      </w:pPr>
      <w:r>
        <w:rPr>
          <w:rFonts w:ascii="Arial" w:cs="Arial" w:eastAsia="Arial" w:hAnsi="Arial"/>
          <w:sz w:val="19"/>
          <w:szCs w:val="19"/>
          <w:i w:val="1"/>
          <w:iCs w:val="1"/>
          <w:color w:val="2F2F45"/>
        </w:rPr>
        <w:t>Billion</w:t>
      </w:r>
    </w:p>
    <w:p>
      <w:pPr>
        <w:spacing w:after="0" w:line="200" w:lineRule="exact"/>
        <w:rPr>
          <w:sz w:val="20"/>
          <w:szCs w:val="20"/>
          <w:color w:val="auto"/>
        </w:rPr>
      </w:pPr>
    </w:p>
    <w:p>
      <w:pPr>
        <w:spacing w:after="0" w:line="202" w:lineRule="exact"/>
        <w:rPr>
          <w:sz w:val="20"/>
          <w:szCs w:val="20"/>
          <w:color w:val="auto"/>
        </w:rPr>
      </w:pPr>
    </w:p>
    <w:p>
      <w:pPr>
        <w:ind w:left="820" w:right="559"/>
        <w:spacing w:after="0"/>
        <w:rPr>
          <w:sz w:val="20"/>
          <w:szCs w:val="20"/>
          <w:color w:val="auto"/>
        </w:rPr>
      </w:pPr>
      <w:r>
        <w:rPr>
          <w:rFonts w:ascii="Arial" w:cs="Arial" w:eastAsia="Arial" w:hAnsi="Arial"/>
          <w:sz w:val="19"/>
          <w:szCs w:val="19"/>
          <w:color w:val="2F2F45"/>
        </w:rPr>
        <w:t xml:space="preserve">DALLAS, August 7, 2025 (GLOBE NEWSWIRE) - </w:t>
      </w:r>
      <w:r>
        <w:rPr>
          <w:rFonts w:ascii="Arial" w:cs="Arial" w:eastAsia="Arial" w:hAnsi="Arial"/>
          <w:sz w:val="19"/>
          <w:szCs w:val="19"/>
          <w:color w:val="000000"/>
        </w:rPr>
        <w:t>P10, Inc.</w:t>
      </w:r>
      <w:r>
        <w:rPr>
          <w:rFonts w:ascii="Arial" w:cs="Arial" w:eastAsia="Arial" w:hAnsi="Arial"/>
          <w:sz w:val="19"/>
          <w:szCs w:val="19"/>
          <w:color w:val="2F2F45"/>
        </w:rPr>
        <w:t xml:space="preserve"> (NYSE: PX) (the “Company”), a leading private markets solutions provider, today reported financial results for the second quarter ended June 30, 2025.</w:t>
      </w:r>
    </w:p>
    <w:p>
      <w:pPr>
        <w:ind w:left="820"/>
        <w:spacing w:after="0" w:line="235" w:lineRule="auto"/>
        <w:rPr>
          <w:sz w:val="20"/>
          <w:szCs w:val="20"/>
          <w:color w:val="auto"/>
        </w:rPr>
      </w:pPr>
      <w:r>
        <w:rPr>
          <w:rFonts w:ascii="Arial" w:cs="Arial" w:eastAsia="Arial" w:hAnsi="Arial"/>
          <w:sz w:val="19"/>
          <w:szCs w:val="19"/>
          <w:b w:val="1"/>
          <w:bCs w:val="1"/>
          <w:color w:val="2F2F45"/>
        </w:rPr>
        <w:t>Second Quarter 2025 Financial Highlights</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Revenue: $72.7 million, a 2% increase year over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Fee-Related Revenue: $72.7 million, a 6% increase year over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Fee-Paying Assets Under Management: $28.9 billion, a 21% increase year over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GAAP Net Income: $4.2 million compared to $7.4 million in the prior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Fee-Related Earnings: $35.4 million, a 5% increase year over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Adjusted Net Income: $26.7 million compared to $28.8 million in the prior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Fully Diluted GAAP EPS: $0.03 compared to $0.06 in the prior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Fully Diluted ANI per share: $0.23 compared to $0.24 in the prior year.</w:t>
      </w:r>
    </w:p>
    <w:p>
      <w:pPr>
        <w:spacing w:after="0" w:line="1" w:lineRule="exact"/>
        <w:rPr>
          <w:sz w:val="20"/>
          <w:szCs w:val="20"/>
          <w:color w:val="auto"/>
        </w:rPr>
      </w:pPr>
    </w:p>
    <w:p>
      <w:pPr>
        <w:ind w:left="820" w:right="959"/>
        <w:spacing w:after="0" w:line="233" w:lineRule="auto"/>
        <w:rPr>
          <w:sz w:val="20"/>
          <w:szCs w:val="20"/>
          <w:color w:val="auto"/>
        </w:rPr>
      </w:pPr>
      <w:r>
        <w:rPr>
          <w:rFonts w:ascii="Arial" w:cs="Arial" w:eastAsia="Arial" w:hAnsi="Arial"/>
          <w:sz w:val="19"/>
          <w:szCs w:val="19"/>
          <w:color w:val="2F2F45"/>
        </w:rPr>
        <w:t xml:space="preserve">A presentation of the quarterly financials may be accessed </w:t>
      </w:r>
      <w:r>
        <w:rPr>
          <w:rFonts w:ascii="Verdana" w:cs="Verdana" w:eastAsia="Verdana" w:hAnsi="Verdana"/>
          <w:sz w:val="15"/>
          <w:szCs w:val="15"/>
          <w:color w:val="000000"/>
        </w:rPr>
        <w:t>here</w:t>
      </w:r>
      <w:r>
        <w:rPr>
          <w:rFonts w:ascii="Arial" w:cs="Arial" w:eastAsia="Arial" w:hAnsi="Arial"/>
          <w:sz w:val="19"/>
          <w:szCs w:val="19"/>
          <w:color w:val="2F2F45"/>
        </w:rPr>
        <w:t xml:space="preserve"> and is available on the Company’s website.</w:t>
      </w:r>
    </w:p>
    <w:p>
      <w:pPr>
        <w:spacing w:after="0" w:line="2" w:lineRule="exact"/>
        <w:rPr>
          <w:sz w:val="20"/>
          <w:szCs w:val="20"/>
          <w:color w:val="auto"/>
        </w:rPr>
      </w:pPr>
    </w:p>
    <w:p>
      <w:pPr>
        <w:jc w:val="both"/>
        <w:ind w:left="820" w:right="399"/>
        <w:spacing w:after="0" w:line="233" w:lineRule="auto"/>
        <w:rPr>
          <w:sz w:val="20"/>
          <w:szCs w:val="20"/>
          <w:color w:val="auto"/>
        </w:rPr>
      </w:pPr>
      <w:r>
        <w:rPr>
          <w:rFonts w:ascii="Arial" w:cs="Arial" w:eastAsia="Arial" w:hAnsi="Arial"/>
          <w:sz w:val="19"/>
          <w:szCs w:val="19"/>
          <w:color w:val="2F2F45"/>
        </w:rPr>
        <w:t>“P10 executed across our strategic initiatives, including capital formation, global expansion, and cross-platform collaboration in the second quarter,” said Luke Sarsfield, P10 Chairman and Chief Executive Officer. “Our strategies raised and deployed $1.9 billion in organic gross fee-paying assets. When combined with the $1 billion in fee-paying AUM from the Qualitas Funds transaction and moderate FX tailwinds, our gross fee-paying AUM increased by nearly $3 billion in the quarter. Our momentum is powered by our focus on the middle and lower-middle market, where we see long-term structural advantages that will drive demand for our leading access-constrained solutions.”</w:t>
      </w:r>
    </w:p>
    <w:p>
      <w:pPr>
        <w:ind w:left="820"/>
        <w:spacing w:after="0"/>
        <w:rPr>
          <w:sz w:val="20"/>
          <w:szCs w:val="20"/>
          <w:color w:val="auto"/>
        </w:rPr>
      </w:pPr>
      <w:r>
        <w:rPr>
          <w:rFonts w:ascii="Arial" w:cs="Arial" w:eastAsia="Arial" w:hAnsi="Arial"/>
          <w:sz w:val="19"/>
          <w:szCs w:val="19"/>
          <w:b w:val="1"/>
          <w:bCs w:val="1"/>
          <w:color w:val="2F2F45"/>
        </w:rPr>
        <w:t>Stock Repurchase Program</w:t>
      </w:r>
    </w:p>
    <w:p>
      <w:pPr>
        <w:jc w:val="both"/>
        <w:ind w:left="820" w:right="419"/>
        <w:spacing w:after="0" w:line="233" w:lineRule="auto"/>
        <w:rPr>
          <w:sz w:val="20"/>
          <w:szCs w:val="20"/>
          <w:color w:val="auto"/>
        </w:rPr>
      </w:pPr>
      <w:r>
        <w:rPr>
          <w:rFonts w:ascii="Arial" w:cs="Arial" w:eastAsia="Arial" w:hAnsi="Arial"/>
          <w:sz w:val="19"/>
          <w:szCs w:val="19"/>
          <w:color w:val="2F2F45"/>
        </w:rPr>
        <w:t>In the second quarter, the Company repurchased 2,501,083 shares at an average price of $10.49 per share. The repurchase activity left approximately $2.3 million available under the share repurchase authorization at the end of the second quarter. The P10 Board of Directors authorized an additional $25 million for the repurchase plan.</w:t>
      </w:r>
    </w:p>
    <w:p>
      <w:pPr>
        <w:ind w:left="820"/>
        <w:spacing w:after="0" w:line="237" w:lineRule="auto"/>
        <w:rPr>
          <w:sz w:val="20"/>
          <w:szCs w:val="20"/>
          <w:color w:val="auto"/>
        </w:rPr>
      </w:pPr>
      <w:r>
        <w:rPr>
          <w:rFonts w:ascii="Arial" w:cs="Arial" w:eastAsia="Arial" w:hAnsi="Arial"/>
          <w:sz w:val="19"/>
          <w:szCs w:val="19"/>
          <w:b w:val="1"/>
          <w:bCs w:val="1"/>
          <w:color w:val="2F2F45"/>
        </w:rPr>
        <w:t>Declaration of Dividend</w:t>
      </w:r>
    </w:p>
    <w:p>
      <w:pPr>
        <w:jc w:val="both"/>
        <w:ind w:left="820" w:right="679"/>
        <w:spacing w:after="0" w:line="233" w:lineRule="auto"/>
        <w:rPr>
          <w:sz w:val="20"/>
          <w:szCs w:val="20"/>
          <w:color w:val="auto"/>
        </w:rPr>
      </w:pPr>
      <w:r>
        <w:rPr>
          <w:rFonts w:ascii="Arial" w:cs="Arial" w:eastAsia="Arial" w:hAnsi="Arial"/>
          <w:sz w:val="19"/>
          <w:szCs w:val="19"/>
          <w:color w:val="2F2F45"/>
        </w:rPr>
        <w:t>The Board of Directors of the Company has declared a quarterly cash dividend of $0.0375 per share on Class A and Class B common stock, payable on September 19, 2025, to the holders of record as of the close of business on August 29, 2025.</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Conference Call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978535</wp:posOffset>
            </wp:positionV>
            <wp:extent cx="61683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r>
    </w:p>
    <w:p>
      <w:pPr>
        <w:spacing w:after="0" w:line="250" w:lineRule="exact"/>
        <w:rPr>
          <w:sz w:val="20"/>
          <w:szCs w:val="20"/>
          <w:color w:val="auto"/>
        </w:rPr>
      </w:pPr>
    </w:p>
    <w:p>
      <w:pPr>
        <w:ind w:left="820" w:right="579"/>
        <w:spacing w:after="0" w:line="267" w:lineRule="auto"/>
        <w:rPr>
          <w:sz w:val="20"/>
          <w:szCs w:val="20"/>
          <w:color w:val="auto"/>
        </w:rPr>
      </w:pPr>
      <w:r>
        <w:rPr>
          <w:rFonts w:ascii="Arial" w:cs="Arial" w:eastAsia="Arial" w:hAnsi="Arial"/>
          <w:sz w:val="19"/>
          <w:szCs w:val="19"/>
          <w:color w:val="2F2F45"/>
        </w:rPr>
        <w:t>The Company will host a conference call at 8:30 a.m. Eastern Time on Thursday, August 7, 2025. All participants must register prior to joining the event.</w:t>
      </w:r>
    </w:p>
    <w:p>
      <w:pPr>
        <w:spacing w:after="0" w:line="152" w:lineRule="exact"/>
        <w:rPr>
          <w:sz w:val="20"/>
          <w:szCs w:val="20"/>
          <w:color w:val="auto"/>
        </w:rPr>
      </w:pPr>
    </w:p>
    <w:p>
      <w:pPr>
        <w:ind w:left="1380" w:hanging="282"/>
        <w:spacing w:after="0"/>
        <w:tabs>
          <w:tab w:leader="none" w:pos="1380" w:val="left"/>
        </w:tabs>
        <w:numPr>
          <w:ilvl w:val="0"/>
          <w:numId w:val="3"/>
        </w:numPr>
        <w:rPr>
          <w:rFonts w:ascii="Times New Roman" w:cs="Times New Roman" w:eastAsia="Times New Roman" w:hAnsi="Times New Roman"/>
          <w:sz w:val="19"/>
          <w:szCs w:val="19"/>
          <w:color w:val="2F2F45"/>
        </w:rPr>
      </w:pPr>
      <w:r>
        <w:rPr>
          <w:rFonts w:ascii="Arial" w:cs="Arial" w:eastAsia="Arial" w:hAnsi="Arial"/>
          <w:sz w:val="19"/>
          <w:szCs w:val="19"/>
          <w:color w:val="2F2F45"/>
        </w:rPr>
        <w:t xml:space="preserve">To join and view the live webcast, please register </w:t>
      </w:r>
      <w:r>
        <w:rPr>
          <w:rFonts w:ascii="Arial" w:cs="Arial" w:eastAsia="Arial" w:hAnsi="Arial"/>
          <w:sz w:val="19"/>
          <w:szCs w:val="19"/>
          <w:color w:val="000000"/>
        </w:rPr>
        <w:t>here</w:t>
      </w:r>
      <w:r>
        <w:rPr>
          <w:rFonts w:ascii="Arial" w:cs="Arial" w:eastAsia="Arial" w:hAnsi="Arial"/>
          <w:sz w:val="19"/>
          <w:szCs w:val="19"/>
          <w:color w:val="2F2F45"/>
        </w:rPr>
        <w:t>.</w:t>
      </w:r>
    </w:p>
    <w:p>
      <w:pPr>
        <w:spacing w:after="0" w:line="11" w:lineRule="exact"/>
        <w:rPr>
          <w:rFonts w:ascii="Times New Roman" w:cs="Times New Roman" w:eastAsia="Times New Roman" w:hAnsi="Times New Roman"/>
          <w:sz w:val="19"/>
          <w:szCs w:val="19"/>
          <w:color w:val="2F2F45"/>
        </w:rPr>
      </w:pPr>
    </w:p>
    <w:p>
      <w:pPr>
        <w:ind w:left="1380" w:hanging="282"/>
        <w:spacing w:after="0" w:line="232" w:lineRule="auto"/>
        <w:tabs>
          <w:tab w:leader="none" w:pos="1380" w:val="left"/>
        </w:tabs>
        <w:numPr>
          <w:ilvl w:val="0"/>
          <w:numId w:val="3"/>
        </w:numPr>
        <w:rPr>
          <w:rFonts w:ascii="Times New Roman" w:cs="Times New Roman" w:eastAsia="Times New Roman" w:hAnsi="Times New Roman"/>
          <w:sz w:val="19"/>
          <w:szCs w:val="19"/>
          <w:color w:val="2F2F45"/>
        </w:rPr>
      </w:pPr>
      <w:r>
        <w:rPr>
          <w:rFonts w:ascii="Arial" w:cs="Arial" w:eastAsia="Arial" w:hAnsi="Arial"/>
          <w:sz w:val="19"/>
          <w:szCs w:val="19"/>
          <w:color w:val="2F2F45"/>
        </w:rPr>
        <w:t xml:space="preserve">To join by telephone, please register </w:t>
      </w:r>
      <w:r>
        <w:rPr>
          <w:rFonts w:ascii="Arial" w:cs="Arial" w:eastAsia="Arial" w:hAnsi="Arial"/>
          <w:sz w:val="19"/>
          <w:szCs w:val="19"/>
          <w:color w:val="000000"/>
        </w:rPr>
        <w:t>here</w:t>
      </w:r>
      <w:r>
        <w:rPr>
          <w:rFonts w:ascii="Arial" w:cs="Arial" w:eastAsia="Arial" w:hAnsi="Arial"/>
          <w:sz w:val="19"/>
          <w:szCs w:val="19"/>
          <w:color w:val="2F2F45"/>
        </w:rPr>
        <w:t>.</w:t>
      </w:r>
    </w:p>
    <w:p>
      <w:pPr>
        <w:spacing w:after="0" w:line="1" w:lineRule="exact"/>
        <w:rPr>
          <w:sz w:val="20"/>
          <w:szCs w:val="20"/>
          <w:color w:val="auto"/>
        </w:rPr>
      </w:pPr>
    </w:p>
    <w:p>
      <w:pPr>
        <w:ind w:left="820" w:right="819"/>
        <w:spacing w:after="0" w:line="233" w:lineRule="auto"/>
        <w:rPr>
          <w:sz w:val="20"/>
          <w:szCs w:val="20"/>
          <w:color w:val="auto"/>
        </w:rPr>
      </w:pPr>
      <w:r>
        <w:rPr>
          <w:rFonts w:ascii="Arial" w:cs="Arial" w:eastAsia="Arial" w:hAnsi="Arial"/>
          <w:sz w:val="19"/>
          <w:szCs w:val="19"/>
          <w:color w:val="2F2F45"/>
        </w:rPr>
        <w:t xml:space="preserve">For those unable to participate in the live event, a replay will be made available on P10’s investor relations page at </w:t>
      </w:r>
      <w:r>
        <w:rPr>
          <w:rFonts w:ascii="Verdana" w:cs="Verdana" w:eastAsia="Verdana" w:hAnsi="Verdana"/>
          <w:sz w:val="15"/>
          <w:szCs w:val="15"/>
          <w:color w:val="000000"/>
        </w:rPr>
        <w:t>ir.p10alts.com</w:t>
      </w:r>
      <w:r>
        <w:rPr>
          <w:rFonts w:ascii="Arial" w:cs="Arial" w:eastAsia="Arial" w:hAnsi="Arial"/>
          <w:sz w:val="19"/>
          <w:szCs w:val="19"/>
          <w:color w:val="2F2F45"/>
        </w:rPr>
        <w:t>.</w:t>
      </w:r>
    </w:p>
    <w:p>
      <w:pPr>
        <w:ind w:left="820"/>
        <w:spacing w:after="0" w:line="235" w:lineRule="auto"/>
        <w:rPr>
          <w:sz w:val="20"/>
          <w:szCs w:val="20"/>
          <w:color w:val="auto"/>
        </w:rPr>
      </w:pPr>
      <w:r>
        <w:rPr>
          <w:rFonts w:ascii="Arial" w:cs="Arial" w:eastAsia="Arial" w:hAnsi="Arial"/>
          <w:sz w:val="19"/>
          <w:szCs w:val="19"/>
          <w:b w:val="1"/>
          <w:bCs w:val="1"/>
          <w:color w:val="2F2F45"/>
        </w:rPr>
        <w:t>About P10</w:t>
      </w:r>
    </w:p>
    <w:p>
      <w:pPr>
        <w:ind w:left="820" w:right="419"/>
        <w:spacing w:after="0" w:line="237" w:lineRule="auto"/>
        <w:rPr>
          <w:sz w:val="20"/>
          <w:szCs w:val="20"/>
          <w:color w:val="auto"/>
        </w:rPr>
      </w:pPr>
      <w:r>
        <w:rPr>
          <w:rFonts w:ascii="Arial" w:cs="Arial" w:eastAsia="Arial" w:hAnsi="Arial"/>
          <w:sz w:val="19"/>
          <w:szCs w:val="19"/>
          <w:color w:val="302C45"/>
        </w:rPr>
        <w:t xml:space="preserve">P10 (NYSE: PX) is a leading private markets solutions provider with over $40 billion in assets under management as of June 30, 2025. P10 invests across Private Equity, Private Credit, and Venture Capital in access-constrained strategies, with a focus on the middle and lower-middle market. P10’s products have a global investor base and aim to deliver compelling risk-adjusted returns. For additional information, please visit </w:t>
      </w:r>
      <w:r>
        <w:rPr>
          <w:rFonts w:ascii="Verdana" w:cs="Verdana" w:eastAsia="Verdana" w:hAnsi="Verdana"/>
          <w:sz w:val="15"/>
          <w:szCs w:val="15"/>
          <w:color w:val="000000"/>
        </w:rPr>
        <w:t>www.p10alts.com</w:t>
      </w:r>
      <w:r>
        <w:rPr>
          <w:rFonts w:ascii="Arial" w:cs="Arial" w:eastAsia="Arial" w:hAnsi="Arial"/>
          <w:sz w:val="19"/>
          <w:szCs w:val="19"/>
          <w:color w:val="302C45"/>
        </w:rPr>
        <w:t>.</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Forward-Looking Statements</w:t>
      </w:r>
    </w:p>
    <w:p>
      <w:pPr>
        <w:spacing w:after="0" w:line="89" w:lineRule="exact"/>
        <w:rPr>
          <w:sz w:val="20"/>
          <w:szCs w:val="20"/>
          <w:color w:val="auto"/>
        </w:rPr>
      </w:pPr>
    </w:p>
    <w:p>
      <w:pPr>
        <w:ind w:left="820" w:right="419"/>
        <w:spacing w:after="0" w:line="235" w:lineRule="auto"/>
        <w:rPr>
          <w:sz w:val="20"/>
          <w:szCs w:val="20"/>
          <w:color w:val="auto"/>
        </w:rPr>
      </w:pPr>
      <w:r>
        <w:rPr>
          <w:rFonts w:ascii="Arial" w:cs="Arial" w:eastAsia="Arial" w:hAnsi="Arial"/>
          <w:sz w:val="19"/>
          <w:szCs w:val="19"/>
          <w:color w:val="302C45"/>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2024, filed with the U.S. Securities and Exchange Commission (“SEC”) on February 28, 2025,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929640</wp:posOffset>
            </wp:positionV>
            <wp:extent cx="616839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Use of Non-GAAP Financial Measures by P10</w:t>
      </w:r>
    </w:p>
    <w:p>
      <w:pPr>
        <w:spacing w:after="0" w:line="89" w:lineRule="exact"/>
        <w:rPr>
          <w:sz w:val="20"/>
          <w:szCs w:val="20"/>
          <w:color w:val="auto"/>
        </w:rPr>
      </w:pPr>
    </w:p>
    <w:p>
      <w:pPr>
        <w:ind w:left="820" w:right="419"/>
        <w:spacing w:after="0" w:line="236" w:lineRule="auto"/>
        <w:rPr>
          <w:sz w:val="20"/>
          <w:szCs w:val="20"/>
          <w:color w:val="auto"/>
        </w:rPr>
      </w:pPr>
      <w:r>
        <w:rPr>
          <w:rFonts w:ascii="Arial" w:cs="Arial" w:eastAsia="Arial" w:hAnsi="Arial"/>
          <w:sz w:val="19"/>
          <w:szCs w:val="19"/>
          <w:color w:val="302C45"/>
        </w:rPr>
        <w:t>The non-GAAP financial measures contained in this press release (including, without limitation, Fee-Related Revenue (“FRR”), Fee-Related Earnings (“FRE”), Fee-Related Earnings Margin, Adjusted Net Income (“ANI”), Fully Diluted ANI per share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press release.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Key Financial &amp; Operating Metrics</w:t>
      </w:r>
    </w:p>
    <w:p>
      <w:pPr>
        <w:spacing w:after="0" w:line="89" w:lineRule="exact"/>
        <w:rPr>
          <w:sz w:val="20"/>
          <w:szCs w:val="20"/>
          <w:color w:val="auto"/>
        </w:rPr>
      </w:pPr>
    </w:p>
    <w:p>
      <w:pPr>
        <w:ind w:left="820" w:right="639"/>
        <w:spacing w:after="0" w:line="242" w:lineRule="auto"/>
        <w:rPr>
          <w:sz w:val="20"/>
          <w:szCs w:val="20"/>
          <w:color w:val="auto"/>
        </w:rPr>
      </w:pPr>
      <w:r>
        <w:rPr>
          <w:rFonts w:ascii="Arial" w:cs="Arial" w:eastAsia="Arial" w:hAnsi="Arial"/>
          <w:sz w:val="19"/>
          <w:szCs w:val="19"/>
          <w:color w:val="302C45"/>
        </w:rPr>
        <w:t>Fee-paying assets under management reflect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70"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P10 Investor Contact:</w:t>
      </w:r>
    </w:p>
    <w:p>
      <w:pPr>
        <w:spacing w:after="0" w:line="7" w:lineRule="exact"/>
        <w:rPr>
          <w:sz w:val="20"/>
          <w:szCs w:val="20"/>
          <w:color w:val="auto"/>
        </w:rPr>
      </w:pPr>
    </w:p>
    <w:p>
      <w:pPr>
        <w:ind w:left="820"/>
        <w:spacing w:after="0"/>
        <w:rPr>
          <w:sz w:val="20"/>
          <w:szCs w:val="20"/>
          <w:color w:val="auto"/>
        </w:rPr>
      </w:pPr>
      <w:r>
        <w:rPr>
          <w:rFonts w:ascii="Verdana" w:cs="Verdana" w:eastAsia="Verdana" w:hAnsi="Verdana"/>
          <w:sz w:val="16"/>
          <w:szCs w:val="16"/>
          <w:color w:val="A86629"/>
        </w:rPr>
        <w:t>info@p10alts.com</w:t>
      </w:r>
    </w:p>
    <w:p>
      <w:pPr>
        <w:ind w:left="820"/>
        <w:spacing w:after="0" w:line="233" w:lineRule="auto"/>
        <w:rPr>
          <w:sz w:val="20"/>
          <w:szCs w:val="20"/>
          <w:color w:val="auto"/>
        </w:rPr>
      </w:pPr>
      <w:r>
        <w:rPr>
          <w:rFonts w:ascii="Arial" w:cs="Arial" w:eastAsia="Arial" w:hAnsi="Arial"/>
          <w:sz w:val="19"/>
          <w:szCs w:val="19"/>
          <w:b w:val="1"/>
          <w:bCs w:val="1"/>
          <w:color w:val="2F2F45"/>
        </w:rPr>
        <w:t>P10 Media Contact:</w:t>
      </w:r>
    </w:p>
    <w:p>
      <w:pPr>
        <w:ind w:left="820"/>
        <w:spacing w:after="0" w:line="234" w:lineRule="auto"/>
        <w:rPr>
          <w:sz w:val="20"/>
          <w:szCs w:val="20"/>
          <w:color w:val="auto"/>
        </w:rPr>
      </w:pPr>
      <w:r>
        <w:rPr>
          <w:rFonts w:ascii="Arial" w:cs="Arial" w:eastAsia="Arial" w:hAnsi="Arial"/>
          <w:sz w:val="19"/>
          <w:szCs w:val="19"/>
          <w:color w:val="2F2F45"/>
        </w:rPr>
        <w:t>Josh Clarkson</w:t>
      </w:r>
    </w:p>
    <w:p>
      <w:pPr>
        <w:ind w:left="820"/>
        <w:spacing w:after="0" w:line="235" w:lineRule="auto"/>
        <w:rPr>
          <w:sz w:val="20"/>
          <w:szCs w:val="20"/>
          <w:color w:val="auto"/>
        </w:rPr>
      </w:pPr>
      <w:r>
        <w:rPr>
          <w:rFonts w:ascii="Arial" w:cs="Arial" w:eastAsia="Arial" w:hAnsi="Arial"/>
          <w:sz w:val="19"/>
          <w:szCs w:val="19"/>
          <w:color w:val="2F2F45"/>
        </w:rPr>
        <w:t>Taylor Donahue</w:t>
      </w:r>
    </w:p>
    <w:p>
      <w:pPr>
        <w:spacing w:after="0" w:line="1" w:lineRule="exact"/>
        <w:rPr>
          <w:sz w:val="20"/>
          <w:szCs w:val="20"/>
          <w:color w:val="auto"/>
        </w:rPr>
      </w:pPr>
    </w:p>
    <w:p>
      <w:pPr>
        <w:ind w:left="820"/>
        <w:spacing w:after="0"/>
        <w:rPr>
          <w:sz w:val="20"/>
          <w:szCs w:val="20"/>
          <w:color w:val="auto"/>
        </w:rPr>
      </w:pPr>
      <w:r>
        <w:rPr>
          <w:rFonts w:ascii="Verdana" w:cs="Verdana" w:eastAsia="Verdana" w:hAnsi="Verdana"/>
          <w:sz w:val="16"/>
          <w:szCs w:val="16"/>
          <w:color w:val="A86629"/>
        </w:rPr>
        <w:t>pro-p10@prosek.com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2014855</wp:posOffset>
            </wp:positionV>
            <wp:extent cx="616839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r>
    </w:p>
    <w:p>
      <w:pPr>
        <w:spacing w:after="0" w:line="250" w:lineRule="exact"/>
        <w:rPr>
          <w:sz w:val="20"/>
          <w:szCs w:val="20"/>
          <w:color w:val="auto"/>
        </w:rPr>
      </w:pPr>
    </w:p>
    <w:p>
      <w:pPr>
        <w:ind w:left="2520"/>
        <w:spacing w:after="0"/>
        <w:rPr>
          <w:sz w:val="20"/>
          <w:szCs w:val="20"/>
          <w:color w:val="auto"/>
        </w:rPr>
      </w:pPr>
      <w:r>
        <w:rPr>
          <w:rFonts w:ascii="Arial" w:cs="Arial" w:eastAsia="Arial" w:hAnsi="Arial"/>
          <w:sz w:val="19"/>
          <w:szCs w:val="19"/>
          <w:b w:val="1"/>
          <w:bCs w:val="1"/>
          <w:color w:val="2F2F45"/>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11430</wp:posOffset>
            </wp:positionV>
            <wp:extent cx="4836160" cy="2447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36160" cy="244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right="679" w:hanging="6"/>
        <w:spacing w:after="0" w:line="228" w:lineRule="auto"/>
        <w:tabs>
          <w:tab w:leader="none" w:pos="1009" w:val="left"/>
        </w:tabs>
        <w:numPr>
          <w:ilvl w:val="0"/>
          <w:numId w:val="4"/>
        </w:numPr>
        <w:rPr>
          <w:rFonts w:ascii="Arial" w:cs="Arial" w:eastAsia="Arial" w:hAnsi="Arial"/>
          <w:sz w:val="13"/>
          <w:szCs w:val="13"/>
          <w:color w:val="302C45"/>
        </w:rPr>
      </w:pPr>
      <w:r>
        <w:rPr>
          <w:rFonts w:ascii="Arial" w:cs="Arial" w:eastAsia="Arial" w:hAnsi="Arial"/>
          <w:sz w:val="13"/>
          <w:szCs w:val="13"/>
          <w:color w:val="302C45"/>
        </w:rPr>
        <w:t>Fully Diluted ANI EPS calculations include the total of all shares of common stock, stock options under the treasury stock method, restricted stock awards, and the redeemable non-controlling interests of P10 Intermediate converted to Class A stock as of each period presented.</w:t>
      </w:r>
    </w:p>
    <w:p>
      <w:pPr>
        <w:spacing w:after="0" w:line="2" w:lineRule="exact"/>
        <w:rPr>
          <w:sz w:val="20"/>
          <w:szCs w:val="20"/>
          <w:color w:val="auto"/>
        </w:rPr>
      </w:pPr>
    </w:p>
    <w:p>
      <w:pPr>
        <w:ind w:left="820" w:right="479" w:firstLine="1319"/>
        <w:spacing w:after="0" w:line="236" w:lineRule="auto"/>
        <w:rPr>
          <w:sz w:val="20"/>
          <w:szCs w:val="20"/>
          <w:color w:val="auto"/>
        </w:rPr>
      </w:pPr>
      <w:r>
        <w:rPr>
          <w:rFonts w:ascii="Arial" w:cs="Arial" w:eastAsia="Arial" w:hAnsi="Arial"/>
          <w:sz w:val="19"/>
          <w:szCs w:val="19"/>
          <w:b w:val="1"/>
          <w:bCs w:val="1"/>
          <w:color w:val="2F2F45"/>
        </w:rPr>
        <w:t xml:space="preserve">Notes to Reconciliation of Non-GAAP Financial Measures </w:t>
      </w:r>
      <w:r>
        <w:rPr>
          <w:rFonts w:ascii="Arial" w:cs="Arial" w:eastAsia="Arial" w:hAnsi="Arial"/>
          <w:sz w:val="19"/>
          <w:szCs w:val="19"/>
          <w:color w:val="000000"/>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5" w:lineRule="exact"/>
        <w:rPr>
          <w:sz w:val="20"/>
          <w:szCs w:val="20"/>
          <w:color w:val="auto"/>
        </w:rPr>
      </w:pPr>
    </w:p>
    <w:p>
      <w:pPr>
        <w:ind w:left="820" w:right="419"/>
        <w:spacing w:after="0" w:line="238" w:lineRule="auto"/>
        <w:rPr>
          <w:sz w:val="20"/>
          <w:szCs w:val="20"/>
          <w:color w:val="auto"/>
        </w:rPr>
      </w:pPr>
      <w:r>
        <w:rPr>
          <w:rFonts w:ascii="Arial" w:cs="Arial" w:eastAsia="Arial" w:hAnsi="Arial"/>
          <w:sz w:val="19"/>
          <w:szCs w:val="19"/>
          <w:color w:val="auto"/>
        </w:rPr>
        <w:t>We use Adjusted Net Income, or ANI, Fee-Related Revenue,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Fee-Related Earnings, plus Non-Fee Related Income, less strategic alliance noncontrolling interests expense, less actual cash paid for interest and federal and state income taxes.</w:t>
      </w:r>
    </w:p>
    <w:p>
      <w:pPr>
        <w:spacing w:after="0" w:line="159" w:lineRule="exact"/>
        <w:rPr>
          <w:sz w:val="20"/>
          <w:szCs w:val="20"/>
          <w:color w:val="auto"/>
        </w:rPr>
      </w:pPr>
    </w:p>
    <w:p>
      <w:pPr>
        <w:ind w:left="820" w:right="939"/>
        <w:spacing w:after="0" w:line="267" w:lineRule="auto"/>
        <w:rPr>
          <w:sz w:val="20"/>
          <w:szCs w:val="20"/>
          <w:color w:val="auto"/>
        </w:rPr>
      </w:pPr>
      <w:r>
        <w:rPr>
          <w:rFonts w:ascii="Arial" w:cs="Arial" w:eastAsia="Arial" w:hAnsi="Arial"/>
          <w:sz w:val="19"/>
          <w:szCs w:val="19"/>
          <w:color w:val="auto"/>
        </w:rPr>
        <w:t>In order to compute Fee-Related Earnings, we adjust our GAAP Net Income for certain items, including:</w:t>
      </w:r>
    </w:p>
    <w:p>
      <w:pPr>
        <w:spacing w:after="0" w:line="129" w:lineRule="exact"/>
        <w:rPr>
          <w:sz w:val="20"/>
          <w:szCs w:val="20"/>
          <w:color w:val="auto"/>
        </w:rPr>
      </w:pPr>
    </w:p>
    <w:p>
      <w:pPr>
        <w:ind w:left="1380" w:right="819" w:hanging="282"/>
        <w:spacing w:after="0" w:line="243"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Expenses that typically do not require us to pay them in cash in the current period (such as depreciation, amortization and stock-based compensation);</w:t>
      </w:r>
    </w:p>
    <w:p>
      <w:pPr>
        <w:ind w:left="1380" w:hanging="282"/>
        <w:spacing w:after="0" w:line="232"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Earn out related compensation;</w:t>
      </w:r>
    </w:p>
    <w:p>
      <w:pPr>
        <w:ind w:left="1380" w:hanging="282"/>
        <w:spacing w:after="0"/>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The cost of financing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767715</wp:posOffset>
            </wp:positionV>
            <wp:extent cx="61683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r>
    </w:p>
    <w:p>
      <w:pPr>
        <w:spacing w:after="0" w:line="250" w:lineRule="exact"/>
        <w:rPr>
          <w:sz w:val="20"/>
          <w:szCs w:val="20"/>
          <w:color w:val="auto"/>
        </w:rPr>
      </w:pPr>
    </w:p>
    <w:p>
      <w:pPr>
        <w:ind w:left="1380" w:right="1099" w:hanging="282"/>
        <w:spacing w:after="0" w:line="243" w:lineRule="auto"/>
        <w:tabs>
          <w:tab w:leader="none" w:pos="138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One-time expenses related to restructuring of the management team including placement/search fees;</w:t>
      </w:r>
    </w:p>
    <w:p>
      <w:pPr>
        <w:ind w:left="1380" w:hanging="282"/>
        <w:spacing w:after="0" w:line="232" w:lineRule="auto"/>
        <w:tabs>
          <w:tab w:leader="none" w:pos="138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Expenses related to one-time technical accounting matters;</w:t>
      </w:r>
    </w:p>
    <w:p>
      <w:pPr>
        <w:ind w:left="1380" w:right="479" w:hanging="282"/>
        <w:spacing w:after="0" w:line="233" w:lineRule="auto"/>
        <w:tabs>
          <w:tab w:leader="none" w:pos="138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Acquisition-related expenses which reflect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2" w:lineRule="exact"/>
        <w:rPr>
          <w:rFonts w:ascii="Times New Roman" w:cs="Times New Roman" w:eastAsia="Times New Roman" w:hAnsi="Times New Roman"/>
          <w:sz w:val="19"/>
          <w:szCs w:val="19"/>
          <w:color w:val="auto"/>
        </w:rPr>
      </w:pPr>
    </w:p>
    <w:p>
      <w:pPr>
        <w:ind w:left="1380" w:hanging="282"/>
        <w:spacing w:after="0" w:line="232" w:lineRule="auto"/>
        <w:tabs>
          <w:tab w:leader="none" w:pos="138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The effects of income taxes; and</w:t>
      </w:r>
    </w:p>
    <w:p>
      <w:pPr>
        <w:ind w:left="1380" w:hanging="282"/>
        <w:spacing w:after="0"/>
        <w:tabs>
          <w:tab w:leader="none" w:pos="138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Non-Fee Related Income.</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Fee-Related Revenue is calculated as Total Revenues less Non-Fee Related Revenue.</w:t>
      </w:r>
    </w:p>
    <w:p>
      <w:pPr>
        <w:spacing w:after="0" w:line="184" w:lineRule="exact"/>
        <w:rPr>
          <w:sz w:val="20"/>
          <w:szCs w:val="20"/>
          <w:color w:val="auto"/>
        </w:rPr>
      </w:pPr>
    </w:p>
    <w:p>
      <w:pPr>
        <w:ind w:left="820" w:right="639"/>
        <w:spacing w:after="0" w:line="295" w:lineRule="auto"/>
        <w:rPr>
          <w:sz w:val="20"/>
          <w:szCs w:val="20"/>
          <w:color w:val="auto"/>
        </w:rPr>
      </w:pPr>
      <w:r>
        <w:rPr>
          <w:rFonts w:ascii="Arial" w:cs="Arial" w:eastAsia="Arial" w:hAnsi="Arial"/>
          <w:sz w:val="18"/>
          <w:szCs w:val="18"/>
          <w:color w:val="auto"/>
        </w:rPr>
        <w:t>Fee-Related Earnings is a non-GAAP performance measure used to monitor our baseline earnings less any incentive fee revenue and excluding any incentive fee-related expenses.</w:t>
      </w:r>
    </w:p>
    <w:p>
      <w:pPr>
        <w:spacing w:after="0" w:line="106" w:lineRule="exact"/>
        <w:rPr>
          <w:sz w:val="20"/>
          <w:szCs w:val="20"/>
          <w:color w:val="auto"/>
        </w:rPr>
      </w:pPr>
    </w:p>
    <w:p>
      <w:pPr>
        <w:ind w:left="820" w:right="499"/>
        <w:spacing w:after="0" w:line="267" w:lineRule="auto"/>
        <w:rPr>
          <w:sz w:val="20"/>
          <w:szCs w:val="20"/>
          <w:color w:val="auto"/>
        </w:rPr>
      </w:pPr>
      <w:r>
        <w:rPr>
          <w:rFonts w:ascii="Arial" w:cs="Arial" w:eastAsia="Arial" w:hAnsi="Arial"/>
          <w:sz w:val="19"/>
          <w:szCs w:val="19"/>
          <w:color w:val="auto"/>
        </w:rPr>
        <w:t>Fee-Related Earnings Margin is calculated as Fee-Related Earnings divided by Fee-Related Revenue.</w:t>
      </w:r>
    </w:p>
    <w:p>
      <w:pPr>
        <w:spacing w:after="0" w:line="129" w:lineRule="exact"/>
        <w:rPr>
          <w:sz w:val="20"/>
          <w:szCs w:val="20"/>
          <w:color w:val="auto"/>
        </w:rPr>
      </w:pPr>
    </w:p>
    <w:p>
      <w:pPr>
        <w:ind w:left="820" w:right="879"/>
        <w:spacing w:after="0" w:line="267" w:lineRule="auto"/>
        <w:rPr>
          <w:sz w:val="20"/>
          <w:szCs w:val="20"/>
          <w:color w:val="auto"/>
        </w:rPr>
      </w:pPr>
      <w:r>
        <w:rPr>
          <w:rFonts w:ascii="Arial" w:cs="Arial" w:eastAsia="Arial" w:hAnsi="Arial"/>
          <w:sz w:val="19"/>
          <w:szCs w:val="19"/>
          <w:color w:val="auto"/>
        </w:rPr>
        <w:t>Adjusted Net Income reflects net cash paid for federal and state income taxes and 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4049395</wp:posOffset>
            </wp:positionV>
            <wp:extent cx="616839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2025-08-07T06:30:38Z</dcterms:created>
  <dcterms:modified xsi:type="dcterms:W3CDTF">2025-08-07T06:30:38Z</dcterms:modified>
</cp:coreProperties>
</file>