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Jairath Sarita Narson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RIDGEPOST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2699 HOWELL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Ridgepost Capital, Inc.</w:t>
              </w:r>
            </w:hyperlink>
            <w:r>
              <w:rPr/>
              <w:t xml:space="preserve"> [ </w:t>
            </w:r>
            <w:r>
              <w:rPr>
                <w:rFonts w:ascii="Times;serif" w:hAnsi="Times;serif"/>
                <w:color w:val="0000FF"/>
                <w:sz w:val="24"/>
                <w:shd w:fill="FFFFFF" w:val="clear"/>
              </w:rPr>
              <w:t>RPC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20,471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56,466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46,015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20,471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 Each restricted stock unit ("RSU") represents a right to receive one share of the Issuer's Class A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16, 2024, the reporting person was granted RSUs, which vest ratably on the first, second, and third anniversaries of the grant date, provided that the reporting person remains in continuous service with the Issuer through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EVP, Head of Global Client Solutions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Francisco Villamar as Attorney-in-Fact for Sarita Narson Jairath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140" TargetMode="External"/><Relationship Id="rId5" Type="http://schemas.openxmlformats.org/officeDocument/2006/relationships/hyperlink" Target="http://www.sec.gov/cgi-bin/browse-edgar?action=getcompany&amp;CIK=000184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3621</Characters>
  <CharactersWithSpaces>4204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