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PVAM Perlus Microcap Fund, L.P.</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6"/>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6"/>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6"/>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10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540" w:type="dxa"/>
            <w:vAlign w:val="bottom"/>
          </w:tcPr>
          <w:p>
            <w:pPr>
              <w:spacing w:after="0"/>
              <w:rPr>
                <w:sz w:val="4"/>
                <w:szCs w:val="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40" w:type="dxa"/>
            <w:vAlign w:val="bottom"/>
            <w:gridSpan w:val="9"/>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40" w:type="dxa"/>
            <w:vAlign w:val="bottom"/>
            <w:gridSpan w:val="9"/>
            <w:vMerge w:val="continue"/>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5TH FLOOR, 37 ESPLANADE</w:t>
            </w: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40" w:type="dxa"/>
            <w:vAlign w:val="bottom"/>
            <w:gridSpan w:val="7"/>
          </w:tcPr>
          <w:p>
            <w:pPr>
              <w:ind w:left="160"/>
              <w:spacing w:after="0"/>
              <w:rPr>
                <w:sz w:val="20"/>
                <w:szCs w:val="20"/>
                <w:color w:val="auto"/>
              </w:rPr>
            </w:pPr>
            <w:r>
              <w:rPr>
                <w:rFonts w:ascii="Arial" w:cs="Arial" w:eastAsia="Arial" w:hAnsi="Arial"/>
                <w:sz w:val="18"/>
                <w:szCs w:val="18"/>
                <w:color w:val="0000FF"/>
              </w:rPr>
              <w:t>05/05/2016</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ST HELIER</w:t>
            </w: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gridSpan w:val="2"/>
          </w:tcPr>
          <w:p>
            <w:pPr>
              <w:spacing w:after="0"/>
              <w:rPr>
                <w:sz w:val="12"/>
                <w:szCs w:val="12"/>
                <w:color w:val="auto"/>
              </w:rPr>
            </w:pPr>
          </w:p>
        </w:tc>
        <w:tc>
          <w:tcPr>
            <w:tcW w:w="1040" w:type="dxa"/>
            <w:vAlign w:val="bottom"/>
            <w:tcBorders>
              <w:bottom w:val="single" w:sz="8" w:color="2C2C2C"/>
            </w:tcBorders>
            <w:gridSpan w:val="3"/>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720" w:type="dxa"/>
            <w:vAlign w:val="bottom"/>
            <w:tcBorders>
              <w:bottom w:val="single" w:sz="8" w:color="2C2C2C"/>
            </w:tcBorders>
            <w:gridSpan w:val="3"/>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240" w:type="dxa"/>
            <w:vAlign w:val="bottom"/>
            <w:tcBorders>
              <w:bottom w:val="single" w:sz="8" w:color="2C2C2C"/>
            </w:tcBorders>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EEEEEE"/>
          </w:tcPr>
          <w:p>
            <w:pPr>
              <w:spacing w:after="0" w:line="20" w:lineRule="exact"/>
              <w:rPr>
                <w:sz w:val="1"/>
                <w:szCs w:val="1"/>
                <w:color w:val="auto"/>
              </w:rPr>
            </w:pPr>
          </w:p>
        </w:tc>
        <w:tc>
          <w:tcPr>
            <w:tcW w:w="54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1100" w:type="dxa"/>
            <w:vAlign w:val="bottom"/>
            <w:shd w:val="clear" w:color="auto" w:fill="EEEEEE"/>
          </w:tcPr>
          <w:p>
            <w:pPr>
              <w:spacing w:after="0" w:line="20" w:lineRule="exact"/>
              <w:rPr>
                <w:sz w:val="1"/>
                <w:szCs w:val="1"/>
                <w:color w:val="auto"/>
              </w:rPr>
            </w:pPr>
          </w:p>
        </w:tc>
        <w:tc>
          <w:tcPr>
            <w:tcW w:w="480" w:type="dxa"/>
            <w:vAlign w:val="bottom"/>
            <w:shd w:val="clear" w:color="auto" w:fill="EEEEEE"/>
          </w:tcPr>
          <w:p>
            <w:pPr>
              <w:spacing w:after="0" w:line="20" w:lineRule="exact"/>
              <w:rPr>
                <w:sz w:val="1"/>
                <w:szCs w:val="1"/>
                <w:color w:val="auto"/>
              </w:rPr>
            </w:pPr>
          </w:p>
        </w:tc>
        <w:tc>
          <w:tcPr>
            <w:tcW w:w="78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line="20" w:lineRule="exact"/>
              <w:rPr>
                <w:sz w:val="1"/>
                <w:szCs w:val="1"/>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40" w:type="dxa"/>
            <w:vAlign w:val="bottom"/>
            <w:gridSpan w:val="10"/>
            <w:vMerge w:val="continue"/>
          </w:tcPr>
          <w:p>
            <w:pPr>
              <w:spacing w:after="0"/>
              <w:rPr>
                <w:sz w:val="15"/>
                <w:szCs w:val="15"/>
                <w:color w:val="auto"/>
              </w:rPr>
            </w:pPr>
          </w:p>
        </w:tc>
        <w:tc>
          <w:tcPr>
            <w:tcW w:w="160" w:type="dxa"/>
            <w:vAlign w:val="bottom"/>
          </w:tcPr>
          <w:p>
            <w:pPr>
              <w:spacing w:after="0"/>
              <w:rPr>
                <w:sz w:val="15"/>
                <w:szCs w:val="15"/>
                <w:color w:val="auto"/>
              </w:rPr>
            </w:pPr>
          </w:p>
        </w:tc>
        <w:tc>
          <w:tcPr>
            <w:tcW w:w="344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restart"/>
          </w:tcPr>
          <w:p>
            <w:pPr>
              <w:spacing w:after="0"/>
              <w:rPr>
                <w:sz w:val="20"/>
                <w:szCs w:val="20"/>
                <w:color w:val="auto"/>
              </w:rPr>
            </w:pPr>
            <w:r>
              <w:rPr>
                <w:rFonts w:ascii="Arial" w:cs="Arial" w:eastAsia="Arial" w:hAnsi="Arial"/>
                <w:sz w:val="18"/>
                <w:szCs w:val="18"/>
                <w:color w:val="0000FF"/>
                <w:w w:val="90"/>
              </w:rPr>
              <w:t>JERSEY,</w:t>
            </w: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80" w:type="dxa"/>
            <w:vAlign w:val="bottom"/>
            <w:gridSpan w:val="5"/>
          </w:tcPr>
          <w:p>
            <w:pPr>
              <w:ind w:left="180"/>
              <w:spacing w:after="0" w:line="154" w:lineRule="exact"/>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CHANNEL</w:t>
            </w:r>
          </w:p>
        </w:tc>
        <w:tc>
          <w:tcPr>
            <w:tcW w:w="1300" w:type="dxa"/>
            <w:vAlign w:val="bottom"/>
            <w:gridSpan w:val="2"/>
          </w:tcPr>
          <w:p>
            <w:pPr>
              <w:ind w:left="40"/>
              <w:spacing w:after="0"/>
              <w:rPr>
                <w:sz w:val="20"/>
                <w:szCs w:val="20"/>
                <w:color w:val="auto"/>
              </w:rPr>
            </w:pPr>
            <w:r>
              <w:rPr>
                <w:rFonts w:ascii="Arial" w:cs="Arial" w:eastAsia="Arial" w:hAnsi="Arial"/>
                <w:sz w:val="18"/>
                <w:szCs w:val="18"/>
                <w:color w:val="0000FF"/>
              </w:rPr>
              <w:t>X0</w:t>
            </w:r>
          </w:p>
        </w:tc>
        <w:tc>
          <w:tcPr>
            <w:tcW w:w="1260" w:type="dxa"/>
            <w:vAlign w:val="bottom"/>
            <w:gridSpan w:val="2"/>
          </w:tcPr>
          <w:p>
            <w:pPr>
              <w:spacing w:after="0"/>
              <w:rPr>
                <w:sz w:val="20"/>
                <w:szCs w:val="20"/>
                <w:color w:val="auto"/>
              </w:rPr>
            </w:pPr>
            <w:r>
              <w:rPr>
                <w:rFonts w:ascii="Arial" w:cs="Arial" w:eastAsia="Arial" w:hAnsi="Arial"/>
                <w:sz w:val="18"/>
                <w:szCs w:val="18"/>
                <w:color w:val="0000FF"/>
              </w:rPr>
              <w:t>JE1 2TR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ISLANDS</w:t>
            </w: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gridSpan w:val="2"/>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(City)</w:t>
            </w:r>
          </w:p>
        </w:tc>
        <w:tc>
          <w:tcPr>
            <w:tcW w:w="54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2"/>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20"/>
          </w:tcPr>
          <w:p>
            <w:pPr>
              <w:jc w:val="center"/>
              <w:ind w:left="8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5"/>
                <w:szCs w:val="15"/>
                <w:color w:val="auto"/>
              </w:rPr>
            </w:pPr>
          </w:p>
        </w:tc>
        <w:tc>
          <w:tcPr>
            <w:tcW w:w="1420" w:type="dxa"/>
            <w:vAlign w:val="bottom"/>
            <w:gridSpan w:val="5"/>
          </w:tcPr>
          <w:p>
            <w:pPr>
              <w:ind w:left="2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5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20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20" w:type="dxa"/>
            <w:vAlign w:val="bottom"/>
            <w:gridSpan w:val="5"/>
          </w:tcPr>
          <w:p>
            <w:pPr>
              <w:ind w:left="2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21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3"/>
              </w:rPr>
              <w:t>Common Shares</w:t>
            </w:r>
          </w:p>
        </w:tc>
        <w:tc>
          <w:tcPr>
            <w:tcW w:w="2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2,533,549</w:t>
            </w:r>
          </w:p>
        </w:tc>
        <w:tc>
          <w:tcPr>
            <w:tcW w:w="96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3"/>
              </w:rPr>
              <w:t>Common Shares</w:t>
            </w:r>
          </w:p>
        </w:tc>
        <w:tc>
          <w:tcPr>
            <w:tcW w:w="2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05/05/2016</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P</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48,609</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0.55</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2,582,158</w:t>
            </w:r>
          </w:p>
        </w:tc>
        <w:tc>
          <w:tcPr>
            <w:tcW w:w="96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3"/>
              </w:rPr>
              <w:t>Common Shares</w:t>
            </w:r>
          </w:p>
        </w:tc>
        <w:tc>
          <w:tcPr>
            <w:tcW w:w="2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05/09/2016</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P</w:t>
            </w:r>
          </w:p>
        </w:tc>
        <w:tc>
          <w:tcPr>
            <w:tcW w:w="74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0.55</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2,582,159</w:t>
            </w:r>
          </w:p>
        </w:tc>
        <w:tc>
          <w:tcPr>
            <w:tcW w:w="96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9"/>
          </w:tcPr>
          <w:p>
            <w:pPr>
              <w:jc w:val="center"/>
              <w:ind w:left="88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300" w:type="dxa"/>
            <w:vAlign w:val="bottom"/>
            <w:gridSpan w:val="16"/>
          </w:tcPr>
          <w:p>
            <w:pPr>
              <w:jc w:val="center"/>
              <w:ind w:right="7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4"/>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7"/>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PVAM Perlus Microcap Fund, L.P.</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5TH FLOOR, 37 ESPLANADE</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ST HELIER</w:t>
            </w: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0000FF"/>
                <w:w w:val="90"/>
              </w:rPr>
              <w:t>JERSEY,</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CHANNEL</w:t>
            </w:r>
          </w:p>
        </w:tc>
        <w:tc>
          <w:tcPr>
            <w:tcW w:w="20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X0</w:t>
            </w:r>
          </w:p>
        </w:tc>
        <w:tc>
          <w:tcPr>
            <w:tcW w:w="1260" w:type="dxa"/>
            <w:vAlign w:val="bottom"/>
            <w:gridSpan w:val="2"/>
          </w:tcPr>
          <w:p>
            <w:pPr>
              <w:ind w:left="380"/>
              <w:spacing w:after="0"/>
              <w:rPr>
                <w:sz w:val="20"/>
                <w:szCs w:val="20"/>
                <w:color w:val="auto"/>
              </w:rPr>
            </w:pPr>
            <w:r>
              <w:rPr>
                <w:rFonts w:ascii="Arial" w:cs="Arial" w:eastAsia="Arial" w:hAnsi="Arial"/>
                <w:sz w:val="18"/>
                <w:szCs w:val="18"/>
                <w:color w:val="0000FF"/>
              </w:rPr>
              <w:t>JE1 2TR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ISLANDS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PACIFIC VIEW ASSET MANAGEMENT (UK)</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LLP</w:t>
        </w:r>
      </w:hyperlink>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5TH FLOOR 6 ST. ANDREW STREET</w:t>
      </w:r>
    </w:p>
    <w:p>
      <w:pPr>
        <w:spacing w:after="0" w:line="354"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13" w:gutter="0" w:footer="0" w:header="0"/>
          <w:type w:val="continuous"/>
        </w:sectPr>
      </w:pPr>
    </w:p>
    <w:p>
      <w:pPr>
        <w:spacing w:after="0" w:line="20"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8"/>
          <w:szCs w:val="18"/>
          <w:color w:val="0000FF"/>
        </w:rPr>
        <w:t>LONDON</w:t>
      </w:r>
      <w:r>
        <w:rPr>
          <w:sz w:val="20"/>
          <w:szCs w:val="20"/>
          <w:color w:val="auto"/>
        </w:rPr>
        <w:tab/>
      </w:r>
      <w:r>
        <w:rPr>
          <w:rFonts w:ascii="Arial" w:cs="Arial" w:eastAsia="Arial" w:hAnsi="Arial"/>
          <w:sz w:val="18"/>
          <w:szCs w:val="18"/>
          <w:color w:val="0000FF"/>
        </w:rPr>
        <w:t>X0</w:t>
      </w:r>
      <w:r>
        <w:rPr>
          <w:sz w:val="20"/>
          <w:szCs w:val="20"/>
          <w:color w:val="auto"/>
        </w:rPr>
        <w:tab/>
      </w:r>
      <w:r>
        <w:rPr>
          <w:rFonts w:ascii="Arial" w:cs="Arial" w:eastAsia="Arial" w:hAnsi="Arial"/>
          <w:sz w:val="16"/>
          <w:szCs w:val="16"/>
          <w:color w:val="0000FF"/>
        </w:rPr>
        <w:t>EC4A 3AE</w:t>
      </w:r>
    </w:p>
    <w:p>
      <w:pPr>
        <w:sectPr>
          <w:pgSz w:w="11900" w:h="16838" w:orient="portrait"/>
          <w:cols w:equalWidth="0" w:num="1">
            <w:col w:w="11420"/>
          </w:cols>
          <w:pgMar w:left="240" w:top="226" w:right="239" w:bottom="13"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1800" w:type="dxa"/>
            <w:vAlign w:val="bottom"/>
            <w:gridSpan w:val="2"/>
          </w:tcPr>
          <w:p>
            <w:pPr>
              <w:ind w:left="360"/>
              <w:spacing w:after="0"/>
              <w:rPr>
                <w:sz w:val="20"/>
                <w:szCs w:val="20"/>
                <w:color w:val="auto"/>
              </w:rPr>
            </w:pPr>
            <w:r>
              <w:rPr>
                <w:rFonts w:ascii="Arial" w:cs="Arial" w:eastAsia="Arial" w:hAnsi="Arial"/>
                <w:sz w:val="14"/>
                <w:szCs w:val="14"/>
                <w:color w:val="auto"/>
              </w:rPr>
              <w:t>(State)</w:t>
            </w:r>
          </w:p>
        </w:tc>
        <w:tc>
          <w:tcPr>
            <w:tcW w:w="1540" w:type="dxa"/>
            <w:vAlign w:val="bottom"/>
            <w:gridSpan w:val="2"/>
          </w:tcPr>
          <w:p>
            <w:pPr>
              <w:ind w:left="2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28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0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00" w:type="dxa"/>
            <w:vAlign w:val="bottom"/>
            <w:gridSpan w:val="3"/>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PVAM HOLDINGS LTD.</w:t>
              </w:r>
            </w:hyperlink>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(Last)</w:t>
            </w:r>
          </w:p>
        </w:tc>
        <w:tc>
          <w:tcPr>
            <w:tcW w:w="1800" w:type="dxa"/>
            <w:vAlign w:val="bottom"/>
            <w:gridSpan w:val="2"/>
          </w:tcPr>
          <w:p>
            <w:pPr>
              <w:ind w:left="360"/>
              <w:spacing w:after="0"/>
              <w:rPr>
                <w:sz w:val="20"/>
                <w:szCs w:val="20"/>
                <w:color w:val="auto"/>
              </w:rPr>
            </w:pPr>
            <w:r>
              <w:rPr>
                <w:rFonts w:ascii="Arial" w:cs="Arial" w:eastAsia="Arial" w:hAnsi="Arial"/>
                <w:sz w:val="14"/>
                <w:szCs w:val="14"/>
                <w:color w:val="auto"/>
              </w:rPr>
              <w:t>(First)</w:t>
            </w:r>
          </w:p>
        </w:tc>
        <w:tc>
          <w:tcPr>
            <w:tcW w:w="1540" w:type="dxa"/>
            <w:vAlign w:val="bottom"/>
            <w:gridSpan w:val="2"/>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0000FF"/>
                <w:w w:val="92"/>
              </w:rPr>
              <w:t>5TH FLOOR 6 ST. ANDREW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LONDON</w:t>
            </w:r>
          </w:p>
        </w:tc>
        <w:tc>
          <w:tcPr>
            <w:tcW w:w="1800" w:type="dxa"/>
            <w:vAlign w:val="bottom"/>
            <w:gridSpan w:val="2"/>
          </w:tcPr>
          <w:p>
            <w:pPr>
              <w:ind w:left="360"/>
              <w:spacing w:after="0"/>
              <w:rPr>
                <w:sz w:val="20"/>
                <w:szCs w:val="20"/>
                <w:color w:val="auto"/>
              </w:rPr>
            </w:pPr>
            <w:r>
              <w:rPr>
                <w:rFonts w:ascii="Arial" w:cs="Arial" w:eastAsia="Arial" w:hAnsi="Arial"/>
                <w:sz w:val="18"/>
                <w:szCs w:val="18"/>
                <w:color w:val="0000FF"/>
              </w:rPr>
              <w:t>X0</w:t>
            </w:r>
          </w:p>
        </w:tc>
        <w:tc>
          <w:tcPr>
            <w:tcW w:w="1540" w:type="dxa"/>
            <w:vAlign w:val="bottom"/>
            <w:gridSpan w:val="2"/>
          </w:tcPr>
          <w:p>
            <w:pPr>
              <w:ind w:left="20"/>
              <w:spacing w:after="0"/>
              <w:rPr>
                <w:sz w:val="20"/>
                <w:szCs w:val="20"/>
                <w:color w:val="auto"/>
              </w:rPr>
            </w:pPr>
            <w:r>
              <w:rPr>
                <w:rFonts w:ascii="Arial" w:cs="Arial" w:eastAsia="Arial" w:hAnsi="Arial"/>
                <w:sz w:val="18"/>
                <w:szCs w:val="18"/>
                <w:color w:val="0000FF"/>
              </w:rPr>
              <w:t>EC4A 3AE</w:t>
            </w:r>
          </w:p>
        </w:tc>
      </w:tr>
      <w:tr>
        <w:trPr>
          <w:trHeight w:val="158"/>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1800" w:type="dxa"/>
            <w:vAlign w:val="bottom"/>
            <w:gridSpan w:val="2"/>
          </w:tcPr>
          <w:p>
            <w:pPr>
              <w:ind w:left="360"/>
              <w:spacing w:after="0"/>
              <w:rPr>
                <w:sz w:val="20"/>
                <w:szCs w:val="20"/>
                <w:color w:val="auto"/>
              </w:rPr>
            </w:pPr>
            <w:r>
              <w:rPr>
                <w:rFonts w:ascii="Arial" w:cs="Arial" w:eastAsia="Arial" w:hAnsi="Arial"/>
                <w:sz w:val="14"/>
                <w:szCs w:val="14"/>
                <w:color w:val="auto"/>
              </w:rPr>
              <w:t>(State)</w:t>
            </w:r>
          </w:p>
        </w:tc>
        <w:tc>
          <w:tcPr>
            <w:tcW w:w="1540" w:type="dxa"/>
            <w:vAlign w:val="bottom"/>
            <w:gridSpan w:val="2"/>
          </w:tcPr>
          <w:p>
            <w:pPr>
              <w:ind w:left="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856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18567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73"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PVAM Perlus Microcap Fund L.P. (formerly The Perlus Microcap Fund L.P.) is the beneficial owner of the shares of common stock of Key Technology, Inc. (the "Shares"). The Shares are held in the account of PVAM Perlus Microcap Fund L.P., the investments of which are managed by Pacific View Asset Management (UK) LLP (formerly Perlus Investment Management LLP) of which PVAM Holdings Ltd. ("PVAM") is the managing member. Pacific View Asset Management (UK) LLP ("PVAM LLP") exercises voting power and shares dispositive control over the Shares and PVAM shares indirect voting and dispositive power over the Shares. Each of PVAM and PVAM LLP disclaims beneficial ownership of the Shares, except to the extent of any pecuniary interest therein. This report shall not be deemed an admission that either PVAM or PVAM LLP is a beneficial owner of the Shares for purposes of Section 16 of the Securities Exchange Act of 1934, as amended, or any other purpose.</w:t>
      </w:r>
    </w:p>
    <w:p>
      <w:pPr>
        <w:spacing w:after="0" w:line="1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0000FF"/>
                <w:w w:val="88"/>
              </w:rPr>
              <w:t>/s/ Steve Druskin</w:t>
            </w:r>
          </w:p>
        </w:tc>
        <w:tc>
          <w:tcPr>
            <w:tcW w:w="90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05/09/2016</w:t>
            </w:r>
          </w:p>
        </w:tc>
      </w:tr>
      <w:tr>
        <w:trPr>
          <w:trHeight w:val="20"/>
        </w:trPr>
        <w:tc>
          <w:tcPr>
            <w:tcW w:w="12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2" Type="http://schemas.openxmlformats.org/officeDocument/2006/relationships/hyperlink" Target="http://www.sec.gov/cgi-bin/browse-edgar?action=getcompany&amp;CIK=0001472885" TargetMode="External"/><Relationship Id="rId13" Type="http://schemas.openxmlformats.org/officeDocument/2006/relationships/hyperlink" Target="http://www.sec.gov/cgi-bin/browse-edgar?action=getcompany&amp;CIK=0001044435" TargetMode="External"/><Relationship Id="rId14" Type="http://schemas.openxmlformats.org/officeDocument/2006/relationships/hyperlink" Target="http://www.sec.gov/cgi-bin/browse-edgar?action=getcompany&amp;CIK=0001601068" TargetMode="External"/><Relationship Id="rId15" Type="http://schemas.openxmlformats.org/officeDocument/2006/relationships/hyperlink" Target="http://www.sec.gov/cgi-bin/browse-edgar?action=getcompany&amp;CIK=00016200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2019-12-06T18:24:30Z</dcterms:created>
  <dcterms:modified xsi:type="dcterms:W3CDTF">2019-12-06T18:24:30Z</dcterms:modified>
</cp:coreProperties>
</file>