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39"/>
        <w:spacing w:after="0"/>
        <w:tabs>
          <w:tab w:leader="none" w:pos="240" w:val="left"/>
        </w:tabs>
        <w:rPr>
          <w:sz w:val="20"/>
          <w:szCs w:val="20"/>
          <w:color w:val="auto"/>
        </w:rPr>
      </w:pPr>
      <w:r>
        <w:rPr>
          <w:rFonts w:ascii="Arial" w:cs="Arial" w:eastAsia="Arial" w:hAnsi="Arial"/>
          <w:sz w:val="18"/>
          <w:szCs w:val="18"/>
          <w:color w:val="auto"/>
        </w:rPr>
        <w:t>(Amendment No.</w:t>
        <w:tab/>
        <w:t>)*</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January 28,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(b)</w:t>
      </w:r>
    </w:p>
    <w:p>
      <w:pPr>
        <w:spacing w:after="0" w:line="255"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(d)</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8"/>
          <w:szCs w:val="18"/>
          <w:color w:val="auto"/>
        </w:rPr>
        <w:t>1.</w:t>
        <w:tab/>
        <w:t>Names of Reporting Persons: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North American Equity Investors,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47-0773534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142240</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620"/>
          </w:cols>
          <w:pgMar w:left="300" w:top="1320" w:right="299" w:bottom="1440" w:gutter="0" w:footer="0" w:header="0"/>
          <w:type w:val="continuous"/>
        </w:sectPr>
      </w:pPr>
    </w:p>
    <w:p>
      <w:pPr>
        <w:spacing w:after="0" w:line="262"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1" w:lineRule="exact"/>
        <w:rPr>
          <w:rFonts w:ascii="Arial" w:cs="Arial" w:eastAsia="Arial" w:hAnsi="Arial"/>
          <w:sz w:val="18"/>
          <w:szCs w:val="18"/>
          <w:color w:val="auto"/>
        </w:rPr>
      </w:pPr>
    </w:p>
    <w:p>
      <w:pPr>
        <w:ind w:left="1160" w:hanging="348"/>
        <w:spacing w:after="0" w:line="38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43"/>
          <w:szCs w:val="43"/>
          <w:color w:val="auto"/>
          <w:vertAlign w:val="subscript"/>
        </w:rPr>
        <w: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2,095,600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2,095,600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2,095,600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43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 N/A</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5.04%</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8"/>
          <w:szCs w:val="18"/>
          <w:color w:val="auto"/>
        </w:rPr>
        <w:t>1.</w:t>
        <w:tab/>
        <w:t>Names of Reporting Persons: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Thompson Machinery Commerce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62-1098634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142240</wp:posOffset>
            </wp:positionV>
            <wp:extent cx="718185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600"/>
            <w:col w:w="6620"/>
          </w:cols>
          <w:pgMar w:left="300" w:top="1320" w:right="299" w:bottom="1440" w:gutter="0" w:footer="0" w:header="0"/>
          <w:type w:val="continuous"/>
        </w:sectPr>
      </w:pPr>
    </w:p>
    <w:p>
      <w:pPr>
        <w:spacing w:after="0" w:line="262" w:lineRule="exact"/>
        <w:rPr>
          <w:sz w:val="20"/>
          <w:szCs w:val="20"/>
          <w:color w:val="auto"/>
        </w:rPr>
      </w:pPr>
    </w:p>
    <w:p>
      <w:pPr>
        <w:ind w:left="820" w:hanging="35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22"/>
          <w:szCs w:val="22"/>
          <w:color w:val="auto"/>
        </w:rPr>
        <w:t>o</w:t>
      </w:r>
    </w:p>
    <w:p>
      <w:pPr>
        <w:spacing w:after="0" w:line="21" w:lineRule="exact"/>
        <w:rPr>
          <w:rFonts w:ascii="Arial" w:cs="Arial" w:eastAsia="Arial" w:hAnsi="Arial"/>
          <w:sz w:val="18"/>
          <w:szCs w:val="18"/>
          <w:color w:val="auto"/>
        </w:rPr>
      </w:pPr>
    </w:p>
    <w:p>
      <w:pPr>
        <w:ind w:left="1160" w:hanging="348"/>
        <w:spacing w:after="0" w:line="38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43"/>
          <w:szCs w:val="43"/>
          <w:color w:val="auto"/>
          <w:vertAlign w:val="subscript"/>
        </w:rPr>
        <w: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820" w:hanging="35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2,095,600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2,095,600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2,095,600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434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5.04%</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4" w:name="page5"/>
    <w:bookmarkEnd w:id="4"/>
    <w:tbl>
      <w:tblPr>
        <w:tblLayout w:type="fixed"/>
        <w:tblInd w:w="60" w:type="dxa"/>
        <w:tblCellMar>
          <w:top w:w="0" w:type="dxa"/>
          <w:left w:w="0" w:type="dxa"/>
          <w:bottom w:w="0" w:type="dxa"/>
          <w:right w:w="0" w:type="dxa"/>
        </w:tblCellMar>
      </w:tblPr>
      <w:tr>
        <w:trPr>
          <w:trHeight w:val="222"/>
        </w:trPr>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594"/>
        </w:trPr>
        <w:tc>
          <w:tcPr>
            <w:tcW w:w="15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40" w:type="dxa"/>
            <w:vAlign w:val="bottom"/>
          </w:tcPr>
          <w:p>
            <w:pPr>
              <w:ind w:left="1160"/>
              <w:spacing w:after="0"/>
              <w:rPr>
                <w:sz w:val="20"/>
                <w:szCs w:val="20"/>
                <w:color w:val="auto"/>
              </w:rPr>
            </w:pPr>
            <w:r>
              <w:rPr>
                <w:rFonts w:ascii="Arial" w:cs="Arial" w:eastAsia="Arial" w:hAnsi="Arial"/>
                <w:sz w:val="18"/>
                <w:szCs w:val="18"/>
                <w:color w:val="auto"/>
              </w:rPr>
              <w:t>(a)</w:t>
            </w:r>
          </w:p>
        </w:tc>
        <w:tc>
          <w:tcPr>
            <w:tcW w:w="1700" w:type="dxa"/>
            <w:vAlign w:val="bottom"/>
          </w:tcPr>
          <w:p>
            <w:pPr>
              <w:ind w:left="180"/>
              <w:spacing w:after="0"/>
              <w:rPr>
                <w:sz w:val="20"/>
                <w:szCs w:val="20"/>
                <w:color w:val="auto"/>
              </w:rPr>
            </w:pPr>
            <w:r>
              <w:rPr>
                <w:rFonts w:ascii="Arial" w:cs="Arial" w:eastAsia="Arial" w:hAnsi="Arial"/>
                <w:sz w:val="18"/>
                <w:szCs w:val="18"/>
                <w:color w:val="auto"/>
              </w:rPr>
              <w:t>Name of Issuer:</w:t>
            </w:r>
          </w:p>
        </w:tc>
        <w:tc>
          <w:tcPr>
            <w:tcW w:w="2040" w:type="dxa"/>
            <w:vAlign w:val="bottom"/>
          </w:tcPr>
          <w:p>
            <w:pPr>
              <w:ind w:left="380"/>
              <w:spacing w:after="0"/>
              <w:rPr>
                <w:sz w:val="20"/>
                <w:szCs w:val="20"/>
                <w:color w:val="auto"/>
              </w:rPr>
            </w:pPr>
            <w:r>
              <w:rPr>
                <w:rFonts w:ascii="Arial" w:cs="Arial" w:eastAsia="Arial" w:hAnsi="Arial"/>
                <w:sz w:val="18"/>
                <w:szCs w:val="18"/>
                <w:b w:val="1"/>
                <w:bCs w:val="1"/>
                <w:color w:val="auto"/>
              </w:rPr>
              <w:t>Active Power, Inc.</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540" w:type="dxa"/>
            <w:vAlign w:val="bottom"/>
          </w:tcPr>
          <w:p>
            <w:pPr>
              <w:ind w:left="1160"/>
              <w:spacing w:after="0"/>
              <w:rPr>
                <w:sz w:val="20"/>
                <w:szCs w:val="20"/>
                <w:color w:val="auto"/>
              </w:rPr>
            </w:pPr>
            <w:r>
              <w:rPr>
                <w:rFonts w:ascii="Arial" w:cs="Arial" w:eastAsia="Arial" w:hAnsi="Arial"/>
                <w:sz w:val="18"/>
                <w:szCs w:val="18"/>
                <w:color w:val="auto"/>
              </w:rPr>
              <w:t>(b)</w:t>
            </w:r>
          </w:p>
        </w:tc>
        <w:tc>
          <w:tcPr>
            <w:tcW w:w="3740" w:type="dxa"/>
            <w:vAlign w:val="bottom"/>
            <w:gridSpan w:val="2"/>
            <w:vMerge w:val="restart"/>
          </w:tcPr>
          <w:p>
            <w:pPr>
              <w:ind w:left="180"/>
              <w:spacing w:after="0"/>
              <w:rPr>
                <w:sz w:val="20"/>
                <w:szCs w:val="20"/>
                <w:color w:val="auto"/>
              </w:rPr>
            </w:pPr>
            <w:r>
              <w:rPr>
                <w:rFonts w:ascii="Arial" w:cs="Arial" w:eastAsia="Arial" w:hAnsi="Arial"/>
                <w:sz w:val="18"/>
                <w:szCs w:val="18"/>
                <w:color w:val="auto"/>
                <w:w w:val="94"/>
              </w:rPr>
              <w:t>Address of Issuer's Principal Executive Offices:</w:t>
            </w:r>
          </w:p>
        </w:tc>
        <w:tc>
          <w:tcPr>
            <w:tcW w:w="4140" w:type="dxa"/>
            <w:vAlign w:val="bottom"/>
          </w:tcPr>
          <w:p>
            <w:pPr>
              <w:ind w:left="1560"/>
              <w:spacing w:after="0"/>
              <w:rPr>
                <w:sz w:val="20"/>
                <w:szCs w:val="20"/>
                <w:color w:val="auto"/>
              </w:rPr>
            </w:pPr>
            <w:r>
              <w:rPr>
                <w:rFonts w:ascii="Arial" w:cs="Arial" w:eastAsia="Arial" w:hAnsi="Arial"/>
                <w:sz w:val="18"/>
                <w:szCs w:val="18"/>
                <w:b w:val="1"/>
                <w:bCs w:val="1"/>
                <w:color w:val="auto"/>
                <w:w w:val="86"/>
              </w:rPr>
              <w:t>11525 Stonehollow Drive Suite 110</w:t>
            </w:r>
          </w:p>
        </w:tc>
        <w:tc>
          <w:tcPr>
            <w:tcW w:w="0" w:type="dxa"/>
            <w:vAlign w:val="bottom"/>
          </w:tcPr>
          <w:p>
            <w:pPr>
              <w:spacing w:after="0"/>
              <w:rPr>
                <w:sz w:val="1"/>
                <w:szCs w:val="1"/>
                <w:color w:val="auto"/>
              </w:rPr>
            </w:pPr>
          </w:p>
        </w:tc>
      </w:tr>
      <w:tr>
        <w:trPr>
          <w:trHeight w:val="120"/>
        </w:trPr>
        <w:tc>
          <w:tcPr>
            <w:tcW w:w="154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4140" w:type="dxa"/>
            <w:vAlign w:val="bottom"/>
            <w:vMerge w:val="restart"/>
          </w:tcPr>
          <w:p>
            <w:pPr>
              <w:ind w:left="1560"/>
              <w:spacing w:after="0"/>
              <w:rPr>
                <w:sz w:val="20"/>
                <w:szCs w:val="20"/>
                <w:color w:val="auto"/>
              </w:rPr>
            </w:pPr>
            <w:r>
              <w:rPr>
                <w:rFonts w:ascii="Arial" w:cs="Arial" w:eastAsia="Arial" w:hAnsi="Arial"/>
                <w:sz w:val="18"/>
                <w:szCs w:val="18"/>
                <w:b w:val="1"/>
                <w:bCs w:val="1"/>
                <w:color w:val="auto"/>
              </w:rPr>
              <w:t>Austin, TX 78758</w:t>
            </w: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1780" w:hanging="570"/>
        <w:spacing w:after="0"/>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r>
        <w:rPr>
          <w:rFonts w:ascii="Arial" w:cs="Arial" w:eastAsia="Arial" w:hAnsi="Arial"/>
          <w:sz w:val="16"/>
          <w:szCs w:val="16"/>
          <w:b w:val="1"/>
          <w:bCs w:val="1"/>
          <w:color w:val="auto"/>
        </w:rPr>
        <w:t>North American Equity Investors, Inc.</w:t>
      </w:r>
    </w:p>
    <w:p>
      <w:pPr>
        <w:spacing w:after="0" w:line="117"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4860" w:type="dxa"/>
            <w:vAlign w:val="bottom"/>
            <w:gridSpan w:val="3"/>
            <w:vMerge w:val="restart"/>
          </w:tcPr>
          <w:p>
            <w:pPr>
              <w:ind w:left="180"/>
              <w:spacing w:after="0"/>
              <w:rPr>
                <w:sz w:val="20"/>
                <w:szCs w:val="20"/>
                <w:color w:val="auto"/>
              </w:rPr>
            </w:pPr>
            <w:r>
              <w:rPr>
                <w:rFonts w:ascii="Arial" w:cs="Arial" w:eastAsia="Arial" w:hAnsi="Arial"/>
                <w:sz w:val="18"/>
                <w:szCs w:val="18"/>
                <w:color w:val="auto"/>
                <w:w w:val="98"/>
              </w:rPr>
              <w:t>Address of Principal Business Office or, if none, Residence:</w:t>
            </w:r>
          </w:p>
        </w:tc>
        <w:tc>
          <w:tcPr>
            <w:tcW w:w="2560" w:type="dxa"/>
            <w:vAlign w:val="bottom"/>
          </w:tcPr>
          <w:p>
            <w:pPr>
              <w:ind w:left="440"/>
              <w:spacing w:after="0"/>
              <w:rPr>
                <w:sz w:val="20"/>
                <w:szCs w:val="20"/>
                <w:color w:val="auto"/>
              </w:rPr>
            </w:pPr>
            <w:r>
              <w:rPr>
                <w:rFonts w:ascii="Arial" w:cs="Arial" w:eastAsia="Arial" w:hAnsi="Arial"/>
                <w:sz w:val="18"/>
                <w:szCs w:val="18"/>
                <w:b w:val="1"/>
                <w:bCs w:val="1"/>
                <w:color w:val="auto"/>
                <w:w w:val="86"/>
              </w:rPr>
              <w:t>1245 Bridgestone Boulevard</w:t>
            </w:r>
          </w:p>
        </w:tc>
        <w:tc>
          <w:tcPr>
            <w:tcW w:w="0" w:type="dxa"/>
            <w:vAlign w:val="bottom"/>
          </w:tcPr>
          <w:p>
            <w:pPr>
              <w:spacing w:after="0"/>
              <w:rPr>
                <w:sz w:val="1"/>
                <w:szCs w:val="1"/>
                <w:color w:val="auto"/>
              </w:rPr>
            </w:pPr>
          </w:p>
        </w:tc>
      </w:tr>
      <w:tr>
        <w:trPr>
          <w:trHeight w:val="120"/>
        </w:trPr>
        <w:tc>
          <w:tcPr>
            <w:tcW w:w="380" w:type="dxa"/>
            <w:vAlign w:val="bottom"/>
          </w:tcPr>
          <w:p>
            <w:pPr>
              <w:spacing w:after="0"/>
              <w:rPr>
                <w:sz w:val="10"/>
                <w:szCs w:val="10"/>
                <w:color w:val="auto"/>
              </w:rPr>
            </w:pPr>
          </w:p>
        </w:tc>
        <w:tc>
          <w:tcPr>
            <w:tcW w:w="4860" w:type="dxa"/>
            <w:vAlign w:val="bottom"/>
            <w:gridSpan w:val="3"/>
            <w:vMerge w:val="continue"/>
          </w:tcPr>
          <w:p>
            <w:pPr>
              <w:spacing w:after="0"/>
              <w:rPr>
                <w:sz w:val="10"/>
                <w:szCs w:val="10"/>
                <w:color w:val="auto"/>
              </w:rPr>
            </w:pPr>
          </w:p>
        </w:tc>
        <w:tc>
          <w:tcPr>
            <w:tcW w:w="25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LaVergne, TN 37015</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1580" w:type="dxa"/>
            <w:vAlign w:val="bottom"/>
          </w:tcPr>
          <w:p>
            <w:pPr>
              <w:ind w:left="180"/>
              <w:spacing w:after="0"/>
              <w:rPr>
                <w:sz w:val="20"/>
                <w:szCs w:val="20"/>
                <w:color w:val="auto"/>
              </w:rPr>
            </w:pPr>
            <w:r>
              <w:rPr>
                <w:rFonts w:ascii="Arial" w:cs="Arial" w:eastAsia="Arial" w:hAnsi="Arial"/>
                <w:sz w:val="18"/>
                <w:szCs w:val="18"/>
                <w:color w:val="auto"/>
              </w:rPr>
              <w:t>Citizenship:</w:t>
            </w:r>
          </w:p>
        </w:tc>
        <w:tc>
          <w:tcPr>
            <w:tcW w:w="3280" w:type="dxa"/>
            <w:vAlign w:val="bottom"/>
            <w:gridSpan w:val="2"/>
          </w:tcPr>
          <w:p>
            <w:pPr>
              <w:ind w:left="240"/>
              <w:spacing w:after="0"/>
              <w:rPr>
                <w:sz w:val="20"/>
                <w:szCs w:val="20"/>
                <w:color w:val="auto"/>
              </w:rPr>
            </w:pPr>
            <w:r>
              <w:rPr>
                <w:rFonts w:ascii="Arial" w:cs="Arial" w:eastAsia="Arial" w:hAnsi="Arial"/>
                <w:sz w:val="18"/>
                <w:szCs w:val="18"/>
                <w:b w:val="1"/>
                <w:bCs w:val="1"/>
                <w:color w:val="auto"/>
              </w:rPr>
              <w:t>Delaware</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w w:val="90"/>
              </w:rPr>
              <w:t>Title of Class of Securities:</w:t>
            </w:r>
          </w:p>
        </w:tc>
        <w:tc>
          <w:tcPr>
            <w:tcW w:w="2740" w:type="dxa"/>
            <w:vAlign w:val="bottom"/>
          </w:tcPr>
          <w:p>
            <w:pPr>
              <w:ind w:left="760"/>
              <w:spacing w:after="0"/>
              <w:rPr>
                <w:sz w:val="20"/>
                <w:szCs w:val="20"/>
                <w:color w:val="auto"/>
              </w:rPr>
            </w:pPr>
            <w:r>
              <w:rPr>
                <w:rFonts w:ascii="Arial" w:cs="Arial" w:eastAsia="Arial" w:hAnsi="Arial"/>
                <w:sz w:val="18"/>
                <w:szCs w:val="18"/>
                <w:b w:val="1"/>
                <w:bCs w:val="1"/>
                <w:color w:val="auto"/>
              </w:rPr>
              <w:t>Common stock</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(e)</w:t>
            </w:r>
          </w:p>
        </w:tc>
        <w:tc>
          <w:tcPr>
            <w:tcW w:w="1580" w:type="dxa"/>
            <w:vAlign w:val="bottom"/>
          </w:tcPr>
          <w:p>
            <w:pPr>
              <w:ind w:left="180"/>
              <w:spacing w:after="0"/>
              <w:rPr>
                <w:sz w:val="20"/>
                <w:szCs w:val="20"/>
                <w:color w:val="auto"/>
              </w:rPr>
            </w:pPr>
            <w:r>
              <w:rPr>
                <w:rFonts w:ascii="Arial" w:cs="Arial" w:eastAsia="Arial" w:hAnsi="Arial"/>
                <w:sz w:val="18"/>
                <w:szCs w:val="18"/>
                <w:color w:val="auto"/>
              </w:rPr>
              <w:t>CUSIP Number:</w:t>
            </w:r>
          </w:p>
        </w:tc>
        <w:tc>
          <w:tcPr>
            <w:tcW w:w="540" w:type="dxa"/>
            <w:vAlign w:val="bottom"/>
          </w:tcPr>
          <w:p>
            <w:pPr>
              <w:spacing w:after="0"/>
              <w:rPr>
                <w:sz w:val="24"/>
                <w:szCs w:val="24"/>
                <w:color w:val="auto"/>
              </w:rPr>
            </w:pPr>
          </w:p>
        </w:tc>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00504W100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 APPLICABLE</w:t>
      </w:r>
    </w:p>
    <w:p>
      <w:pPr>
        <w:spacing w:after="0" w:line="110" w:lineRule="exact"/>
        <w:rPr>
          <w:sz w:val="20"/>
          <w:szCs w:val="20"/>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9"/>
          <w:szCs w:val="19"/>
          <w:color w:val="auto"/>
        </w:rPr>
        <w:t>Broker or dealer registered under section 15 of the Act (15 U.S.C. 78o).</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Bank as defined in section 3(a)(6) of the Act (15 U.S.C. 78c).</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Insurance company as defined in section 3(a)(19) of the Act (15 U.S.C. 78c).</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Investment company registered under section 8 of the Investment Company Act of 1940 (15 U.S.C 80a-8).</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investment adviser in accordance with §240.13d-1(b)(1)(ii)(E);</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employee benefit plan or endowment fund in accordance with §240.13d-1(b)(1)(ii)(F);</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 parent holding company or control person in accordance with § 240.13d-1(b)(1)(ii)(G);</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A savings associations as defined in Section 3(b) of the Federal Deposit Insurance Act (12 U.S.C. 1813);</w:t>
      </w:r>
    </w:p>
    <w:p>
      <w:pPr>
        <w:spacing w:after="0" w:line="111"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60" w:type="dxa"/>
            <w:vAlign w:val="bottom"/>
            <w:vMerge w:val="restart"/>
          </w:tcPr>
          <w:p>
            <w:pPr>
              <w:spacing w:after="0"/>
              <w:rPr>
                <w:sz w:val="20"/>
                <w:szCs w:val="20"/>
                <w:color w:val="auto"/>
              </w:rPr>
            </w:pPr>
            <w:r>
              <w:rPr>
                <w:rFonts w:ascii="Arial" w:cs="Arial" w:eastAsia="Arial" w:hAnsi="Arial"/>
                <w:sz w:val="18"/>
                <w:szCs w:val="18"/>
                <w:color w:val="auto"/>
              </w:rPr>
              <w:t>(i)</w:t>
            </w:r>
          </w:p>
        </w:tc>
        <w:tc>
          <w:tcPr>
            <w:tcW w:w="540" w:type="dxa"/>
            <w:vAlign w:val="bottom"/>
            <w:vMerge w:val="restart"/>
          </w:tcPr>
          <w:p>
            <w:pPr>
              <w:ind w:left="200"/>
              <w:spacing w:after="0"/>
              <w:rPr>
                <w:sz w:val="20"/>
                <w:szCs w:val="20"/>
                <w:color w:val="auto"/>
              </w:rPr>
            </w:pPr>
            <w:r>
              <w:rPr>
                <w:rFonts w:ascii="Arial" w:cs="Arial" w:eastAsia="Arial" w:hAnsi="Arial"/>
                <w:sz w:val="22"/>
                <w:szCs w:val="22"/>
                <w:color w:val="auto"/>
              </w:rPr>
              <w:t>o</w:t>
            </w:r>
          </w:p>
        </w:tc>
        <w:tc>
          <w:tcPr>
            <w:tcW w:w="9240" w:type="dxa"/>
            <w:vAlign w:val="bottom"/>
          </w:tcPr>
          <w:p>
            <w:pPr>
              <w:ind w:left="22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 3(c)(14) of the Investment Company</w:t>
            </w:r>
          </w:p>
        </w:tc>
        <w:tc>
          <w:tcPr>
            <w:tcW w:w="0" w:type="dxa"/>
            <w:vAlign w:val="bottom"/>
          </w:tcPr>
          <w:p>
            <w:pPr>
              <w:spacing w:after="0"/>
              <w:rPr>
                <w:sz w:val="1"/>
                <w:szCs w:val="1"/>
                <w:color w:val="auto"/>
              </w:rPr>
            </w:pPr>
          </w:p>
        </w:tc>
      </w:tr>
      <w:tr>
        <w:trPr>
          <w:trHeight w:val="140"/>
        </w:trPr>
        <w:tc>
          <w:tcPr>
            <w:tcW w:w="3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Act of 1940 (15 U.S.C. 80a-3);</w:t>
            </w:r>
          </w:p>
        </w:tc>
        <w:tc>
          <w:tcPr>
            <w:tcW w:w="0" w:type="dxa"/>
            <w:vAlign w:val="bottom"/>
          </w:tcPr>
          <w:p>
            <w:pPr>
              <w:spacing w:after="0"/>
              <w:rPr>
                <w:sz w:val="1"/>
                <w:szCs w:val="1"/>
                <w:color w:val="auto"/>
              </w:rPr>
            </w:pPr>
          </w:p>
        </w:tc>
      </w:tr>
      <w:tr>
        <w:trPr>
          <w:trHeight w:val="83"/>
        </w:trPr>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780" w:hanging="570"/>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1" w:lineRule="exact"/>
        <w:rPr>
          <w:sz w:val="20"/>
          <w:szCs w:val="20"/>
          <w:color w:val="auto"/>
        </w:rPr>
      </w:pPr>
    </w:p>
    <w:tbl>
      <w:tblPr>
        <w:tblLayout w:type="fixed"/>
        <w:tblInd w:w="1220" w:type="dxa"/>
        <w:tblCellMar>
          <w:top w:w="0" w:type="dxa"/>
          <w:left w:w="0" w:type="dxa"/>
          <w:bottom w:w="0" w:type="dxa"/>
          <w:right w:w="0" w:type="dxa"/>
        </w:tblCellMar>
      </w:tblPr>
      <w:tr>
        <w:trPr>
          <w:trHeight w:val="228"/>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4620" w:type="dxa"/>
            <w:vAlign w:val="bottom"/>
          </w:tcPr>
          <w:p>
            <w:pPr>
              <w:ind w:left="200"/>
              <w:spacing w:after="0"/>
              <w:rPr>
                <w:sz w:val="20"/>
                <w:szCs w:val="20"/>
                <w:color w:val="auto"/>
              </w:rPr>
            </w:pPr>
            <w:r>
              <w:rPr>
                <w:rFonts w:ascii="Arial" w:cs="Arial" w:eastAsia="Arial" w:hAnsi="Arial"/>
                <w:sz w:val="18"/>
                <w:szCs w:val="18"/>
                <w:color w:val="auto"/>
              </w:rPr>
              <w:t>Amount beneficially owned:</w:t>
            </w:r>
          </w:p>
        </w:tc>
        <w:tc>
          <w:tcPr>
            <w:tcW w:w="3100" w:type="dxa"/>
            <w:vAlign w:val="bottom"/>
          </w:tcPr>
          <w:p>
            <w:pPr>
              <w:ind w:left="2400"/>
              <w:spacing w:after="0"/>
              <w:rPr>
                <w:sz w:val="20"/>
                <w:szCs w:val="20"/>
                <w:color w:val="auto"/>
              </w:rPr>
            </w:pPr>
            <w:r>
              <w:rPr>
                <w:rFonts w:ascii="Arial" w:cs="Arial" w:eastAsia="Arial" w:hAnsi="Arial"/>
                <w:sz w:val="18"/>
                <w:szCs w:val="18"/>
                <w:b w:val="1"/>
                <w:bCs w:val="1"/>
                <w:color w:val="auto"/>
                <w:w w:val="84"/>
              </w:rPr>
              <w:t>2,095,600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4620" w:type="dxa"/>
            <w:vAlign w:val="bottom"/>
          </w:tcPr>
          <w:p>
            <w:pPr>
              <w:ind w:left="200"/>
              <w:spacing w:after="0"/>
              <w:rPr>
                <w:sz w:val="20"/>
                <w:szCs w:val="20"/>
                <w:color w:val="auto"/>
              </w:rPr>
            </w:pPr>
            <w:r>
              <w:rPr>
                <w:rFonts w:ascii="Arial" w:cs="Arial" w:eastAsia="Arial" w:hAnsi="Arial"/>
                <w:sz w:val="18"/>
                <w:szCs w:val="18"/>
                <w:color w:val="auto"/>
              </w:rPr>
              <w:t>Percent of class:</w:t>
            </w:r>
          </w:p>
        </w:tc>
        <w:tc>
          <w:tcPr>
            <w:tcW w:w="3100" w:type="dxa"/>
            <w:vAlign w:val="bottom"/>
          </w:tcPr>
          <w:p>
            <w:pPr>
              <w:ind w:left="2400"/>
              <w:spacing w:after="0"/>
              <w:rPr>
                <w:sz w:val="20"/>
                <w:szCs w:val="20"/>
                <w:color w:val="auto"/>
              </w:rPr>
            </w:pPr>
            <w:r>
              <w:rPr>
                <w:rFonts w:ascii="Arial" w:cs="Arial" w:eastAsia="Arial" w:hAnsi="Arial"/>
                <w:sz w:val="18"/>
                <w:szCs w:val="18"/>
                <w:b w:val="1"/>
                <w:bCs w:val="1"/>
                <w:color w:val="auto"/>
              </w:rPr>
              <w:t>5.04%</w:t>
            </w:r>
          </w:p>
        </w:tc>
      </w:tr>
    </w:tbl>
    <w:p>
      <w:pPr>
        <w:spacing w:after="0" w:line="102" w:lineRule="exact"/>
        <w:rPr>
          <w:sz w:val="20"/>
          <w:szCs w:val="20"/>
          <w:color w:val="auto"/>
        </w:rPr>
      </w:pPr>
    </w:p>
    <w:p>
      <w:pPr>
        <w:ind w:left="1800" w:hanging="59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tcPr>
          <w:p>
            <w:pPr>
              <w:ind w:left="1800"/>
              <w:spacing w:after="0"/>
              <w:rPr>
                <w:sz w:val="20"/>
                <w:szCs w:val="20"/>
                <w:color w:val="auto"/>
              </w:rPr>
            </w:pPr>
            <w:r>
              <w:rPr>
                <w:rFonts w:ascii="Arial" w:cs="Arial" w:eastAsia="Arial" w:hAnsi="Arial"/>
                <w:sz w:val="18"/>
                <w:szCs w:val="18"/>
                <w:color w:val="auto"/>
              </w:rPr>
              <w:t>(i)</w:t>
            </w:r>
          </w:p>
        </w:tc>
        <w:tc>
          <w:tcPr>
            <w:tcW w:w="530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3940" w:type="dxa"/>
            <w:vAlign w:val="bottom"/>
          </w:tcPr>
          <w:p>
            <w:pPr>
              <w:ind w:left="1140"/>
              <w:spacing w:after="0"/>
              <w:rPr>
                <w:sz w:val="20"/>
                <w:szCs w:val="20"/>
                <w:color w:val="auto"/>
              </w:rPr>
            </w:pPr>
            <w:r>
              <w:rPr>
                <w:rFonts w:ascii="Arial" w:cs="Arial" w:eastAsia="Arial" w:hAnsi="Arial"/>
                <w:sz w:val="18"/>
                <w:szCs w:val="18"/>
                <w:b w:val="1"/>
                <w:bCs w:val="1"/>
                <w:color w:val="auto"/>
              </w:rPr>
              <w:t>2,095,600</w:t>
            </w:r>
          </w:p>
        </w:tc>
      </w:tr>
      <w:tr>
        <w:trPr>
          <w:trHeight w:val="324"/>
        </w:trPr>
        <w:tc>
          <w:tcPr>
            <w:tcW w:w="2180" w:type="dxa"/>
            <w:vAlign w:val="bottom"/>
          </w:tcPr>
          <w:p>
            <w:pPr>
              <w:ind w:left="1800"/>
              <w:spacing w:after="0"/>
              <w:rPr>
                <w:sz w:val="20"/>
                <w:szCs w:val="20"/>
                <w:color w:val="auto"/>
              </w:rPr>
            </w:pPr>
            <w:r>
              <w:rPr>
                <w:rFonts w:ascii="Arial" w:cs="Arial" w:eastAsia="Arial" w:hAnsi="Arial"/>
                <w:sz w:val="18"/>
                <w:szCs w:val="18"/>
                <w:color w:val="auto"/>
              </w:rPr>
              <w:t>(ii)</w:t>
            </w:r>
          </w:p>
        </w:tc>
        <w:tc>
          <w:tcPr>
            <w:tcW w:w="530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3940" w:type="dxa"/>
            <w:vAlign w:val="bottom"/>
          </w:tcPr>
          <w:p>
            <w:pPr>
              <w:ind w:left="1140"/>
              <w:spacing w:after="0"/>
              <w:rPr>
                <w:sz w:val="20"/>
                <w:szCs w:val="20"/>
                <w:color w:val="auto"/>
              </w:rPr>
            </w:pPr>
            <w:r>
              <w:rPr>
                <w:rFonts w:ascii="Arial" w:cs="Arial" w:eastAsia="Arial" w:hAnsi="Arial"/>
                <w:sz w:val="18"/>
                <w:szCs w:val="18"/>
                <w:b w:val="1"/>
                <w:bCs w:val="1"/>
                <w:color w:val="auto"/>
              </w:rPr>
              <w:t>N/A</w:t>
            </w:r>
          </w:p>
        </w:tc>
      </w:tr>
      <w:tr>
        <w:trPr>
          <w:trHeight w:val="486"/>
        </w:trPr>
        <w:tc>
          <w:tcPr>
            <w:tcW w:w="2180" w:type="dxa"/>
            <w:vAlign w:val="bottom"/>
          </w:tcPr>
          <w:p>
            <w:pPr>
              <w:spacing w:after="0"/>
              <w:rPr>
                <w:sz w:val="24"/>
                <w:szCs w:val="24"/>
                <w:color w:val="auto"/>
              </w:rPr>
            </w:pPr>
          </w:p>
        </w:tc>
        <w:tc>
          <w:tcPr>
            <w:tcW w:w="5300" w:type="dxa"/>
            <w:vAlign w:val="bottom"/>
          </w:tcPr>
          <w:p>
            <w:pPr>
              <w:ind w:left="2920"/>
              <w:spacing w:after="0"/>
              <w:rPr>
                <w:sz w:val="20"/>
                <w:szCs w:val="20"/>
                <w:color w:val="auto"/>
              </w:rPr>
            </w:pPr>
            <w:r>
              <w:rPr>
                <w:rFonts w:ascii="Arial" w:cs="Arial" w:eastAsia="Arial" w:hAnsi="Arial"/>
                <w:sz w:val="18"/>
                <w:szCs w:val="18"/>
                <w:color w:val="auto"/>
              </w:rPr>
              <w:t>Page 4 of 7 pages</w:t>
            </w:r>
          </w:p>
        </w:tc>
        <w:tc>
          <w:tcPr>
            <w:tcW w:w="3940" w:type="dxa"/>
            <w:vAlign w:val="bottom"/>
          </w:tcPr>
          <w:p>
            <w:pPr>
              <w:spacing w:after="0"/>
              <w:rPr>
                <w:sz w:val="24"/>
                <w:szCs w:val="24"/>
                <w:color w:val="auto"/>
              </w:rPr>
            </w:pPr>
          </w:p>
        </w:tc>
      </w:tr>
      <w:tr>
        <w:trPr>
          <w:trHeight w:val="228"/>
        </w:trPr>
        <w:tc>
          <w:tcPr>
            <w:tcW w:w="218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13G</w:t>
      </w:r>
    </w:p>
    <w:p>
      <w:pPr>
        <w:spacing w:after="0" w:line="387" w:lineRule="exact"/>
        <w:rPr>
          <w:sz w:val="20"/>
          <w:szCs w:val="20"/>
          <w:color w:val="auto"/>
        </w:rPr>
      </w:pPr>
    </w:p>
    <w:p>
      <w:pPr>
        <w:ind w:left="2280" w:right="5340" w:hanging="563"/>
        <w:spacing w:after="0" w:line="375"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2,095,600</w:t>
      </w:r>
    </w:p>
    <w:p>
      <w:pPr>
        <w:spacing w:after="0" w:line="1" w:lineRule="exact"/>
        <w:rPr>
          <w:rFonts w:ascii="Arial" w:cs="Arial" w:eastAsia="Arial" w:hAnsi="Arial"/>
          <w:sz w:val="18"/>
          <w:szCs w:val="18"/>
          <w:color w:val="auto"/>
        </w:rPr>
      </w:pPr>
    </w:p>
    <w:p>
      <w:pPr>
        <w:ind w:left="2280" w:hanging="563"/>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00" w:lineRule="exact"/>
        <w:rPr>
          <w:sz w:val="20"/>
          <w:szCs w:val="20"/>
          <w:color w:val="auto"/>
        </w:rPr>
      </w:pPr>
    </w:p>
    <w:p>
      <w:pPr>
        <w:spacing w:after="0" w:line="2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r>
        <w:rPr>
          <w:rFonts w:ascii="Arial" w:cs="Arial" w:eastAsia="Arial" w:hAnsi="Arial"/>
          <w:sz w:val="21"/>
          <w:szCs w:val="21"/>
          <w:color w:val="auto"/>
        </w:rPr>
        <w:t>.</w:t>
      </w:r>
    </w:p>
    <w:p>
      <w:pPr>
        <w:spacing w:after="0" w:line="3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00" w:lineRule="exact"/>
        <w:rPr>
          <w:sz w:val="20"/>
          <w:szCs w:val="20"/>
          <w:color w:val="auto"/>
        </w:rPr>
      </w:pP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EXHIBIT ATTACHED</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1" w:right="29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color w:val="auto"/>
        </w:rPr>
        <w:t>13G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2003</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 American Equity Investors, Inc.</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DeWitt C. Thompson,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71120</wp:posOffset>
            </wp:positionV>
            <wp:extent cx="2452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7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DeWitt C. Thompson, V</w:t>
      </w:r>
    </w:p>
    <w:p>
      <w:pPr>
        <w:spacing w:after="0" w:line="1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Thompson Machinery Commerce Corporation</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DeWitt C. Thompson,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71120</wp:posOffset>
            </wp:positionV>
            <wp:extent cx="24523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7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DeWitt C. Thompson, IV</w:t>
      </w:r>
    </w:p>
    <w:p>
      <w:pPr>
        <w:spacing w:after="0" w:line="1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President</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41" w:right="399" w:bottom="1440" w:gutter="0" w:footer="0" w:header="0"/>
        </w:sectPr>
      </w:pPr>
    </w:p>
    <w:bookmarkStart w:id="7" w:name="page8"/>
    <w:bookmarkEnd w:id="7"/>
    <w:p>
      <w:pPr>
        <w:ind w:left="5340"/>
        <w:spacing w:after="0"/>
        <w:rPr>
          <w:sz w:val="20"/>
          <w:szCs w:val="20"/>
          <w:color w:val="auto"/>
        </w:rPr>
      </w:pPr>
      <w:r>
        <w:rPr>
          <w:rFonts w:ascii="Arial" w:cs="Arial" w:eastAsia="Arial" w:hAnsi="Arial"/>
          <w:sz w:val="18"/>
          <w:szCs w:val="18"/>
          <w:b w:val="1"/>
          <w:bCs w:val="1"/>
          <w:color w:val="auto"/>
        </w:rPr>
        <w:t>EXHIBIT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North American Equity Investors, Inc., the relevant subsidiary, is a direct, wholly-owned subsidiary of Thompson Machinery Commerce Corporation.</w:t>
      </w:r>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7 of 7 pages</w:t>
      </w:r>
    </w:p>
    <w:sectPr>
      <w:pgSz w:w="11900" w:h="16838" w:orient="portrait"/>
      <w:cols w:equalWidth="0" w:num="1">
        <w:col w:w="10560"/>
      </w:cols>
      <w:pgMar w:left="240" w:top="935"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2"/>
    </w:lvl>
    <w:lvl w:ilvl="1">
      <w:lvlJc w:val="left"/>
      <w:lvlText w:val="(%2)"/>
      <w:numFmt w:val="lowerLetter"/>
      <w:start w:val="1"/>
    </w:lvl>
  </w:abstractNum>
  <w:abstractNum w:abstractNumId="2">
    <w:nsid w:val="79E2A9E3"/>
    <w:multiLevelType w:val="hybridMultilevel"/>
    <w:lvl w:ilvl="0">
      <w:lvlJc w:val="left"/>
      <w:lvlText w:val="%1"/>
      <w:numFmt w:val="decimal"/>
      <w:start w:val="1"/>
    </w:lvl>
    <w:lvl w:ilvl="1">
      <w:lvlJc w:val="left"/>
      <w:lvlText w:val="%2."/>
      <w:numFmt w:val="decimal"/>
      <w:start w:val="8"/>
    </w:lvl>
  </w:abstractNum>
  <w:abstractNum w:abstractNumId="3">
    <w:nsid w:val="7545E146"/>
    <w:multiLevelType w:val="hybridMultilevel"/>
    <w:lvl w:ilvl="0">
      <w:lvlJc w:val="left"/>
      <w:lvlText w:val="%1."/>
      <w:numFmt w:val="decimal"/>
      <w:start w:val="9"/>
    </w:lvl>
    <w:lvl w:ilvl="1">
      <w:lvlJc w:val="left"/>
      <w:lvlText w:val="%2"/>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decimal"/>
      <w:start w:val="1"/>
    </w:lvl>
    <w:lvl w:ilvl="1">
      <w:lvlJc w:val="left"/>
      <w:lvlText w:val="%2."/>
      <w:numFmt w:val="decimal"/>
      <w:start w:val="8"/>
    </w:lvl>
  </w:abstractNum>
  <w:abstractNum w:abstractNumId="6">
    <w:nsid w:val="12200854"/>
    <w:multiLevelType w:val="hybridMultilevel"/>
    <w:lvl w:ilvl="0">
      <w:lvlJc w:val="left"/>
      <w:lvlText w:val="%1."/>
      <w:numFmt w:val="decimal"/>
      <w:start w:val="9"/>
    </w:lvl>
    <w:lvl w:ilvl="1">
      <w:lvlJc w:val="left"/>
      <w:lvlText w:val="%2"/>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0"/>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2019-12-14T17:59:39Z</dcterms:created>
  <dcterms:modified xsi:type="dcterms:W3CDTF">2019-12-14T17:59:39Z</dcterms:modified>
</cp:coreProperties>
</file>