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P10,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24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9"/>
                <w:szCs w:val="9"/>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16"/>
                <w:szCs w:val="16"/>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12/12/2024</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3"/>
          </w:tcPr>
          <w:p>
            <w:pPr>
              <w:ind w:left="320"/>
              <w:spacing w:after="0"/>
              <w:rPr>
                <w:sz w:val="20"/>
                <w:szCs w:val="20"/>
                <w:color w:val="auto"/>
              </w:rPr>
            </w:pPr>
            <w:r>
              <w:rPr>
                <w:rFonts w:ascii="Times New Roman" w:cs="Times New Roman" w:eastAsia="Times New Roman" w:hAnsi="Times New Roman"/>
                <w:sz w:val="17"/>
                <w:szCs w:val="17"/>
                <w:color w:val="0000FF"/>
              </w:rPr>
              <w:t>See Remarks</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2640" w:type="dxa"/>
            <w:vAlign w:val="bottom"/>
            <w:tcBorders>
              <w:bottom w:val="single" w:sz="8" w:color="2C2C2C"/>
            </w:tcBorders>
            <w:gridSpan w:val="7"/>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8"/>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22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342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DALLAS</w:t>
            </w:r>
          </w:p>
        </w:tc>
        <w:tc>
          <w:tcPr>
            <w:tcW w:w="112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gridSpan w:val="8"/>
          </w:tcPr>
          <w:p>
            <w:pPr>
              <w:ind w:left="2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2"/>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6"/>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6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210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60" w:type="dxa"/>
            <w:vAlign w:val="bottom"/>
            <w:gridSpan w:val="8"/>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2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12/12/2024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460" w:type="dxa"/>
            <w:vAlign w:val="bottom"/>
          </w:tcPr>
          <w:p>
            <w:pPr>
              <w:spacing w:after="0"/>
              <w:rPr>
                <w:sz w:val="21"/>
                <w:szCs w:val="21"/>
                <w:color w:val="auto"/>
              </w:rPr>
            </w:pPr>
          </w:p>
        </w:tc>
        <w:tc>
          <w:tcPr>
            <w:tcW w:w="820" w:type="dxa"/>
            <w:vAlign w:val="bottom"/>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100,000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13.5124</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12/13/2024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460" w:type="dxa"/>
            <w:vAlign w:val="bottom"/>
          </w:tcPr>
          <w:p>
            <w:pPr>
              <w:spacing w:after="0"/>
              <w:rPr>
                <w:sz w:val="21"/>
                <w:szCs w:val="21"/>
                <w:color w:val="auto"/>
              </w:rPr>
            </w:pPr>
          </w:p>
        </w:tc>
        <w:tc>
          <w:tcPr>
            <w:tcW w:w="82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50,000</w:t>
            </w:r>
          </w:p>
        </w:tc>
        <w:tc>
          <w:tcPr>
            <w:tcW w:w="16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5"/>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13.256</w:t>
            </w:r>
            <w:r>
              <w:rPr>
                <w:rFonts w:ascii="Times New Roman" w:cs="Times New Roman" w:eastAsia="Times New Roman" w:hAnsi="Times New Roman"/>
                <w:sz w:val="22"/>
                <w:szCs w:val="22"/>
                <w:color w:val="008000"/>
                <w:vertAlign w:val="superscript"/>
              </w:rPr>
              <w:t>(6)</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50,000</w:t>
            </w:r>
          </w:p>
        </w:tc>
        <w:tc>
          <w:tcPr>
            <w:tcW w:w="240" w:type="dxa"/>
            <w:vAlign w:val="bottom"/>
          </w:tcPr>
          <w:p>
            <w:pPr>
              <w:spacing w:after="0"/>
              <w:rPr>
                <w:sz w:val="21"/>
                <w:szCs w:val="21"/>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jc w:val="center"/>
              <w:ind w:right="473"/>
              <w:spacing w:after="0"/>
              <w:rPr>
                <w:sz w:val="20"/>
                <w:szCs w:val="20"/>
                <w:color w:val="auto"/>
              </w:rPr>
            </w:pPr>
            <w:r>
              <w:rPr>
                <w:rFonts w:ascii="Times New Roman" w:cs="Times New Roman" w:eastAsia="Times New Roman" w:hAnsi="Times New Roman"/>
                <w:sz w:val="17"/>
                <w:szCs w:val="17"/>
                <w:color w:val="0000FF"/>
                <w:w w:val="93"/>
              </w:rPr>
              <w:t>0</w:t>
            </w:r>
          </w:p>
        </w:tc>
        <w:tc>
          <w:tcPr>
            <w:tcW w:w="2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(7)</w:t>
            </w:r>
          </w:p>
        </w:tc>
        <w:tc>
          <w:tcPr>
            <w:tcW w:w="2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2"/>
                <w:szCs w:val="22"/>
                <w:color w:val="008000"/>
                <w:vertAlign w:val="superscript"/>
              </w:rPr>
              <w:t>(1)(2)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3"/>
              <w:spacing w:after="0"/>
              <w:rPr>
                <w:sz w:val="20"/>
                <w:szCs w:val="20"/>
                <w:color w:val="auto"/>
              </w:rPr>
            </w:pPr>
            <w:r>
              <w:rPr>
                <w:rFonts w:ascii="Times New Roman" w:cs="Times New Roman" w:eastAsia="Times New Roman" w:hAnsi="Times New Roman"/>
                <w:sz w:val="17"/>
                <w:szCs w:val="17"/>
                <w:color w:val="0000FF"/>
                <w:w w:val="93"/>
              </w:rPr>
              <w:t>0</w:t>
            </w:r>
          </w:p>
        </w:tc>
        <w:tc>
          <w:tcPr>
            <w:tcW w:w="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(8)</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4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210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2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75205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4"/>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3"/>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Alpert Robert H</w:t>
              </w:r>
            </w:hyperlink>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-4100195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DALLAS</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75205</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320" w:type="dxa"/>
            <w:vAlign w:val="bottom"/>
            <w:gridSpan w:val="2"/>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Webb C Clark</w:t>
              </w:r>
            </w:hyperlink>
          </w:p>
        </w:tc>
        <w:tc>
          <w:tcPr>
            <w:tcW w:w="13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2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DALLAS</w:t>
            </w:r>
          </w:p>
        </w:tc>
        <w:tc>
          <w:tcPr>
            <w:tcW w:w="13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6892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68922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COVENANT RHA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CCW/LAW Holdings,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RHA Investments,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4514 COLE AVENUE, SUITE 1600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1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6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36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(i) 210 Capital, LLC ("210 Capital"), in its capacity as the sole member of 210/P10 Acquisition Partners, LLC, the direct holder of shares of Class B Common Stock ("210/P10"); (ii) Covenant RHA Partners, L.P. ("RHA Partners"), in its capacity as member of 210 Capital; (iii) CCW/LAW Holdings, LLC ("CCW Holdings"), in its capacity as member of 210 Capital; (iv) Mr. Webb, individually and in his capacity as sole member of CCW Holdings; (v) RHA Investments, Inc. ("RHA Investments"), in its capacity as general partner of RHA Partners; and (vi) Mr. Alpert, individually and in his capacity as President and sole shareholder of RHA Investments (collectively, the "Reporting Persons").</w:t>
      </w:r>
    </w:p>
    <w:p>
      <w:pPr>
        <w:spacing w:after="0" w:line="24" w:lineRule="exact"/>
        <w:rPr>
          <w:rFonts w:ascii="Times New Roman" w:cs="Times New Roman" w:eastAsia="Times New Roman" w:hAnsi="Times New Roman"/>
          <w:sz w:val="13"/>
          <w:szCs w:val="13"/>
          <w:color w:val="008000"/>
        </w:rPr>
      </w:pPr>
    </w:p>
    <w:p>
      <w:pPr>
        <w:ind w:left="20" w:right="2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Each Reporting Person disclaims beneficial ownership of the securities of the Issuer reported herein, except to the extent of his or its pecuniary interest therein, and the filing of this Form 4 shall not be construed as an admission that such persons are beneficial owners of the securities of the Issuer reported herein.</w:t>
      </w:r>
    </w:p>
    <w:p>
      <w:pPr>
        <w:spacing w:after="0" w:line="7" w:lineRule="exact"/>
        <w:rPr>
          <w:rFonts w:ascii="Times New Roman" w:cs="Times New Roman" w:eastAsia="Times New Roman" w:hAnsi="Times New Roman"/>
          <w:sz w:val="13"/>
          <w:szCs w:val="13"/>
          <w:color w:val="008000"/>
        </w:rPr>
      </w:pPr>
    </w:p>
    <w:p>
      <w:pPr>
        <w:ind w:left="20" w:right="1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prices for the transactions reported herein were lower than the sales prices that were used to calculate short swing profits previously disgorged by or on behalf of Mr. Webb under Section 16(b) of the Securities Exchange Act of 1934, as amended, in connection with prior sales that may have been matchable with an inadvertent purchase made on behalf of Mr. Webb. Therefore, no further disgorgeable profits resulted from this reported sale.</w:t>
      </w:r>
    </w:p>
    <w:p>
      <w:pPr>
        <w:spacing w:after="0" w:line="20"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$13.26 to $13.70,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20" w:right="2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210/P10. By virtue of their relationship with 210/P10 described in Footnote 1, each Reporting Person may be deemed to beneficially own the securities of the Issuer owned directly by 210/P10.</w:t>
      </w:r>
    </w:p>
    <w:p>
      <w:pPr>
        <w:spacing w:after="0" w:line="7" w:lineRule="exact"/>
        <w:rPr>
          <w:rFonts w:ascii="Times New Roman" w:cs="Times New Roman" w:eastAsia="Times New Roman" w:hAnsi="Times New Roman"/>
          <w:sz w:val="13"/>
          <w:szCs w:val="13"/>
          <w:color w:val="008000"/>
        </w:rPr>
      </w:pPr>
    </w:p>
    <w:p>
      <w:pPr>
        <w:ind w:left="20" w:right="1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$13.25 to $13.295, inclusive.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Alpert.</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Webb.</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The Reporting Persons may be deemed to be members of group under Section 13 that collectively beneficially owns more than 10% of the Issuer's Common Stock.</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/s/C. Clark Webb,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7"/>
          <w:szCs w:val="17"/>
          <w:color w:val="0000FF"/>
        </w:rPr>
        <w:t>12/13/2024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422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42265" cy="8255"/>
                    </a:xfrm>
                    <a:prstGeom prst="rect">
                      <a:avLst/>
                    </a:prstGeom>
                    <a:noFill/>
                  </pic:spPr>
                </pic:pic>
              </a:graphicData>
            </a:graphic>
          </wp:anchor>
        </w:drawing>
      </w:r>
    </w:p>
    <w:p>
      <w:pPr>
        <w:spacing w:after="0" w:line="40"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300" w:right="51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3" Type="http://schemas.openxmlformats.org/officeDocument/2006/relationships/hyperlink" Target="http://www.sec.gov/cgi-bin/browse-edgar?action=getcompany&amp;CIK=0001694780" TargetMode="External"/><Relationship Id="rId14" Type="http://schemas.openxmlformats.org/officeDocument/2006/relationships/hyperlink" Target="http://www.sec.gov/cgi-bin/browse-edgar?action=getcompany&amp;CIK=0001841968" TargetMode="External"/><Relationship Id="rId15" Type="http://schemas.openxmlformats.org/officeDocument/2006/relationships/hyperlink" Target="http://www.sec.gov/cgi-bin/browse-edgar?action=getcompany&amp;CIK=0001694574" TargetMode="External"/><Relationship Id="rId17" Type="http://schemas.openxmlformats.org/officeDocument/2006/relationships/hyperlink" Target="http://www.sec.gov/cgi-bin/browse-edgar?action=getcompany&amp;CIK=0001694507" TargetMode="External"/><Relationship Id="rId19" Type="http://schemas.openxmlformats.org/officeDocument/2006/relationships/hyperlink" Target="http://www.sec.gov/cgi-bin/browse-edgar?action=getcompany&amp;CIK=0001274195" TargetMode="External"/><Relationship Id="rId20" Type="http://schemas.openxmlformats.org/officeDocument/2006/relationships/hyperlink" Target="http://www.sec.gov/cgi-bin/browse-edgar?action=getcompany&amp;CIK=0001694778" TargetMode="External"/><Relationship Id="rId21" Type="http://schemas.openxmlformats.org/officeDocument/2006/relationships/hyperlink" Target="http://www.sec.gov/cgi-bin/browse-edgar?action=getcompany&amp;CIK=000169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2024-12-13T18:41:57Z</dcterms:created>
  <dcterms:modified xsi:type="dcterms:W3CDTF">2024-12-13T18:41:57Z</dcterms:modified>
</cp:coreProperties>
</file>