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7744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774446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Poston Edwin A.</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P10,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11/13/2025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86"/>
        <w:spacing w:after="0"/>
        <w:rPr>
          <w:sz w:val="20"/>
          <w:szCs w:val="20"/>
          <w:color w:val="auto"/>
        </w:rPr>
      </w:pPr>
      <w:r>
        <w:rPr>
          <w:rFonts w:ascii="Times New Roman" w:cs="Times New Roman" w:eastAsia="Times New Roman" w:hAnsi="Times New Roman"/>
          <w:sz w:val="16"/>
          <w:szCs w:val="16"/>
          <w:color w:val="0000FF"/>
        </w:rPr>
        <w:t>See remarks</w:t>
      </w:r>
    </w:p>
    <w:p>
      <w:pPr>
        <w:spacing w:after="0" w:line="411" w:lineRule="exact"/>
        <w:rPr>
          <w:sz w:val="24"/>
          <w:szCs w:val="24"/>
          <w:color w:val="auto"/>
        </w:rPr>
      </w:pPr>
    </w:p>
    <w:p>
      <w:pPr>
        <w:sectPr>
          <w:pgSz w:w="11900" w:h="16838" w:orient="portrait"/>
          <w:cols w:equalWidth="0" w:num="3">
            <w:col w:w="3180" w:space="720"/>
            <w:col w:w="3114" w:space="720"/>
            <w:col w:w="3346"/>
          </w:cols>
          <w:pgMar w:left="460" w:top="216" w:right="35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75205</w:t>
            </w:r>
          </w:p>
        </w:tc>
      </w:tr>
      <w:tr>
        <w:trPr>
          <w:trHeight w:val="145"/>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420" w:type="dxa"/>
            <w:vAlign w:val="bottom"/>
          </w:tcPr>
          <w:p>
            <w:pPr>
              <w:spacing w:after="0"/>
              <w:rPr>
                <w:sz w:val="11"/>
                <w:szCs w:val="11"/>
                <w:color w:val="auto"/>
              </w:rPr>
            </w:pPr>
          </w:p>
        </w:tc>
        <w:tc>
          <w:tcPr>
            <w:tcW w:w="174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420" w:type="dxa"/>
            <w:vAlign w:val="bottom"/>
          </w:tcPr>
          <w:p>
            <w:pPr>
              <w:spacing w:after="0"/>
              <w:rPr>
                <w:sz w:val="11"/>
                <w:szCs w:val="11"/>
                <w:color w:val="auto"/>
              </w:rPr>
            </w:pPr>
          </w:p>
        </w:tc>
        <w:tc>
          <w:tcPr>
            <w:tcW w:w="1740" w:type="dxa"/>
            <w:vAlign w:val="bottom"/>
          </w:tcPr>
          <w:p>
            <w:pPr>
              <w:ind w:left="7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color w:val="0000FF"/>
              </w:rPr>
              <w:t>11/13/2025</w:t>
            </w:r>
          </w:p>
        </w:tc>
        <w:tc>
          <w:tcPr>
            <w:tcW w:w="106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color w:val="0000FF"/>
              </w:rPr>
              <w:t>18,427</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vMerge w:val="restart"/>
          </w:tcPr>
          <w:p>
            <w:pPr>
              <w:jc w:val="right"/>
              <w:ind w:right="176"/>
              <w:spacing w:after="0"/>
              <w:rPr>
                <w:sz w:val="20"/>
                <w:szCs w:val="20"/>
                <w:color w:val="auto"/>
              </w:rPr>
            </w:pPr>
            <w:r>
              <w:rPr>
                <w:rFonts w:ascii="Times New Roman" w:cs="Times New Roman" w:eastAsia="Times New Roman" w:hAnsi="Times New Roman"/>
                <w:sz w:val="11"/>
                <w:szCs w:val="11"/>
                <w:color w:val="008000"/>
              </w:rPr>
              <w:t>(1)(2)</w:t>
            </w:r>
          </w:p>
        </w:tc>
        <w:tc>
          <w:tcPr>
            <w:tcW w:w="1120" w:type="dxa"/>
            <w:vAlign w:val="bottom"/>
            <w:vMerge w:val="restart"/>
          </w:tcPr>
          <w:p>
            <w:pPr>
              <w:jc w:val="right"/>
              <w:ind w:right="257"/>
              <w:spacing w:after="0"/>
              <w:rPr>
                <w:sz w:val="20"/>
                <w:szCs w:val="20"/>
                <w:color w:val="auto"/>
              </w:rPr>
            </w:pPr>
            <w:r>
              <w:rPr>
                <w:rFonts w:ascii="Times New Roman" w:cs="Times New Roman" w:eastAsia="Times New Roman" w:hAnsi="Times New Roman"/>
                <w:sz w:val="16"/>
                <w:szCs w:val="16"/>
                <w:color w:val="0000FF"/>
              </w:rPr>
              <w:t>18,427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32"/>
                <w:szCs w:val="32"/>
                <w:color w:val="0000FF"/>
                <w:vertAlign w:val="subscript"/>
              </w:rPr>
              <w:t>I</w:t>
            </w:r>
            <w:r>
              <w:rPr>
                <w:rFonts w:ascii="Times New Roman" w:cs="Times New Roman" w:eastAsia="Times New Roman" w:hAnsi="Times New Roman"/>
                <w:sz w:val="11"/>
                <w:szCs w:val="11"/>
                <w:color w:val="008000"/>
              </w:rPr>
              <w:t>(3)</w:t>
            </w: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TrueBridge</w:t>
            </w:r>
          </w:p>
        </w:tc>
        <w:tc>
          <w:tcPr>
            <w:tcW w:w="0" w:type="dxa"/>
            <w:vAlign w:val="bottom"/>
          </w:tcPr>
          <w:p>
            <w:pPr>
              <w:spacing w:after="0"/>
              <w:rPr>
                <w:sz w:val="1"/>
                <w:szCs w:val="1"/>
                <w:color w:val="auto"/>
              </w:rPr>
            </w:pPr>
          </w:p>
        </w:tc>
      </w:tr>
      <w:tr>
        <w:trPr>
          <w:trHeight w:val="165"/>
        </w:trPr>
        <w:tc>
          <w:tcPr>
            <w:tcW w:w="242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Ascent</w:t>
            </w: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LLC</w:t>
            </w:r>
          </w:p>
        </w:tc>
        <w:tc>
          <w:tcPr>
            <w:tcW w:w="0" w:type="dxa"/>
            <w:vAlign w:val="bottom"/>
          </w:tcPr>
          <w:p>
            <w:pPr>
              <w:spacing w:after="0"/>
              <w:rPr>
                <w:sz w:val="1"/>
                <w:szCs w:val="1"/>
                <w:color w:val="auto"/>
              </w:rPr>
            </w:pPr>
          </w:p>
        </w:tc>
      </w:tr>
      <w:tr>
        <w:trPr>
          <w:trHeight w:val="57"/>
        </w:trPr>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color w:val="0000FF"/>
              </w:rPr>
              <w:t>11/21/2025</w:t>
            </w:r>
          </w:p>
        </w:tc>
        <w:tc>
          <w:tcPr>
            <w:tcW w:w="106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color w:val="0000FF"/>
              </w:rPr>
              <w:t>18,427</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9.018</w:t>
            </w:r>
            <w:r>
              <w:rPr>
                <w:rFonts w:ascii="Times New Roman" w:cs="Times New Roman" w:eastAsia="Times New Roman" w:hAnsi="Times New Roman"/>
                <w:sz w:val="21"/>
                <w:szCs w:val="21"/>
                <w:color w:val="008000"/>
                <w:vertAlign w:val="superscript"/>
              </w:rPr>
              <w:t>(4)</w:t>
            </w:r>
          </w:p>
        </w:tc>
        <w:tc>
          <w:tcPr>
            <w:tcW w:w="1120" w:type="dxa"/>
            <w:vAlign w:val="bottom"/>
            <w:vMerge w:val="restart"/>
          </w:tcPr>
          <w:p>
            <w:pPr>
              <w:jc w:val="right"/>
              <w:ind w:right="437"/>
              <w:spacing w:after="0"/>
              <w:rPr>
                <w:sz w:val="20"/>
                <w:szCs w:val="20"/>
                <w:color w:val="auto"/>
              </w:rPr>
            </w:pPr>
            <w:r>
              <w:rPr>
                <w:rFonts w:ascii="Times New Roman" w:cs="Times New Roman" w:eastAsia="Times New Roman" w:hAnsi="Times New Roman"/>
                <w:sz w:val="16"/>
                <w:szCs w:val="16"/>
                <w:color w:val="0000FF"/>
              </w:rPr>
              <w:t>0</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32"/>
                <w:szCs w:val="32"/>
                <w:color w:val="0000FF"/>
                <w:vertAlign w:val="subscript"/>
              </w:rPr>
              <w:t>I</w:t>
            </w:r>
            <w:r>
              <w:rPr>
                <w:rFonts w:ascii="Times New Roman" w:cs="Times New Roman" w:eastAsia="Times New Roman" w:hAnsi="Times New Roman"/>
                <w:sz w:val="11"/>
                <w:szCs w:val="11"/>
                <w:color w:val="008000"/>
              </w:rPr>
              <w:t>(3)</w:t>
            </w: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TrueBridge</w:t>
            </w:r>
          </w:p>
        </w:tc>
        <w:tc>
          <w:tcPr>
            <w:tcW w:w="0" w:type="dxa"/>
            <w:vAlign w:val="bottom"/>
          </w:tcPr>
          <w:p>
            <w:pPr>
              <w:spacing w:after="0"/>
              <w:rPr>
                <w:sz w:val="1"/>
                <w:szCs w:val="1"/>
                <w:color w:val="auto"/>
              </w:rPr>
            </w:pPr>
          </w:p>
        </w:tc>
      </w:tr>
      <w:tr>
        <w:trPr>
          <w:trHeight w:val="165"/>
        </w:trPr>
        <w:tc>
          <w:tcPr>
            <w:tcW w:w="242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Ascent</w:t>
            </w: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6"/>
          <w:szCs w:val="16"/>
          <w:color w:val="0000FF"/>
        </w:rPr>
        <w:t>LLC</w:t>
      </w:r>
    </w:p>
    <w:p>
      <w:pPr>
        <w:spacing w:after="0" w:line="134"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By</w:t>
      </w:r>
    </w:p>
    <w:p>
      <w:pPr>
        <w:spacing w:after="0" w:line="31"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TrueBridge</w:t>
      </w:r>
    </w:p>
    <w:p>
      <w:pPr>
        <w:ind w:left="80"/>
        <w:spacing w:after="0"/>
        <w:tabs>
          <w:tab w:leader="none" w:pos="8240" w:val="left"/>
          <w:tab w:leader="none" w:pos="9520" w:val="left"/>
          <w:tab w:leader="none" w:pos="10120" w:val="left"/>
        </w:tabs>
        <w:rPr>
          <w:sz w:val="20"/>
          <w:szCs w:val="20"/>
          <w:color w:val="auto"/>
        </w:rPr>
      </w:pPr>
      <w:r>
        <w:rPr>
          <w:rFonts w:ascii="Times New Roman" w:cs="Times New Roman" w:eastAsia="Times New Roman" w:hAnsi="Times New Roman"/>
          <w:sz w:val="16"/>
          <w:szCs w:val="16"/>
          <w:color w:val="0000FF"/>
        </w:rPr>
        <w:t>Class A Common Stock</w:t>
      </w:r>
      <w:r>
        <w:rPr>
          <w:sz w:val="20"/>
          <w:szCs w:val="20"/>
          <w:color w:val="auto"/>
        </w:rPr>
        <w:tab/>
      </w:r>
      <w:r>
        <w:rPr>
          <w:rFonts w:ascii="Times New Roman" w:cs="Times New Roman" w:eastAsia="Times New Roman" w:hAnsi="Times New Roman"/>
          <w:sz w:val="16"/>
          <w:szCs w:val="16"/>
          <w:color w:val="0000FF"/>
        </w:rPr>
        <w:t>2,398,531</w:t>
      </w:r>
      <w:r>
        <w:rPr>
          <w:sz w:val="20"/>
          <w:szCs w:val="20"/>
          <w:color w:val="auto"/>
        </w:rPr>
        <w:tab/>
      </w:r>
      <w:r>
        <w:rPr>
          <w:rFonts w:ascii="Times New Roman" w:cs="Times New Roman" w:eastAsia="Times New Roman" w:hAnsi="Times New Roman"/>
          <w:sz w:val="16"/>
          <w:szCs w:val="16"/>
          <w:color w:val="0000FF"/>
        </w:rPr>
        <w:t>I</w:t>
      </w:r>
      <w:r>
        <w:rPr>
          <w:rFonts w:ascii="Times New Roman" w:cs="Times New Roman" w:eastAsia="Times New Roman" w:hAnsi="Times New Roman"/>
          <w:sz w:val="21"/>
          <w:szCs w:val="21"/>
          <w:color w:val="008000"/>
          <w:vertAlign w:val="superscript"/>
        </w:rPr>
        <w:t>(5)</w:t>
      </w:r>
      <w:r>
        <w:rPr>
          <w:sz w:val="20"/>
          <w:szCs w:val="20"/>
          <w:color w:val="auto"/>
        </w:rPr>
        <w:tab/>
      </w:r>
      <w:r>
        <w:rPr>
          <w:rFonts w:ascii="Times New Roman" w:cs="Times New Roman" w:eastAsia="Times New Roman" w:hAnsi="Times New Roman"/>
          <w:sz w:val="16"/>
          <w:szCs w:val="16"/>
          <w:color w:val="0000FF"/>
        </w:rPr>
        <w:t>Colonial</w:t>
      </w:r>
    </w:p>
    <w:p>
      <w:pPr>
        <w:ind w:left="10140"/>
        <w:spacing w:after="0"/>
        <w:rPr>
          <w:sz w:val="20"/>
          <w:szCs w:val="20"/>
          <w:color w:val="auto"/>
        </w:rPr>
      </w:pPr>
      <w:r>
        <w:rPr>
          <w:rFonts w:ascii="Times New Roman" w:cs="Times New Roman" w:eastAsia="Times New Roman" w:hAnsi="Times New Roman"/>
          <w:sz w:val="16"/>
          <w:szCs w:val="16"/>
          <w:color w:val="0000FF"/>
        </w:rPr>
        <w:t>Fund, u/a</w:t>
      </w:r>
    </w:p>
    <w:p>
      <w:pPr>
        <w:spacing w:after="0" w:line="13"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11/15/2015</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386"/>
        </w:trPr>
        <w:tc>
          <w:tcPr>
            <w:tcW w:w="49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4180" w:type="dxa"/>
            <w:vAlign w:val="bottom"/>
            <w:tcBorders>
              <w:bottom w:val="single" w:sz="8" w:color="2C2C2C"/>
            </w:tcBorders>
          </w:tcPr>
          <w:p>
            <w:pPr>
              <w:jc w:val="right"/>
              <w:ind w:right="278"/>
              <w:spacing w:after="0"/>
              <w:rPr>
                <w:sz w:val="20"/>
                <w:szCs w:val="20"/>
                <w:color w:val="auto"/>
              </w:rPr>
            </w:pPr>
            <w:r>
              <w:rPr>
                <w:rFonts w:ascii="Times New Roman" w:cs="Times New Roman" w:eastAsia="Times New Roman" w:hAnsi="Times New Roman"/>
                <w:sz w:val="16"/>
                <w:szCs w:val="16"/>
                <w:color w:val="0000FF"/>
              </w:rPr>
              <w:t>60,502</w:t>
            </w:r>
          </w:p>
        </w:tc>
        <w:tc>
          <w:tcPr>
            <w:tcW w:w="76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32"/>
                <w:szCs w:val="32"/>
                <w:color w:val="0000FF"/>
                <w:w w:val="84"/>
                <w:vertAlign w:val="subscript"/>
              </w:rPr>
              <w:t>D</w:t>
            </w:r>
            <w:r>
              <w:rPr>
                <w:rFonts w:ascii="Times New Roman" w:cs="Times New Roman" w:eastAsia="Times New Roman" w:hAnsi="Times New Roman"/>
                <w:sz w:val="11"/>
                <w:szCs w:val="11"/>
                <w:color w:val="008000"/>
                <w:w w:val="84"/>
              </w:rPr>
              <w:t>(6)</w:t>
            </w:r>
          </w:p>
        </w:tc>
        <w:tc>
          <w:tcPr>
            <w:tcW w:w="10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9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By Edwin</w:t>
            </w:r>
          </w:p>
        </w:tc>
        <w:tc>
          <w:tcPr>
            <w:tcW w:w="0" w:type="dxa"/>
            <w:vAlign w:val="bottom"/>
          </w:tcPr>
          <w:p>
            <w:pPr>
              <w:spacing w:after="0"/>
              <w:rPr>
                <w:sz w:val="1"/>
                <w:szCs w:val="1"/>
                <w:color w:val="auto"/>
              </w:rPr>
            </w:pPr>
          </w:p>
        </w:tc>
      </w:tr>
      <w:tr>
        <w:trPr>
          <w:trHeight w:val="203"/>
        </w:trPr>
        <w:tc>
          <w:tcPr>
            <w:tcW w:w="4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4180" w:type="dxa"/>
            <w:vAlign w:val="bottom"/>
            <w:vMerge w:val="restart"/>
          </w:tcPr>
          <w:p>
            <w:pPr>
              <w:jc w:val="right"/>
              <w:ind w:right="238"/>
              <w:spacing w:after="0"/>
              <w:rPr>
                <w:sz w:val="20"/>
                <w:szCs w:val="20"/>
                <w:color w:val="auto"/>
              </w:rPr>
            </w:pPr>
            <w:r>
              <w:rPr>
                <w:rFonts w:ascii="Times New Roman" w:cs="Times New Roman" w:eastAsia="Times New Roman" w:hAnsi="Times New Roman"/>
                <w:sz w:val="16"/>
                <w:szCs w:val="16"/>
                <w:color w:val="0000FF"/>
              </w:rPr>
              <w:t>521,664</w:t>
            </w:r>
          </w:p>
        </w:tc>
        <w:tc>
          <w:tcPr>
            <w:tcW w:w="760" w:type="dxa"/>
            <w:vAlign w:val="bottom"/>
            <w:vMerge w:val="restart"/>
          </w:tcPr>
          <w:p>
            <w:pPr>
              <w:jc w:val="center"/>
              <w:ind w:left="87"/>
              <w:spacing w:after="0"/>
              <w:rPr>
                <w:sz w:val="20"/>
                <w:szCs w:val="20"/>
                <w:color w:val="auto"/>
              </w:rPr>
            </w:pPr>
            <w:r>
              <w:rPr>
                <w:rFonts w:ascii="Times New Roman" w:cs="Times New Roman" w:eastAsia="Times New Roman" w:hAnsi="Times New Roman"/>
                <w:sz w:val="32"/>
                <w:szCs w:val="32"/>
                <w:color w:val="0000FF"/>
                <w:w w:val="90"/>
                <w:vertAlign w:val="subscript"/>
              </w:rPr>
              <w:t>I</w:t>
            </w:r>
            <w:r>
              <w:rPr>
                <w:rFonts w:ascii="Times New Roman" w:cs="Times New Roman" w:eastAsia="Times New Roman" w:hAnsi="Times New Roman"/>
                <w:sz w:val="11"/>
                <w:szCs w:val="11"/>
                <w:color w:val="008000"/>
                <w:w w:val="90"/>
              </w:rPr>
              <w:t>(7)</w:t>
            </w:r>
          </w:p>
        </w:tc>
        <w:tc>
          <w:tcPr>
            <w:tcW w:w="10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 Poston</w:t>
            </w:r>
          </w:p>
        </w:tc>
        <w:tc>
          <w:tcPr>
            <w:tcW w:w="0" w:type="dxa"/>
            <w:vAlign w:val="bottom"/>
          </w:tcPr>
          <w:p>
            <w:pPr>
              <w:spacing w:after="0"/>
              <w:rPr>
                <w:sz w:val="1"/>
                <w:szCs w:val="1"/>
                <w:color w:val="auto"/>
              </w:rPr>
            </w:pPr>
          </w:p>
        </w:tc>
      </w:tr>
      <w:tr>
        <w:trPr>
          <w:trHeight w:val="165"/>
        </w:trPr>
        <w:tc>
          <w:tcPr>
            <w:tcW w:w="4980" w:type="dxa"/>
            <w:vAlign w:val="bottom"/>
            <w:vMerge w:val="continue"/>
          </w:tcPr>
          <w:p>
            <w:pPr>
              <w:spacing w:after="0"/>
              <w:rPr>
                <w:sz w:val="14"/>
                <w:szCs w:val="14"/>
                <w:color w:val="auto"/>
              </w:rPr>
            </w:pPr>
          </w:p>
        </w:tc>
        <w:tc>
          <w:tcPr>
            <w:tcW w:w="4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Revocable</w:t>
            </w:r>
          </w:p>
        </w:tc>
        <w:tc>
          <w:tcPr>
            <w:tcW w:w="0" w:type="dxa"/>
            <w:vAlign w:val="bottom"/>
          </w:tcPr>
          <w:p>
            <w:pPr>
              <w:spacing w:after="0"/>
              <w:rPr>
                <w:sz w:val="1"/>
                <w:szCs w:val="1"/>
                <w:color w:val="auto"/>
              </w:rPr>
            </w:pPr>
          </w:p>
        </w:tc>
      </w:tr>
      <w:tr>
        <w:trPr>
          <w:trHeight w:val="50"/>
        </w:trPr>
        <w:tc>
          <w:tcPr>
            <w:tcW w:w="4980" w:type="dxa"/>
            <w:vAlign w:val="bottom"/>
          </w:tcPr>
          <w:p>
            <w:pPr>
              <w:spacing w:after="0"/>
              <w:rPr>
                <w:sz w:val="4"/>
                <w:szCs w:val="4"/>
                <w:color w:val="auto"/>
              </w:rPr>
            </w:pPr>
          </w:p>
        </w:tc>
        <w:tc>
          <w:tcPr>
            <w:tcW w:w="4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6"/>
          <w:szCs w:val="16"/>
          <w:color w:val="0000FF"/>
        </w:rPr>
        <w:t>Trust</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63"/>
        </w:trPr>
        <w:tc>
          <w:tcPr>
            <w:tcW w:w="680" w:type="dxa"/>
            <w:vAlign w:val="bottom"/>
            <w:vMerge w:val="continue"/>
          </w:tcPr>
          <w:p>
            <w:pPr>
              <w:spacing w:after="0"/>
              <w:rPr>
                <w:sz w:val="5"/>
                <w:szCs w:val="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620" w:type="dxa"/>
            <w:vAlign w:val="bottom"/>
            <w:vMerge w:val="continue"/>
          </w:tcPr>
          <w:p>
            <w:pPr>
              <w:spacing w:after="0"/>
              <w:rPr>
                <w:sz w:val="5"/>
                <w:szCs w:val="5"/>
                <w:color w:val="auto"/>
              </w:rPr>
            </w:pPr>
          </w:p>
        </w:tc>
        <w:tc>
          <w:tcPr>
            <w:tcW w:w="78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color w:val="0000FF"/>
              </w:rPr>
              <w:t>18,427</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920" w:type="dxa"/>
            <w:vAlign w:val="bottom"/>
          </w:tcPr>
          <w:p>
            <w:pPr>
              <w:spacing w:after="0"/>
              <w:rPr>
                <w:sz w:val="5"/>
                <w:szCs w:val="5"/>
                <w:color w:val="auto"/>
              </w:rPr>
            </w:pPr>
          </w:p>
        </w:tc>
        <w:tc>
          <w:tcPr>
            <w:tcW w:w="720" w:type="dxa"/>
            <w:vAlign w:val="bottom"/>
            <w:vMerge w:val="restart"/>
          </w:tcPr>
          <w:p>
            <w:pPr>
              <w:ind w:left="280"/>
              <w:spacing w:after="0" w:line="203"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74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TrueBridge</w:t>
            </w: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11/13/2025</w:t>
            </w:r>
          </w:p>
        </w:tc>
        <w:tc>
          <w:tcPr>
            <w:tcW w:w="1060" w:type="dxa"/>
            <w:vAlign w:val="bottom"/>
          </w:tcPr>
          <w:p>
            <w:pPr>
              <w:spacing w:after="0"/>
              <w:rPr>
                <w:sz w:val="6"/>
                <w:szCs w:val="6"/>
                <w:color w:val="auto"/>
              </w:rPr>
            </w:pPr>
          </w:p>
        </w:tc>
        <w:tc>
          <w:tcPr>
            <w:tcW w:w="800" w:type="dxa"/>
            <w:vAlign w:val="bottom"/>
            <w:vMerge w:val="restart"/>
          </w:tcPr>
          <w:p>
            <w:pPr>
              <w:ind w:left="18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18,427</w:t>
            </w: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restart"/>
          </w:tcPr>
          <w:p>
            <w:pPr>
              <w:jc w:val="right"/>
              <w:ind w:right="202"/>
              <w:spacing w:after="0" w:line="140" w:lineRule="exact"/>
              <w:rPr>
                <w:sz w:val="20"/>
                <w:szCs w:val="20"/>
                <w:color w:val="auto"/>
              </w:rPr>
            </w:pPr>
            <w:r>
              <w:rPr>
                <w:rFonts w:ascii="Times New Roman" w:cs="Times New Roman" w:eastAsia="Times New Roman" w:hAnsi="Times New Roman"/>
                <w:sz w:val="13"/>
                <w:szCs w:val="13"/>
                <w:color w:val="0000FF"/>
              </w:rPr>
              <w:t>116,024</w:t>
            </w: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Ascent</w:t>
            </w: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6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5,216,646</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vMerge w:val="restart"/>
          </w:tcPr>
          <w:p>
            <w:pPr>
              <w:ind w:left="280"/>
              <w:spacing w:after="0" w:line="278"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1"/>
                <w:szCs w:val="11"/>
                <w:color w:val="008000"/>
              </w:rPr>
              <w:t>(5)</w:t>
            </w:r>
          </w:p>
        </w:tc>
        <w:tc>
          <w:tcPr>
            <w:tcW w:w="74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TrueBridge</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right"/>
              <w:ind w:right="142"/>
              <w:spacing w:after="0" w:line="140" w:lineRule="exact"/>
              <w:rPr>
                <w:sz w:val="20"/>
                <w:szCs w:val="20"/>
                <w:color w:val="auto"/>
              </w:rPr>
            </w:pPr>
            <w:r>
              <w:rPr>
                <w:rFonts w:ascii="Times New Roman" w:cs="Times New Roman" w:eastAsia="Times New Roman" w:hAnsi="Times New Roman"/>
                <w:sz w:val="13"/>
                <w:szCs w:val="13"/>
                <w:color w:val="0000FF"/>
              </w:rPr>
              <w:t>5,216,646</w:t>
            </w:r>
          </w:p>
        </w:tc>
        <w:tc>
          <w:tcPr>
            <w:tcW w:w="720" w:type="dxa"/>
            <w:vAlign w:val="bottom"/>
            <w:vMerge w:val="continue"/>
          </w:tcPr>
          <w:p>
            <w:pPr>
              <w:spacing w:after="0"/>
              <w:rPr>
                <w:sz w:val="12"/>
                <w:szCs w:val="12"/>
                <w:color w:val="auto"/>
              </w:rPr>
            </w:pPr>
          </w:p>
        </w:tc>
        <w:tc>
          <w:tcPr>
            <w:tcW w:w="74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Colonial</w:t>
            </w: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Fund, u/a</w:t>
            </w: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11/15/2015</w:t>
            </w: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0" w:lineRule="exact"/>
        <w:rPr>
          <w:rFonts w:ascii="Times New Roman" w:cs="Times New Roman" w:eastAsia="Times New Roman" w:hAnsi="Times New Roman"/>
          <w:sz w:val="13"/>
          <w:szCs w:val="13"/>
          <w:color w:val="008000"/>
        </w:rPr>
      </w:pPr>
    </w:p>
    <w:p>
      <w:pPr>
        <w:ind w:left="40" w:right="200" w:hanging="1"/>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November 13, 2025, TrueBridge Ascent LLC converted 18,427 shares of Class B Common Stock into an equivalent number of shares of Class A Common Stock.</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of the Issuer owned directly by TrueBridge Ascent LLC. The Reporting Person, as a manager of TrueBridge Ascent LLC, may be deemed to be deemed to beneficially own the securities of</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
        <w:spacing w:after="0" w:line="248" w:lineRule="auto"/>
        <w:rPr>
          <w:sz w:val="20"/>
          <w:szCs w:val="20"/>
          <w:color w:val="auto"/>
        </w:rPr>
      </w:pPr>
      <w:r>
        <w:rPr>
          <w:rFonts w:ascii="Times New Roman" w:cs="Times New Roman" w:eastAsia="Times New Roman" w:hAnsi="Times New Roman"/>
          <w:sz w:val="13"/>
          <w:szCs w:val="13"/>
          <w:color w:val="008000"/>
        </w:rPr>
        <w:t>the Issuer owned directly by TrueBridge Ascent LLC.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1" w:lineRule="exact"/>
        <w:rPr>
          <w:sz w:val="20"/>
          <w:szCs w:val="20"/>
          <w:color w:val="auto"/>
        </w:rPr>
      </w:pPr>
    </w:p>
    <w:p>
      <w:pPr>
        <w:ind w:left="1" w:right="40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the shares, which were sold in multiple transactions at prices that ranged from $9.00 to $9.04. Upon request, the Reporting Person will provide information regarding the number of shares sold at each price within the range to the Issuer, any security holder of the issuer, or the SEC staff.</w:t>
      </w:r>
    </w:p>
    <w:p>
      <w:pPr>
        <w:spacing w:after="0" w:line="20" w:lineRule="exact"/>
        <w:rPr>
          <w:rFonts w:ascii="Times New Roman" w:cs="Times New Roman" w:eastAsia="Times New Roman" w:hAnsi="Times New Roman"/>
          <w:sz w:val="13"/>
          <w:szCs w:val="13"/>
          <w:color w:val="008000"/>
        </w:rPr>
      </w:pPr>
    </w:p>
    <w:p>
      <w:pPr>
        <w:ind w:left="1" w:right="80" w:hanging="1"/>
        <w:spacing w:after="0" w:line="234"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and indirectly by TrueBridge Colonial Fund, u/a 11/15/2015 ("TrueBridge Colonial"). First Republic Trust Company of Delaware, as trustee of TrueBridge Colonial, may be deemed to beneficially own the securities of the Issuer owned directly and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5"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Reporting Person.</w:t>
      </w:r>
    </w:p>
    <w:p>
      <w:pPr>
        <w:spacing w:after="0" w:line="40" w:lineRule="exact"/>
        <w:rPr>
          <w:rFonts w:ascii="Times New Roman" w:cs="Times New Roman" w:eastAsia="Times New Roman" w:hAnsi="Times New Roman"/>
          <w:sz w:val="13"/>
          <w:szCs w:val="13"/>
          <w:color w:val="008000"/>
        </w:rPr>
      </w:pPr>
    </w:p>
    <w:p>
      <w:pPr>
        <w:ind w:left="1" w:right="120"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Edwin A. Poston Revocable Trust (the "Poston Trust"). The Reporting Person, as sole trustee of the Poston Trust, may be deemed to beneficially own the securities of the Issuer owned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0"/>
          <w:szCs w:val="20"/>
          <w:color w:val="auto"/>
        </w:rPr>
      </w:pPr>
    </w:p>
    <w:p>
      <w:pPr>
        <w:jc w:val="both"/>
        <w:ind w:left="1" w:right="80"/>
        <w:spacing w:after="0" w:line="237" w:lineRule="auto"/>
        <w:rPr>
          <w:sz w:val="20"/>
          <w:szCs w:val="20"/>
          <w:color w:val="auto"/>
        </w:rPr>
      </w:pPr>
      <w:r>
        <w:rPr>
          <w:rFonts w:ascii="Times New Roman" w:cs="Times New Roman" w:eastAsia="Times New Roman" w:hAnsi="Times New Roman"/>
          <w:sz w:val="13"/>
          <w:szCs w:val="13"/>
          <w:color w:val="008000"/>
        </w:rPr>
        <w:t>This Form 4 is being filed on behalf of Edwin A. Poston (the "Reporting Person"). The Reporting Person may be deemed to be a member of a Section 13(d) group that collectively beneficially owns more than 10% of the Issuer's Common Stock. The securities reported herein do not include securities of the Issuer held by any other group member other than those securities held directly or indirectly by the Reporting Person. In addition, the Reporting Person serves as a director on the board of directors of the Issuer.</w:t>
      </w:r>
    </w:p>
    <w:p>
      <w:pPr>
        <w:sectPr>
          <w:pgSz w:w="11900" w:h="16838" w:orient="portrait"/>
          <w:cols w:equalWidth="0" w:num="1">
            <w:col w:w="10901"/>
          </w:cols>
          <w:pgMar w:left="499" w:top="127" w:right="499" w:bottom="1440" w:gutter="0" w:footer="0" w:header="0"/>
        </w:sectPr>
      </w:pPr>
    </w:p>
    <w:p>
      <w:pPr>
        <w:spacing w:after="0" w:line="52"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By: Dominic Hong,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-3175</wp:posOffset>
            </wp:positionV>
            <wp:extent cx="941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-10795</wp:posOffset>
            </wp:positionV>
            <wp:extent cx="1005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Reporting Person, /s/ Dominic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-10795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-10795</wp:posOffset>
            </wp:positionV>
            <wp:extent cx="2324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38" w:lineRule="exact"/>
        <w:rPr>
          <w:sz w:val="20"/>
          <w:szCs w:val="20"/>
          <w:color w:val="auto"/>
        </w:rPr>
      </w:pPr>
    </w:p>
    <w:p>
      <w:pPr>
        <w:ind w:left="6561"/>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3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0"/>
          <w:szCs w:val="20"/>
          <w:color w:val="auto"/>
        </w:rPr>
      </w:pPr>
    </w:p>
    <w:p>
      <w:pPr>
        <w:sectPr>
          <w:pgSz w:w="11900" w:h="16838" w:orient="portrait"/>
          <w:cols w:equalWidth="0" w:num="2">
            <w:col w:w="8561" w:space="200"/>
            <w:col w:w="2140"/>
          </w:cols>
          <w:pgMar w:left="499" w:top="127" w:right="499" w:bottom="1440" w:gutter="0" w:footer="0" w:header="0"/>
          <w:type w:val="continuous"/>
        </w:sect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580" w:hanging="1"/>
        <w:spacing w:after="0" w:line="330"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1"/>
      </w:cols>
      <w:pgMar w:left="499"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2025-11-24T16:59:18Z</dcterms:created>
  <dcterms:modified xsi:type="dcterms:W3CDTF">2025-11-24T16:59:18Z</dcterms:modified>
</cp:coreProperties>
</file>