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900"/>
        <w:spacing w:after="0" w:line="207" w:lineRule="exact"/>
        <w:tabs>
          <w:tab w:leader="none" w:pos="47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w:t>
      </w:r>
    </w:p>
    <w:p>
      <w:pPr>
        <w:spacing w:after="0" w:line="171" w:lineRule="exact"/>
        <w:rPr>
          <w:sz w:val="24"/>
          <w:szCs w:val="24"/>
          <w:color w:val="auto"/>
        </w:rPr>
      </w:pPr>
    </w:p>
    <w:p>
      <w:pPr>
        <w:ind w:left="460"/>
        <w:spacing w:after="0" w:line="207" w:lineRule="exact"/>
        <w:tabs>
          <w:tab w:leader="none" w:pos="86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38" w:lineRule="exact"/>
        <w:rPr>
          <w:sz w:val="24"/>
          <w:szCs w:val="24"/>
          <w:color w:val="auto"/>
        </w:rPr>
      </w:pPr>
    </w:p>
    <w:p>
      <w:pPr>
        <w:ind w:left="1420"/>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July 23, 2007 was 50,353,376.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1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5"/>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340" w:type="dxa"/>
            <w:vAlign w:val="bottom"/>
            <w:tcBorders>
              <w:top w:val="single" w:sz="8" w:color="0000EE"/>
            </w:tcBorders>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9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24"/>
                <w:szCs w:val="24"/>
                <w:color w:val="auto"/>
              </w:rPr>
            </w:pPr>
          </w:p>
        </w:tc>
        <w:tc>
          <w:tcPr>
            <w:tcW w:w="60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14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72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854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896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Unregistered Sales of Equity Securities and Use of Proceeds.</w:t>
              </w:r>
            </w:hyperlink>
          </w:p>
        </w:tc>
        <w:tc>
          <w:tcPr>
            <w:tcW w:w="59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Defaults Upon Senior Securities.</w:t>
              </w:r>
            </w:hyperlink>
          </w:p>
        </w:tc>
        <w:tc>
          <w:tcPr>
            <w:tcW w:w="794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026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654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bottom w:val="single" w:sz="8" w:color="0000EE"/>
            </w:tcBorders>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Exhibits.</w:t>
              </w:r>
            </w:hyperlink>
          </w:p>
        </w:tc>
        <w:tc>
          <w:tcPr>
            <w:tcW w:w="962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140" w:type="dxa"/>
            <w:vAlign w:val="bottom"/>
          </w:tcPr>
          <w:p>
            <w:pPr>
              <w:ind w:left="180"/>
              <w:spacing w:after="0"/>
              <w:rPr>
                <w:sz w:val="20"/>
                <w:szCs w:val="20"/>
                <w:color w:val="auto"/>
              </w:rPr>
            </w:pPr>
            <w:r>
              <w:rPr>
                <w:rFonts w:ascii="Arial" w:cs="Arial" w:eastAsia="Arial" w:hAnsi="Arial"/>
                <w:sz w:val="18"/>
                <w:szCs w:val="18"/>
                <w:b w:val="1"/>
                <w:bCs w:val="1"/>
                <w:color w:val="auto"/>
                <w:w w:val="96"/>
              </w:rPr>
              <w:t>Consolidated Financial Statements.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b w:val="1"/>
                <w:bCs w:val="1"/>
                <w:color w:val="auto"/>
                <w:w w:val="88"/>
              </w:rPr>
              <w:t>Active Power,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color w:val="auto"/>
                <w:w w:val="87"/>
              </w:rPr>
              <w:t>(in thousands)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6,509</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w w:val="93"/>
              </w:rPr>
              <w:t>Short-term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6,039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10,821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31,891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39,153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314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38,588</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00" w:type="dxa"/>
            <w:vAlign w:val="bottom"/>
            <w:gridSpan w:val="3"/>
            <w:vMerge w:val="continue"/>
          </w:tcPr>
          <w:p>
            <w:pPr>
              <w:spacing w:after="0"/>
              <w:rPr>
                <w:sz w:val="24"/>
                <w:szCs w:val="24"/>
                <w:color w:val="auto"/>
              </w:rPr>
            </w:pP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980" w:type="dxa"/>
            <w:vAlign w:val="bottom"/>
            <w:gridSpan w:val="2"/>
          </w:tcPr>
          <w:p>
            <w:pPr>
              <w:spacing w:after="0"/>
              <w:rPr>
                <w:sz w:val="9"/>
                <w:szCs w:val="9"/>
                <w:color w:val="auto"/>
              </w:rPr>
            </w:pPr>
          </w:p>
        </w:tc>
        <w:tc>
          <w:tcPr>
            <w:tcW w:w="5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2,437</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244,569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8"/>
              </w:rPr>
              <w:t>(215,835)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(204,765)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5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w w:val="99"/>
              </w:rPr>
              <w:t>Total liabilities and stockholders’ equity</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38,588</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5"/>
                <w:szCs w:val="15"/>
                <w:color w:val="auto"/>
              </w:rPr>
            </w:pPr>
          </w:p>
        </w:tc>
        <w:tc>
          <w:tcPr>
            <w:tcW w:w="15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w w:val="96"/>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5"/>
              <w:spacing w:after="0" w:line="143"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6,469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5,022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11,380</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323"/>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13,363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8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(4,856)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(6,768)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(11,479)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(13,491)</w:t>
            </w:r>
          </w:p>
        </w:tc>
        <w:tc>
          <w:tcPr>
            <w:tcW w:w="0" w:type="dxa"/>
            <w:vAlign w:val="bottom"/>
          </w:tcPr>
          <w:p>
            <w:pPr>
              <w:spacing w:after="0"/>
              <w:rPr>
                <w:sz w:val="1"/>
                <w:szCs w:val="1"/>
                <w:color w:val="auto"/>
              </w:rPr>
            </w:pPr>
          </w:p>
        </w:tc>
      </w:tr>
      <w:tr>
        <w:trPr>
          <w:trHeight w:val="322"/>
        </w:trPr>
        <w:tc>
          <w:tcPr>
            <w:tcW w:w="6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(6,133)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(11,070)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50,090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49,648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50,089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(4,646)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(6,133)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(loss) on subsidiaries in foreign currencies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20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Six Months</w:t>
      </w:r>
    </w:p>
    <w:p>
      <w:pPr>
        <w:spacing w:after="0" w:line="1" w:lineRule="exact"/>
        <w:rPr>
          <w:sz w:val="20"/>
          <w:szCs w:val="20"/>
          <w:color w:val="auto"/>
        </w:rPr>
      </w:pPr>
    </w:p>
    <w:p>
      <w:pPr>
        <w:jc w:val="center"/>
        <w:ind w:left="9720"/>
        <w:spacing w:after="0"/>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3"/>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loss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(11,070)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5"/>
              </w:rPr>
              <w:t>$ (12,383)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660" w:type="dxa"/>
            <w:vAlign w:val="bottom"/>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1,045</w:t>
            </w:r>
          </w:p>
        </w:tc>
        <w:tc>
          <w:tcPr>
            <w:tcW w:w="660" w:type="dxa"/>
            <w:vAlign w:val="bottom"/>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(468)</w:t>
            </w:r>
          </w:p>
        </w:tc>
        <w:tc>
          <w:tcPr>
            <w:tcW w:w="660" w:type="dxa"/>
            <w:vAlign w:val="bottom"/>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66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1,845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860"/>
              <w:spacing w:after="0"/>
              <w:rPr>
                <w:sz w:val="20"/>
                <w:szCs w:val="20"/>
                <w:color w:val="auto"/>
              </w:rPr>
            </w:pPr>
            <w:r>
              <w:rPr>
                <w:rFonts w:ascii="Arial" w:cs="Arial" w:eastAsia="Arial" w:hAnsi="Arial"/>
                <w:sz w:val="18"/>
                <w:szCs w:val="18"/>
                <w:color w:val="auto"/>
              </w:rPr>
              <w:t>Long term liabilities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32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7,300</w:t>
            </w:r>
          </w:p>
        </w:tc>
        <w:tc>
          <w:tcPr>
            <w:tcW w:w="660" w:type="dxa"/>
            <w:vAlign w:val="bottom"/>
          </w:tcPr>
          <w:p>
            <w:pPr>
              <w:jc w:val="right"/>
              <w:spacing w:after="0"/>
              <w:rPr>
                <w:sz w:val="20"/>
                <w:szCs w:val="20"/>
                <w:color w:val="auto"/>
              </w:rPr>
            </w:pPr>
            <w:r>
              <w:rPr>
                <w:rFonts w:ascii="Arial" w:cs="Arial" w:eastAsia="Arial" w:hAnsi="Arial"/>
                <w:sz w:val="18"/>
                <w:szCs w:val="18"/>
                <w:color w:val="auto"/>
              </w:rPr>
              <w:t>25,947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investing activities</w:t>
            </w: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4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6,621</w:t>
            </w:r>
          </w:p>
        </w:tc>
        <w:tc>
          <w:tcPr>
            <w:tcW w:w="660" w:type="dxa"/>
            <w:vAlign w:val="bottom"/>
          </w:tcPr>
          <w:p>
            <w:pPr>
              <w:jc w:val="right"/>
              <w:spacing w:after="0"/>
              <w:rPr>
                <w:sz w:val="20"/>
                <w:szCs w:val="20"/>
                <w:color w:val="auto"/>
              </w:rPr>
            </w:pPr>
            <w:r>
              <w:rPr>
                <w:rFonts w:ascii="Arial" w:cs="Arial" w:eastAsia="Arial" w:hAnsi="Arial"/>
                <w:sz w:val="18"/>
                <w:szCs w:val="18"/>
                <w:color w:val="auto"/>
              </w:rPr>
              <w:t>14,703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proceeds from issuance of common stock</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660" w:type="dxa"/>
            <w:vAlign w:val="bottom"/>
          </w:tcPr>
          <w:p>
            <w:pPr>
              <w:jc w:val="right"/>
              <w:spacing w:after="0"/>
              <w:rPr>
                <w:sz w:val="20"/>
                <w:szCs w:val="20"/>
                <w:color w:val="auto"/>
              </w:rPr>
            </w:pPr>
            <w:r>
              <w:rPr>
                <w:rFonts w:ascii="Arial" w:cs="Arial" w:eastAsia="Arial" w:hAnsi="Arial"/>
                <w:sz w:val="18"/>
                <w:szCs w:val="18"/>
                <w:color w:val="auto"/>
              </w:rPr>
              <w:t>2,518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540" w:type="dxa"/>
            <w:vAlign w:val="bottom"/>
            <w:gridSpan w:val="2"/>
          </w:tcPr>
          <w:p>
            <w:pPr>
              <w:spacing w:after="0"/>
              <w:rPr>
                <w:sz w:val="20"/>
                <w:szCs w:val="20"/>
                <w:color w:val="auto"/>
              </w:rPr>
            </w:pPr>
            <w:r>
              <w:rPr>
                <w:rFonts w:ascii="Arial" w:cs="Arial" w:eastAsia="Arial" w:hAnsi="Arial"/>
                <w:sz w:val="18"/>
                <w:szCs w:val="18"/>
                <w:color w:val="auto"/>
              </w:rPr>
              <w:t>Translation gain on subsidiaries in foreign currencies</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7,652</w:t>
            </w:r>
          </w:p>
        </w:tc>
        <w:tc>
          <w:tcPr>
            <w:tcW w:w="660" w:type="dxa"/>
            <w:vAlign w:val="bottom"/>
          </w:tcPr>
          <w:p>
            <w:pPr>
              <w:jc w:val="right"/>
              <w:spacing w:after="0"/>
              <w:rPr>
                <w:sz w:val="20"/>
                <w:szCs w:val="20"/>
                <w:color w:val="auto"/>
              </w:rPr>
            </w:pPr>
            <w:r>
              <w:rPr>
                <w:rFonts w:ascii="Arial" w:cs="Arial" w:eastAsia="Arial" w:hAnsi="Arial"/>
                <w:sz w:val="18"/>
                <w:szCs w:val="18"/>
                <w:color w:val="auto"/>
              </w:rPr>
              <w:t>7,590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$ 13,885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ind w:left="460" w:right="60" w:firstLine="438"/>
        <w:spacing w:after="0" w:line="290"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“Active Power” or the “Company”) design</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and market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We offer a range of patented flywheel energy storage systems that provide an alternative for lead-acid batteries used in conventional power quality installations. We have recently broadened our product offerings with a battery-free extended runtime technology that utilizes thermal and compressed air storage to provide backup power for minutes to hours depending on the application. We sell our products globally through direct and Original Equipment Manufacturer (“OEM”) channels. Our current principal markets are North America and Europe, Middle East and Africa (“EMEA”).</w:t>
      </w:r>
    </w:p>
    <w:p>
      <w:pPr>
        <w:spacing w:after="0" w:line="37" w:lineRule="exact"/>
        <w:rPr>
          <w:sz w:val="20"/>
          <w:szCs w:val="20"/>
          <w:color w:val="auto"/>
        </w:rPr>
      </w:pPr>
    </w:p>
    <w:p>
      <w:pPr>
        <w:ind w:left="460" w:right="160" w:firstLine="438"/>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2006.</w:t>
      </w:r>
    </w:p>
    <w:p>
      <w:pPr>
        <w:spacing w:after="0" w:line="29" w:lineRule="exact"/>
        <w:rPr>
          <w:sz w:val="20"/>
          <w:szCs w:val="20"/>
          <w:color w:val="auto"/>
        </w:rPr>
      </w:pPr>
    </w:p>
    <w:p>
      <w:pPr>
        <w:ind w:left="460" w:firstLine="438"/>
        <w:spacing w:after="0" w:line="313" w:lineRule="auto"/>
        <w:rPr>
          <w:sz w:val="20"/>
          <w:szCs w:val="20"/>
          <w:color w:val="auto"/>
        </w:rPr>
      </w:pPr>
      <w:r>
        <w:rPr>
          <w:rFonts w:ascii="Arial" w:cs="Arial" w:eastAsia="Arial" w:hAnsi="Arial"/>
          <w:sz w:val="15"/>
          <w:szCs w:val="15"/>
          <w:b w:val="1"/>
          <w:bCs w:val="1"/>
          <w:color w:val="auto"/>
        </w:rPr>
        <w:t>Recently issued accounting standards</w:t>
      </w:r>
      <w:r>
        <w:rPr>
          <w:rFonts w:ascii="Arial" w:cs="Arial" w:eastAsia="Arial" w:hAnsi="Arial"/>
          <w:sz w:val="15"/>
          <w:szCs w:val="15"/>
          <w:color w:val="auto"/>
        </w:rPr>
        <w:t>: In September 2006 the Financial Accounting Standards Board (FASB) issued Statement of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Accounting Standards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25"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In February 2007, FASB issued Statement of Financial Accounting Standards (SFAS) 159, “The Fair Value Option for Financial Assets and Financial Liabilities — Including an amendment of FASB Statement No. 115”. SFAS 159 expands the use of fair value accounting to many financial instruments and certain other items. The fair value option is irrevocable and generally made on an instrument-by-instrument basis, even if a company has similar instruments that it elects not to measure based on fair value. SFAS 159 is effective for fiscal years beginning after November 15, 2007. The Company is currently evaluating the effect that the adoption of SFAS 159 will have on its financial position and results of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2.</w:t>
            </w:r>
          </w:p>
        </w:tc>
        <w:tc>
          <w:tcPr>
            <w:tcW w:w="6460" w:type="dxa"/>
            <w:vAlign w:val="bottom"/>
            <w:gridSpan w:val="2"/>
          </w:tcPr>
          <w:p>
            <w:pPr>
              <w:ind w:left="160"/>
              <w:spacing w:after="0"/>
              <w:rPr>
                <w:sz w:val="20"/>
                <w:szCs w:val="20"/>
                <w:color w:val="auto"/>
              </w:rPr>
            </w:pPr>
            <w:r>
              <w:rPr>
                <w:rFonts w:ascii="Arial" w:cs="Arial" w:eastAsia="Arial" w:hAnsi="Arial"/>
                <w:sz w:val="18"/>
                <w:szCs w:val="18"/>
                <w:b w:val="1"/>
                <w:bCs w:val="1"/>
                <w:color w:val="auto"/>
              </w:rPr>
              <w:t>Supplemental Balance Sheet Information</w:t>
            </w: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97"/>
        </w:trPr>
        <w:tc>
          <w:tcPr>
            <w:tcW w:w="300" w:type="dxa"/>
            <w:vAlign w:val="bottom"/>
          </w:tcPr>
          <w:p>
            <w:pPr>
              <w:spacing w:after="0"/>
              <w:rPr>
                <w:sz w:val="24"/>
                <w:szCs w:val="24"/>
                <w:color w:val="auto"/>
              </w:rPr>
            </w:pPr>
          </w:p>
        </w:tc>
        <w:tc>
          <w:tcPr>
            <w:tcW w:w="646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Receivables</w:t>
            </w: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300" w:type="dxa"/>
            <w:vAlign w:val="bottom"/>
          </w:tcPr>
          <w:p>
            <w:pPr>
              <w:spacing w:after="0"/>
              <w:rPr>
                <w:sz w:val="24"/>
                <w:szCs w:val="24"/>
                <w:color w:val="auto"/>
              </w:rPr>
            </w:pPr>
          </w:p>
        </w:tc>
        <w:tc>
          <w:tcPr>
            <w:tcW w:w="6460" w:type="dxa"/>
            <w:vAlign w:val="bottom"/>
            <w:gridSpan w:val="2"/>
          </w:tcPr>
          <w:p>
            <w:pPr>
              <w:ind w:left="600"/>
              <w:spacing w:after="0"/>
              <w:rPr>
                <w:sz w:val="20"/>
                <w:szCs w:val="20"/>
                <w:color w:val="auto"/>
              </w:rPr>
            </w:pPr>
            <w:r>
              <w:rPr>
                <w:rFonts w:ascii="Arial" w:cs="Arial" w:eastAsia="Arial" w:hAnsi="Arial"/>
                <w:sz w:val="18"/>
                <w:szCs w:val="18"/>
                <w:color w:val="auto"/>
              </w:rPr>
              <w:t>Accounts receivable consist of the following (in thousands):</w:t>
            </w: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$ 9,494</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6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(1,356)</w:t>
            </w:r>
          </w:p>
        </w:tc>
      </w:tr>
      <w:tr>
        <w:trPr>
          <w:trHeight w:val="27"/>
        </w:trPr>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$ 8,169</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6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3,999</w:t>
            </w:r>
          </w:p>
        </w:tc>
        <w:tc>
          <w:tcPr>
            <w:tcW w:w="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0"/>
        </w:trPr>
        <w:tc>
          <w:tcPr>
            <w:tcW w:w="7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10,821</w:t>
            </w:r>
          </w:p>
        </w:tc>
        <w:tc>
          <w:tcPr>
            <w:tcW w:w="340" w:type="dxa"/>
            <w:vAlign w:val="bottom"/>
          </w:tcPr>
          <w:p>
            <w:pPr>
              <w:spacing w:after="0"/>
              <w:rPr>
                <w:sz w:val="19"/>
                <w:szCs w:val="19"/>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10,279</w:t>
            </w:r>
          </w:p>
        </w:tc>
        <w:tc>
          <w:tcPr>
            <w:tcW w:w="6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Included in inventory at June 30, 2007 is $4.4 million of inventory relating exclusively to our CoolAir family of products. We began selling this product in 2006. If we are unable to sell sufficient quantities of our finished CoolAir products or our sales do not meet our expectations, we may need to record an impairment charge for some or all of that amount.</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8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20,868</w:t>
            </w:r>
          </w:p>
        </w:tc>
        <w:tc>
          <w:tcPr>
            <w:tcW w:w="2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(14,383)</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(13,370)</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60" w:type="dxa"/>
            <w:vAlign w:val="bottom"/>
            <w:gridSpan w:val="2"/>
          </w:tcPr>
          <w:p>
            <w:pPr>
              <w:ind w:left="440"/>
              <w:spacing w:after="0"/>
              <w:rPr>
                <w:sz w:val="20"/>
                <w:szCs w:val="20"/>
                <w:color w:val="auto"/>
              </w:rPr>
            </w:pPr>
            <w:r>
              <w:rPr>
                <w:rFonts w:ascii="Arial" w:cs="Arial" w:eastAsia="Arial" w:hAnsi="Arial"/>
                <w:sz w:val="18"/>
                <w:szCs w:val="18"/>
                <w:color w:val="auto"/>
              </w:rPr>
              <w:t>Accrued expenses consist of the following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Warranty liability</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644</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Federal, state, property and sales taxes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2,829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5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6,559</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Changes in our warranty liability are presented in the following table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$ 734</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tcPr>
          <w:p>
            <w:pPr>
              <w:ind w:left="440"/>
              <w:spacing w:after="0"/>
              <w:rPr>
                <w:sz w:val="20"/>
                <w:szCs w:val="20"/>
                <w:color w:val="auto"/>
              </w:rPr>
            </w:pPr>
            <w:r>
              <w:rPr>
                <w:rFonts w:ascii="Arial" w:cs="Arial" w:eastAsia="Arial" w:hAnsi="Arial"/>
                <w:sz w:val="18"/>
                <w:szCs w:val="18"/>
                <w:color w:val="auto"/>
              </w:rPr>
              <w:t>Warranty expense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charges incurred</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left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vMerge w:val="restart"/>
          </w:tcPr>
          <w:p>
            <w:pPr>
              <w:spacing w:after="0"/>
              <w:rPr>
                <w:sz w:val="20"/>
                <w:szCs w:val="20"/>
                <w:color w:val="auto"/>
              </w:rPr>
            </w:pPr>
            <w:r>
              <w:rPr>
                <w:rFonts w:ascii="Arial" w:cs="Arial" w:eastAsia="Arial" w:hAnsi="Arial"/>
                <w:sz w:val="18"/>
                <w:szCs w:val="18"/>
                <w:color w:val="auto"/>
              </w:rPr>
              <w:t>Balance at June 30, 2007</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$ 644</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5780" w:type="dxa"/>
            <w:vAlign w:val="bottom"/>
            <w:gridSpan w:val="3"/>
            <w:vMerge w:val="restart"/>
          </w:tcPr>
          <w:p>
            <w:pPr>
              <w:ind w:left="160"/>
              <w:spacing w:after="0"/>
              <w:rPr>
                <w:sz w:val="20"/>
                <w:szCs w:val="20"/>
                <w:color w:val="auto"/>
              </w:rPr>
            </w:pPr>
            <w:r>
              <w:rPr>
                <w:rFonts w:ascii="Arial" w:cs="Arial" w:eastAsia="Arial" w:hAnsi="Arial"/>
                <w:sz w:val="18"/>
                <w:szCs w:val="18"/>
                <w:b w:val="1"/>
                <w:bCs w:val="1"/>
                <w:color w:val="auto"/>
              </w:rPr>
              <w:t>Net Loss Per Share</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578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20" w:type="dxa"/>
            <w:vAlign w:val="bottom"/>
            <w:gridSpan w:val="13"/>
          </w:tcPr>
          <w:p>
            <w:pPr>
              <w:ind w:left="440"/>
              <w:spacing w:after="0"/>
              <w:rPr>
                <w:sz w:val="20"/>
                <w:szCs w:val="20"/>
                <w:color w:val="auto"/>
              </w:rPr>
            </w:pPr>
            <w:r>
              <w:rPr>
                <w:rFonts w:ascii="Arial" w:cs="Arial" w:eastAsia="Arial" w:hAnsi="Arial"/>
                <w:sz w:val="18"/>
                <w:szCs w:val="18"/>
                <w:color w:val="auto"/>
                <w:w w:val="92"/>
              </w:rPr>
              <w:t>The following table sets forth the computation of basic and diluted net loss per share (in thousands, except per share data):</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24"/>
                <w:szCs w:val="24"/>
                <w:color w:val="auto"/>
              </w:rPr>
            </w:pPr>
          </w:p>
        </w:tc>
        <w:tc>
          <w:tcPr>
            <w:tcW w:w="17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5"/>
        </w:trPr>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Ended June 30,</w:t>
            </w:r>
          </w:p>
        </w:tc>
        <w:tc>
          <w:tcPr>
            <w:tcW w:w="140" w:type="dxa"/>
            <w:vAlign w:val="bottom"/>
          </w:tcPr>
          <w:p>
            <w:pPr>
              <w:spacing w:after="0"/>
              <w:rPr>
                <w:sz w:val="15"/>
                <w:szCs w:val="15"/>
                <w:color w:val="auto"/>
              </w:rPr>
            </w:pPr>
          </w:p>
        </w:tc>
        <w:tc>
          <w:tcPr>
            <w:tcW w:w="17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1"/>
              <w:spacing w:after="0" w:line="143"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3"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00"/>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(4,646)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(6,133)</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(11,070)</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(12,383)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gridSpan w:val="3"/>
            <w:vMerge w:val="restart"/>
          </w:tcPr>
          <w:p>
            <w:pPr>
              <w:ind w:left="160"/>
              <w:spacing w:after="0"/>
              <w:rPr>
                <w:sz w:val="20"/>
                <w:szCs w:val="20"/>
                <w:color w:val="auto"/>
              </w:rPr>
            </w:pPr>
            <w:r>
              <w:rPr>
                <w:rFonts w:ascii="Arial" w:cs="Arial" w:eastAsia="Arial" w:hAnsi="Arial"/>
                <w:sz w:val="18"/>
                <w:szCs w:val="18"/>
                <w:color w:val="auto"/>
              </w:rPr>
              <w:t>Basic and diluted:</w:t>
            </w:r>
          </w:p>
        </w:tc>
        <w:tc>
          <w:tcPr>
            <w:tcW w:w="12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5780" w:type="dxa"/>
            <w:vAlign w:val="bottom"/>
            <w:gridSpan w:val="3"/>
            <w:vMerge w:val="continue"/>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49,648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50,089</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780" w:type="dxa"/>
            <w:vAlign w:val="bottom"/>
            <w:gridSpan w:val="3"/>
            <w:vMerge w:val="restart"/>
          </w:tcPr>
          <w:p>
            <w:pPr>
              <w:ind w:left="160"/>
              <w:spacing w:after="0"/>
              <w:rPr>
                <w:sz w:val="20"/>
                <w:szCs w:val="20"/>
                <w:color w:val="auto"/>
              </w:rPr>
            </w:pPr>
            <w:r>
              <w:rPr>
                <w:rFonts w:ascii="Arial" w:cs="Arial" w:eastAsia="Arial" w:hAnsi="Arial"/>
                <w:sz w:val="18"/>
                <w:szCs w:val="18"/>
                <w:color w:val="auto"/>
              </w:rPr>
              <w:t>Shares used in computing net loss per share, basic and diluted</w:t>
            </w: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5780" w:type="dxa"/>
            <w:vAlign w:val="bottom"/>
            <w:gridSpan w:val="3"/>
            <w:vMerge w:val="continue"/>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49,648</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50,089</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49,516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(0.22)</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(0.25)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firstLine="438"/>
        <w:spacing w:after="0" w:line="259" w:lineRule="auto"/>
        <w:rPr>
          <w:sz w:val="20"/>
          <w:szCs w:val="20"/>
          <w:color w:val="auto"/>
        </w:rPr>
      </w:pPr>
      <w:r>
        <w:rPr>
          <w:rFonts w:ascii="Arial" w:cs="Arial" w:eastAsia="Arial" w:hAnsi="Arial"/>
          <w:sz w:val="18"/>
          <w:szCs w:val="18"/>
          <w:color w:val="auto"/>
        </w:rPr>
        <w:t>Our calculation of diluted loss per share excludes 5,400,995 and 6,445,341 shares of common stock issuable upon exercise of employee stock options as of June 30, 2007 and 2006, respectively, because their inclusion in the calculation would be anti-dilutive. As of June 30, 2007 and 2006, there was no common stock subject to repurchase.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2006 included in our 2006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in our 2006 Annual Report on Form 10-K for a discussion of items that may affect our future results.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to enable business continuity in the event of power disturbances. Our solutions provide ride-through, or temporary, power for the majority of power disturbances such as voltage sags and surges, and bridge the gap between a utility outage and restoration of power, or the time required to switch to generator power. Our products are designed to be environmentally friendly compared to existing solutions without compromising functionality, efficiency or cost. We have shipped over 1,600 flywheels or more than 400 megawatts of our products to businesses in over 40 countries since we were founded in 1992.</w:t>
      </w:r>
    </w:p>
    <w:p>
      <w:pPr>
        <w:spacing w:after="0" w:line="116" w:lineRule="exact"/>
        <w:rPr>
          <w:sz w:val="20"/>
          <w:szCs w:val="20"/>
          <w:color w:val="auto"/>
        </w:rPr>
      </w:pPr>
    </w:p>
    <w:p>
      <w:pPr>
        <w:ind w:firstLine="456"/>
        <w:spacing w:after="0" w:line="275"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 generators. We market our flywheel products under the brand name CleanSource</w:t>
      </w:r>
      <w:r>
        <w:rPr>
          <w:rFonts w:ascii="Arial" w:cs="Arial" w:eastAsia="Arial" w:hAnsi="Arial"/>
          <w:sz w:val="20"/>
          <w:szCs w:val="20"/>
          <w:color w:val="auto"/>
          <w:vertAlign w:val="superscript"/>
        </w:rPr>
        <w:t>®</w:t>
      </w:r>
      <w:r>
        <w:rPr>
          <w:rFonts w:ascii="Arial" w:cs="Arial" w:eastAsia="Arial" w:hAnsi="Arial"/>
          <w:sz w:val="16"/>
          <w:szCs w:val="16"/>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 The CleanSource UPS is also marketed by Caterpillar Inc. under the brand name “Cat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UPS”.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address the requirements of customers without backup generators that require protection from utility disturbances, we have also developed a patented</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extended runtime product that we call CoolAir</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third-party double-conversion UPS.</w:t>
      </w:r>
    </w:p>
    <w:p>
      <w:pPr>
        <w:spacing w:after="0" w:line="16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w:t>
      </w:r>
    </w:p>
    <w:p>
      <w:pPr>
        <w:spacing w:after="0" w:line="10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our condensed consolidated results of operations data, including data as a percentage of total revenue, for the periods indicated: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Three-months ended June 30: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5"/>
        </w:trPr>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8"/>
              </w:rPr>
              <w:t>Three months ended June 30,</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8"/>
              </w:rPr>
              <w:t>2007 vs.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1"/>
              </w:rPr>
              <w:t>% of total</w:t>
            </w: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 of total</w:t>
            </w:r>
          </w:p>
        </w:tc>
        <w:tc>
          <w:tcPr>
            <w:tcW w:w="4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00" w:type="dxa"/>
            <w:vAlign w:val="bottom"/>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400" w:type="dxa"/>
            <w:vAlign w:val="bottom"/>
          </w:tcPr>
          <w:p>
            <w:pPr>
              <w:spacing w:after="0"/>
              <w:rPr>
                <w:sz w:val="14"/>
                <w:szCs w:val="14"/>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$ 7,725</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$ 4,835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$2,890</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rPr>
              <w:t>826</w:t>
            </w:r>
          </w:p>
        </w:tc>
        <w:tc>
          <w:tcPr>
            <w:tcW w:w="2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6,469</w:t>
            </w:r>
          </w:p>
        </w:tc>
        <w:tc>
          <w:tcPr>
            <w:tcW w:w="140" w:type="dxa"/>
            <w:vAlign w:val="bottom"/>
          </w:tcPr>
          <w:p>
            <w:pPr>
              <w:spacing w:after="0"/>
              <w:rPr>
                <w:sz w:val="19"/>
                <w:szCs w:val="19"/>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560" w:type="dxa"/>
            <w:vAlign w:val="bottom"/>
          </w:tcPr>
          <w:p>
            <w:pPr>
              <w:jc w:val="right"/>
              <w:spacing w:after="0"/>
              <w:rPr>
                <w:sz w:val="20"/>
                <w:szCs w:val="20"/>
                <w:color w:val="auto"/>
              </w:rPr>
            </w:pPr>
            <w:r>
              <w:rPr>
                <w:rFonts w:ascii="Arial" w:cs="Arial" w:eastAsia="Arial" w:hAnsi="Arial"/>
                <w:sz w:val="18"/>
                <w:szCs w:val="18"/>
                <w:color w:val="auto"/>
              </w:rPr>
              <w:t>5,022</w:t>
            </w: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50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7,635</w:t>
            </w:r>
          </w:p>
        </w:tc>
        <w:tc>
          <w:tcPr>
            <w:tcW w:w="14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83%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5,589</w:t>
            </w: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500" w:type="dxa"/>
            <w:vAlign w:val="bottom"/>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NM</w:t>
            </w:r>
          </w:p>
        </w:tc>
        <w:tc>
          <w:tcPr>
            <w:tcW w:w="0" w:type="dxa"/>
            <w:vAlign w:val="bottom"/>
          </w:tcPr>
          <w:p>
            <w:pPr>
              <w:spacing w:after="0"/>
              <w:rPr>
                <w:sz w:val="1"/>
                <w:szCs w:val="1"/>
                <w:color w:val="auto"/>
              </w:rPr>
            </w:pPr>
          </w:p>
        </w:tc>
      </w:tr>
      <w:tr>
        <w:trPr>
          <w:trHeight w:val="322"/>
        </w:trPr>
        <w:tc>
          <w:tcPr>
            <w:tcW w:w="6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(35)%</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2,621</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29%</w:t>
            </w:r>
          </w:p>
        </w:tc>
        <w:tc>
          <w:tcPr>
            <w:tcW w:w="560" w:type="dxa"/>
            <w:vAlign w:val="bottom"/>
          </w:tcPr>
          <w:p>
            <w:pPr>
              <w:jc w:val="right"/>
              <w:spacing w:after="0"/>
              <w:rPr>
                <w:sz w:val="20"/>
                <w:szCs w:val="20"/>
                <w:color w:val="auto"/>
              </w:rPr>
            </w:pPr>
            <w:r>
              <w:rPr>
                <w:rFonts w:ascii="Arial" w:cs="Arial" w:eastAsia="Arial" w:hAnsi="Arial"/>
                <w:sz w:val="18"/>
                <w:szCs w:val="18"/>
                <w:color w:val="auto"/>
              </w:rPr>
              <w:t>2,621</w:t>
            </w:r>
          </w:p>
        </w:tc>
        <w:tc>
          <w:tcPr>
            <w:tcW w:w="2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6,403</w:t>
            </w:r>
          </w:p>
        </w:tc>
        <w:tc>
          <w:tcPr>
            <w:tcW w:w="14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(4,856)</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22"/>
        </w:trPr>
        <w:tc>
          <w:tcPr>
            <w:tcW w:w="65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(80)%</w:t>
            </w: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(6,133)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$1,487</w:t>
            </w:r>
          </w:p>
        </w:tc>
        <w:tc>
          <w:tcPr>
            <w:tcW w:w="26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Six-months ended June 30: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5"/>
              </w:rPr>
              <w:t>Six months ended June 30,</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2007 vs. 2006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 of total</w:t>
            </w: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 of total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$ 12,996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$ 3,117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640" w:type="dxa"/>
            <w:vAlign w:val="bottom"/>
          </w:tcPr>
          <w:p>
            <w:pPr>
              <w:jc w:val="right"/>
              <w:spacing w:after="0"/>
              <w:rPr>
                <w:sz w:val="20"/>
                <w:szCs w:val="20"/>
                <w:color w:val="auto"/>
              </w:rPr>
            </w:pPr>
            <w:r>
              <w:rPr>
                <w:rFonts w:ascii="Arial" w:cs="Arial" w:eastAsia="Arial" w:hAnsi="Arial"/>
                <w:sz w:val="18"/>
                <w:szCs w:val="18"/>
                <w:color w:val="auto"/>
              </w:rPr>
              <w:t>2,159</w:t>
            </w:r>
          </w:p>
        </w:tc>
        <w:tc>
          <w:tcPr>
            <w:tcW w:w="2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1,003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11,035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4,120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92%</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1,218</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11,380</w:t>
            </w: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10,162</w:t>
            </w:r>
          </w:p>
        </w:tc>
        <w:tc>
          <w:tcPr>
            <w:tcW w:w="88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102%</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1,966</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13,271</w:t>
            </w: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11,305</w:t>
            </w:r>
          </w:p>
        </w:tc>
        <w:tc>
          <w:tcPr>
            <w:tcW w:w="88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798%</w:t>
            </w:r>
          </w:p>
        </w:tc>
        <w:tc>
          <w:tcPr>
            <w:tcW w:w="0" w:type="dxa"/>
            <w:vAlign w:val="bottom"/>
          </w:tcPr>
          <w:p>
            <w:pPr>
              <w:spacing w:after="0"/>
              <w:rPr>
                <w:sz w:val="1"/>
                <w:szCs w:val="1"/>
                <w:color w:val="auto"/>
              </w:rPr>
            </w:pPr>
          </w:p>
        </w:tc>
      </w:tr>
      <w:tr>
        <w:trPr>
          <w:trHeight w:val="322"/>
        </w:trPr>
        <w:tc>
          <w:tcPr>
            <w:tcW w:w="6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(32)%</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640" w:type="dxa"/>
            <w:vAlign w:val="bottom"/>
          </w:tcPr>
          <w:p>
            <w:pPr>
              <w:jc w:val="right"/>
              <w:spacing w:after="0"/>
              <w:rPr>
                <w:sz w:val="20"/>
                <w:szCs w:val="20"/>
                <w:color w:val="auto"/>
              </w:rPr>
            </w:pPr>
            <w:r>
              <w:rPr>
                <w:rFonts w:ascii="Arial" w:cs="Arial" w:eastAsia="Arial" w:hAnsi="Arial"/>
                <w:sz w:val="18"/>
                <w:szCs w:val="18"/>
                <w:color w:val="auto"/>
              </w:rPr>
              <w:t>5,246</w:t>
            </w:r>
          </w:p>
        </w:tc>
        <w:tc>
          <w:tcPr>
            <w:tcW w:w="2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5,306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1,581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120%</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142</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13,363</w:t>
            </w:r>
          </w:p>
        </w:tc>
        <w:tc>
          <w:tcPr>
            <w:tcW w:w="24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13,221</w:t>
            </w:r>
          </w:p>
        </w:tc>
        <w:tc>
          <w:tcPr>
            <w:tcW w:w="88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(11,479)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(13,491)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2"/>
        </w:trPr>
        <w:tc>
          <w:tcPr>
            <w:tcW w:w="63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(416)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(54)%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(85)%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(112%)</w:t>
            </w: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$ 1,313</w:t>
            </w: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(11,070)</w:t>
            </w:r>
          </w:p>
        </w:tc>
        <w:tc>
          <w:tcPr>
            <w:tcW w:w="1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(12,383)</w:t>
            </w:r>
          </w:p>
        </w:tc>
        <w:tc>
          <w:tcPr>
            <w:tcW w:w="88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Product revenue. </w:t>
      </w:r>
      <w:r>
        <w:rPr>
          <w:rFonts w:ascii="Arial" w:cs="Arial" w:eastAsia="Arial" w:hAnsi="Arial"/>
          <w:sz w:val="16"/>
          <w:szCs w:val="16"/>
          <w:color w:val="auto"/>
        </w:rPr>
        <w:t>Product revenue consists of sales of our CleanSource power quality products, comprising both UPS and DC product lines, CoolAir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family products, and sales of third-party ancillary equipment, such as engine generators, electrical and switchgear products.</w:t>
      </w:r>
    </w:p>
    <w:p>
      <w:pPr>
        <w:spacing w:after="0" w:line="85"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60% increase in product revenue in our second quarter of 2007 from the same period of 2006 was due to higher sales of our megawatt-class UPS product line and from increased sales of our CleanSource DC products, as well as increased sales of ancillary equipment that we sold along with our major product lines. Strong sales of our 250-900 kVA UPS product family represented 37% of our total product revenue during our second quarter. Our effort to develop direct sales in new markets has led to continued growth from our direct sales channel. When we sell product directly, as compared to through our OEM channels, we typically generate higher prices and better contribution margins as we do not have to offer channel discounts. The average selling price during the quarter was $69,000 per quarter-megawatt flywheel, compared to $71,000 over the same period in 2006. This decrease is due to the higher proportion of DC wheels sold in 2007, which typically sell for lower prices. During the quarter ended June 30, 2007 we sold 81 flywheel units compared to 57 in the comparable period of 2006.</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frequency and timing of our larger system sales, including megawatt class UPS products, is more volatile and can result in material changes in period-to-period revenue. Such revenues also occur in periods other than when originally anticipated, which can add to the potential volatility and affect our ability to meet forecasted targets.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North American sales were 66% of our total revenue for the three-month period ended June 30, 2006 compared to 54% for the same period of 2006, and 60% in the immediately preceding quarter.</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During the first quarter of 2007 we opened our first office in the Asia Pacific region, located in Tokyo. We also plan on expanding into Central America in 2007. Sales of Active Power branded products through our direct and manufacturer’s representative channels were 67% of our total revenues for the three-month period ended June 30, 2007 compared to 63% for the same period of 2006. For the six months ended June 30, 2007, sales of Active Power branded products were 71% of total revenues compared to 49% in 2006, reflecting the impact of this direct sales strategy. Direct sales typically have higher profit margins than sales through our OEM channels; therefore, increasing our direct sales channel is expected to result in increased revenue and improved profit margins. We believe sales of our Active Power branded products to government facilities and industrial customers in regions that were not covered by our OEMs will continue to increase over time and will continue to become a larger percentage of our total revenue.</w:t>
      </w:r>
    </w:p>
    <w:p>
      <w:pPr>
        <w:spacing w:after="0" w:line="12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Caterpillar remains our largest OEM partner and largest overall customer and represented 32% of our revenue for the three-month period ended June 30, 2007 compared to 36% of our revenue for the three-month period ended June 30, 2006. We have had recent success with Caterpillar selling our megawatt-class UPS products along with their large engine generators, and expect total revenue from this channel to continue to increase in 2007.</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2007. We have also seen and anticipate a further increase in capital spending in data centers where there is a requirement for higher-density power solutions such as flywheels, and believe that this along with our expanding direct sales strategy will result in higher product revenue levels for us in 2007.</w:t>
      </w:r>
    </w:p>
    <w:p>
      <w:pPr>
        <w:spacing w:after="0" w:line="144"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Service and spares revenue. </w:t>
      </w:r>
      <w:r>
        <w:rPr>
          <w:rFonts w:ascii="Arial" w:cs="Arial" w:eastAsia="Arial" w:hAnsi="Arial"/>
          <w:sz w:val="16"/>
          <w:szCs w:val="16"/>
          <w:color w:val="auto"/>
        </w:rPr>
        <w:t>Service and spares revenue primarily relates to revenue generated from installation, startup, repairs or reconfigurations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or power systems and the sale of spare or replacement parts to our OEM and end-user customers. It also includes revenue associated with the costs of travel of our service personnel. Service and spares revenue increased by 131% for the three-month period ended June 30, 2007 compared to the same prior year period. This increase is primarily due to higher levels of service and contract work from direct product sales that we have made during the last two quarters. For some of these customers we provide a full power solution, including site preparation, installation of an entire power solution and provision of all products required to provide a turnkey product to the end user. Our installation revenue continues to increase as we sell more units. We also are more aggressively selling long-term maintenance contracts to customers in addition to providing repair and maintenance services when requested. We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 of services to their end-user customers.</w:t>
      </w:r>
    </w:p>
    <w:p>
      <w:pPr>
        <w:spacing w:after="0" w:line="12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includes the cost of component parts of our products that are sourced from suppliers,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costs associated with our assembly and test operations, including costs from having underutilized facilities, shipping costs, warranty costs, and the costs of manufacturing support functions such as logistics and quality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assurance. The cost of product revenue as a percentage of total product revenue in the three-month period ended June 30, 2007 decreased by 19% compared to the comparable period in 2006 due to the effect of higher selling prices, improved efficiency in our manufacturing operations and material and overhead costs reductions. In addition to more frequently passing component price increases on to customers, we have instituted programs to reduce product and component costs where feasible, and this has resulted in a decrease in materials costs as a percentage of product revenue. We continue to operate a manufacturing facility that has a capacity level significantly greater than our current product revenue levels. A large portion of the costs involved in operating our manufacturing facility are fixed in nature and we incur approximately $1.2 million to $1.5 million in unabsorbed overhead each quarter. We reduced our manufacturing staff levels in 2006 and have continued to reduce our overhead levels where feasible. During this quarter we were able to sublease a portion of our manufacturing and office space to help further reduce our manufacturing overhead levels and continue to work on other cost reduction activities that we expect to implement in 2007. We also continue to work on reducing our product costs through design enhancements and modifications, and vendor management programs. We have achieved gross-margin break-even in the last four quarters; however, our accomplishment of gross-margin break even is heavily dependent upon our sales channel mix and the effectiveness of our product pricing to our customers. Our ability to maintain positive product gross margin will depend on multiple factors, including our ability to continue to reduce material costs, improve our sales channel mix in favor of direct sales versus OEM, our ability to increase product prices, and to increase our total revenues to a level that will allow us to improve the utilization of our manufacturing operations.</w:t>
      </w:r>
    </w:p>
    <w:p>
      <w:pPr>
        <w:spacing w:after="0" w:line="12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Cost of service and spares revenue. </w:t>
      </w:r>
      <w:r>
        <w:rPr>
          <w:rFonts w:ascii="Arial" w:cs="Arial" w:eastAsia="Arial" w:hAnsi="Arial"/>
          <w:sz w:val="18"/>
          <w:szCs w:val="18"/>
          <w:color w:val="auto"/>
        </w:rPr>
        <w:t>Cost of service and spares revenue includes the cost of component parts, as well as labor and overhead of our spare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parts, direct costs of installation projects, costs associated with travel and labor used in servicing a unit and unabsorbed overhead from the service group. The cost of service and spares revenue decreased to 80% of service and spares revenue in the three-month period ended of June 30, 2007 compared to 90% in the same period of 2006. This decrease reflects better utilization of our service personnel, improved pricing for service, and higher margins on contract work compared to the prior period.</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were $725,000 or 35% lower than the second quarter of 2006, and were $258,000 or 16% lower than the preceding quarter. The major reason for the decrease from 2006 was due to the effect of headcount reductions that the Company made in the third quarter of 2006, and due to lower project related development costs this year. The prior year expenses included higher prototype and development costs for our CoolAir DC product and costs incurred in paralleling our megawatt-class UPS product. We believe research and development expenses in the second quarter will stay at similar levels to those recorded in the second quarter.</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primarily comprise compensation, including variable sales compensation, and related costs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and marketing personnel, and related travel, selling and marketing expenses, as well as an allocated portion of our occupancy costs. Sales and marketing costs were the same as the amounts recorded in the second quarter of 2006, and were approximately the same as the immediately preceding quarter. Although the total amount of expenditure has remained relatively constant, the mix of expenditure has changed as we moved marketing and sales personnel and costs away from supporting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our OEM channels and focused on higher marketing expenditures to support our direct sales force, re-branding of the Company’s collateral and other direct sales activities as part of our effort to facilitate more direct sales. As we have added more sales distributors this has increased the amount of sales commissions that we pay, as has the overall increase in revenues. Our total headcount in sales and marketing remains at similar levels to last quarter, although we have changed the composition of our sales team over the last year as we expand our direct sales force. We believe that sales and marketing expenses will increase slightly in the third quarter as we expand into the Asia and central American markets and as our revenue levels increase and our variable compensation increases.</w:t>
      </w:r>
    </w:p>
    <w:p>
      <w:pPr>
        <w:spacing w:after="0" w:line="10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 is primarily comprised of compensation and related costs for executive and administrative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personnel, professional fees, and taxes, including property and franchise taxes. General and administrative expenses increased by $483,000 or 24% from the levels of the same period in 2006 and decreased by 11% or $295,000 from the immediately preceding quarter. This increase from last year was primarily attributable to $1.2 million of professional fees incurred with a review of the Company’s historical stock option granting procedures that covered the period from 2000 through 2006. This was offset by lower headcount costs compared to 2006 and approximately $300,000 in legal fees recorded in 2006 relating to litigation that was ultimately settled in December 2006. The decrease from the immediately preceding quarter was due to lower professional fees incurred with the review of historical stock option granting procedures which was substantially completed in the second quarter of 2007. We expect general and administrative expenses to decrease from the current level in the next quarter as we believe most of the work associated with the option review has been completed; however, the amount of professional fees relating to the option review remains unknown and will be influenced by the number and extent of regulatory reviews and/or litigation that may occur as a result of this investigation. The Company is currently in the process of negotiating to settle outstanding tax matters emanating from the option review with the Internal Revenue Service, and will record additional expense to cover tax obligations for certain employees who were affected by the option review who were not responsible for the problematic practices uncovered by this review. We will record these expenses at the time we legally finalize those obligations for our employees. Absent the impact of such expenses from the option review, the level of general and administrative expenses should stay at similar levels.</w:t>
      </w:r>
    </w:p>
    <w:p>
      <w:pPr>
        <w:spacing w:after="0" w:line="11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has decreased from $382,000 in 2006 to $159,000 in the three-month periods ended June 30, 2007. This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our average cash and investments balance compared to the prior year as the Company has used its investments to fund operations. Our average cash and investments balance over the three month period ending June 30, 2007 has decreased by approximately $20.3 million or 58% compared to the average balance over the comparable period ending June 30, 2006.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in the corresponding quarter of 2006 included cost recoveries from annual audits of our real estate leases.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principal sources of liquidity as of June 30, 2007 consisted of $12.5 million of cash and investments. We have primarily funded our operations through public and private placements of our common stock as well as $10.0 million in development funding received from Caterpillar since 1999, and from our product, service and spares revenue. Although we believe that our cash and investments on hand will be sufficient to fund our operations through at least the middle of 2008, it is likely that the Company will raise additional funds before the end of 2007, either through future equity or debt offerings, in order to continue to fund and grow its business beyond that date and to ensure that we have adequate cash reserves. The Company also entered a letter of intent with its primary banker in July 2007 for the bank to provide a $5 million revolving line of credit facility against eligible receivables and inventory, to help fund our working capital requirements.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200" w:type="dxa"/>
            <w:vAlign w:val="bottom"/>
          </w:tcPr>
          <w:p>
            <w:pPr>
              <w:spacing w:after="0"/>
              <w:rPr>
                <w:sz w:val="14"/>
                <w:szCs w:val="14"/>
                <w:color w:val="auto"/>
              </w:rPr>
            </w:pPr>
          </w:p>
        </w:tc>
        <w:tc>
          <w:tcPr>
            <w:tcW w:w="960" w:type="dxa"/>
            <w:vAlign w:val="bottom"/>
            <w:gridSpan w:val="2"/>
          </w:tcPr>
          <w:p>
            <w:pPr>
              <w:ind w:left="340"/>
              <w:spacing w:after="0"/>
              <w:rPr>
                <w:sz w:val="20"/>
                <w:szCs w:val="20"/>
                <w:color w:val="auto"/>
              </w:rPr>
            </w:pPr>
            <w:r>
              <w:rPr>
                <w:rFonts w:ascii="Arial" w:cs="Arial" w:eastAsia="Arial" w:hAnsi="Arial"/>
                <w:sz w:val="14"/>
                <w:szCs w:val="14"/>
                <w:b w:val="1"/>
                <w:bCs w:val="1"/>
                <w:color w:val="auto"/>
              </w:rPr>
              <w:t>Variance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612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spacing w:after="0"/>
              <w:rPr>
                <w:sz w:val="15"/>
                <w:szCs w:val="15"/>
                <w:color w:val="auto"/>
              </w:rPr>
            </w:pPr>
          </w:p>
        </w:tc>
        <w:tc>
          <w:tcPr>
            <w:tcW w:w="13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5"/>
                <w:szCs w:val="15"/>
                <w:color w:val="auto"/>
              </w:rPr>
            </w:pP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2007 vs. 2006</w:t>
            </w:r>
          </w:p>
        </w:tc>
      </w:tr>
      <w:tr>
        <w:trPr>
          <w:trHeight w:val="142"/>
        </w:trPr>
        <w:tc>
          <w:tcPr>
            <w:tcW w:w="6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6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6"/>
              </w:rPr>
              <w:t>$(7,664)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(10,923)</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$(3,259)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(30%)</w:t>
            </w: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used in operating activities decreased by 30% compared to the same period of 2006. This is primarily attributable to lower operating losses, lower levels of stock-based compensation, a $2 million increase in accrued liabilities relating to professional fees associated with the stock option review and higher deferred revenue from maintenance contracts. These were offset by increases in receivables from our higher sales levels and higher inventories as we manufacture goods for third quarter shipment. We anticipate cash used in operating activities to increase in the third quarter as we discharge the liabilities from the stock option review, reach settlement of the related income tax liabilities, and record an expected increase in receivables due to anticipated higher revenues.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$433,000 in the six-month period ending June 30, 2007 compared to $1.4 million in the same period of 2006.</w:t>
      </w:r>
    </w:p>
    <w:p>
      <w:pPr>
        <w:spacing w:after="0" w:line="140"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Funds provided by financing activities during the six-months ended June 30, 2006 reflect proceeds from employee share purchases. The significant decrease in funds from financing activities compared to the comparable period of 2006 is due to the fact that during the second quarter of 2006 we had significantly higher levels of stock option exercises because of a much higher stock price for the Company’s common stock.</w:t>
      </w:r>
    </w:p>
    <w:p>
      <w:pPr>
        <w:spacing w:after="0" w:line="10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noted above, we believe our existing cash and investments balances at June 30, 2007 will be sufficient to meet our cash requirements through at least the next 12 months, although we likely will elect to seek additional funding prior to that time. Beyond the next 12 months, our cash requirements will depend on many factors, including the rate of sales growth, the success of our direct selling strategy, the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2007 we have no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September 2006 the FASB issued Statement of Financial Accounting Standards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$100,000.</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international sales are made primarily in U.S. dollars. Those sales in currencies other than U.S. dollars can result in translation gains and losses. As we increase sales in foreign markets, we anticipate making more sales denominated in foreign currencies, primarily euro and pounds sterling. Currently, we do not engage in hedging activities for the collection of foreign currency receivables in our international operations. However, we may engage in hedging activities in the future.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 “Risk Factors” in our 2006 Annual Report on Form 10-K. Accordingly, our future results could be materially harmed by the actual occurrence of any of these or other risks.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900" w:right="60" w:hanging="446"/>
        <w:spacing w:after="0" w:line="314"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u w:val="single" w:color="auto"/>
          <w:color w:val="auto"/>
        </w:rPr>
        <w:t>Evaluation of disclosure controls and procedures</w:t>
      </w:r>
      <w:r>
        <w:rPr>
          <w:rFonts w:ascii="Arial" w:cs="Arial" w:eastAsia="Arial" w:hAnsi="Arial"/>
          <w:sz w:val="15"/>
          <w:szCs w:val="15"/>
          <w:color w:val="auto"/>
        </w:rPr>
        <w:t>. 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June 30, 2007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3" w:lineRule="exact"/>
        <w:rPr>
          <w:rFonts w:ascii="Arial" w:cs="Arial" w:eastAsia="Arial" w:hAnsi="Arial"/>
          <w:sz w:val="15"/>
          <w:szCs w:val="15"/>
          <w:color w:val="auto"/>
        </w:rPr>
      </w:pPr>
    </w:p>
    <w:p>
      <w:pPr>
        <w:ind w:left="900" w:right="1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three months ended June 30, 2007 there was no change in our internal control over financial reporting that occurred that has materially affected, or that we believe is reasonably likely to materially affect, our internal control over financial reporting.</w:t>
      </w:r>
    </w:p>
    <w:p>
      <w:pPr>
        <w:spacing w:after="0" w:line="126"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 16 —</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voluntarily contacted the United States Securities and Exchange Commission (SEC) regarding the Special Committee’s investigation into our stock option granting practices and have agreed to share the results of the Special Committee with the SEC. We have received requests for voluntary production of documents from the SEC and we are fully cooperating with the SEC.</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believe that we have made appropriate judgments in concluding the correct measurement dates for stock option grants and option modifications, the SEC may disagree with the manner in which we have accounted for and reported, or not reported, the financial impact of past stock option grant measurement date and option modification errors, and there is a risk that any SEC inquiry could lead to circumstances in which we may have to further restate our prior financial statements, or otherwise take actions not currently contemplated. Any such circumstances could also lead to future delays in filing our subsequent SEC reports and possible delisting of our stock from The Nasdaq Global Market. Furthermore, if we are subject to adverse findings in any of these other matters, we could be required to pay damages or penalties or have other remedies imposed upon us which could harm our business, financial condition, results of operations and cash flows.</w:t>
      </w:r>
    </w:p>
    <w:p>
      <w:pPr>
        <w:spacing w:after="0" w:line="147"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Additionally, we believe there is a possibility that the matters relating to the investigation by the Special Committee of our Board of Directors into our stock option granting practices and the restatement of our consolidated financial statements for the years 2001 through September 2006 may result in future litigation or formal regulatory inquiries, although we are not aware of any such pending litigation or formal regulatory inquiries.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2006 Annual Report on Form 10-K before making a decision to invest in our common stock or in evaluating Active Power and our business. The risks and uncertainties described in our 2006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2006 Annual Report on Form 10-K could materially harm our business, financial condition and results of operations. In that case, the trading price of our common stock could decline.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our annual meeting of stockholders held on June 28, 2007, our stockholders voted on the following matters:</w:t>
      </w:r>
    </w:p>
    <w:p>
      <w:pPr>
        <w:spacing w:after="0" w:line="90" w:lineRule="exact"/>
        <w:rPr>
          <w:sz w:val="20"/>
          <w:szCs w:val="20"/>
          <w:color w:val="auto"/>
        </w:rPr>
      </w:pPr>
    </w:p>
    <w:p>
      <w:pPr>
        <w:ind w:right="10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III directors to serve until our 2010 annual meeting or until their successors have been elected and qualified. The nominees of the board of directors were elected by the following vote: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 III Director</w:t>
            </w:r>
          </w:p>
        </w:tc>
        <w:tc>
          <w:tcPr>
            <w:tcW w:w="2040" w:type="dxa"/>
            <w:vAlign w:val="bottom"/>
          </w:tcPr>
          <w:p>
            <w:pPr>
              <w:spacing w:after="0"/>
              <w:rPr>
                <w:sz w:val="15"/>
                <w:szCs w:val="15"/>
                <w:color w:val="auto"/>
              </w:rPr>
            </w:pPr>
          </w:p>
        </w:tc>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Shares Voted in Favor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85"/>
              </w:rPr>
              <w:t>Shares Withheld</w:t>
            </w:r>
          </w:p>
        </w:tc>
      </w:tr>
      <w:tr>
        <w:trPr>
          <w:trHeight w:val="195"/>
        </w:trPr>
        <w:tc>
          <w:tcPr>
            <w:tcW w:w="3240" w:type="dxa"/>
            <w:vAlign w:val="bottom"/>
          </w:tcPr>
          <w:p>
            <w:pPr>
              <w:jc w:val="center"/>
              <w:spacing w:after="0" w:line="195" w:lineRule="exact"/>
              <w:rPr>
                <w:sz w:val="20"/>
                <w:szCs w:val="20"/>
                <w:color w:val="auto"/>
              </w:rPr>
            </w:pPr>
            <w:r>
              <w:rPr>
                <w:rFonts w:ascii="Arial" w:cs="Arial" w:eastAsia="Arial" w:hAnsi="Arial"/>
                <w:sz w:val="18"/>
                <w:szCs w:val="18"/>
                <w:color w:val="auto"/>
                <w:w w:val="89"/>
              </w:rPr>
              <w:t>Richard E. Anderson</w:t>
            </w:r>
          </w:p>
        </w:tc>
        <w:tc>
          <w:tcPr>
            <w:tcW w:w="2040" w:type="dxa"/>
            <w:vAlign w:val="bottom"/>
          </w:tcPr>
          <w:p>
            <w:pPr>
              <w:spacing w:after="0"/>
              <w:rPr>
                <w:sz w:val="16"/>
                <w:szCs w:val="16"/>
                <w:color w:val="auto"/>
              </w:rPr>
            </w:pPr>
          </w:p>
        </w:tc>
        <w:tc>
          <w:tcPr>
            <w:tcW w:w="1280" w:type="dxa"/>
            <w:vAlign w:val="bottom"/>
            <w:tcBorders>
              <w:top w:val="single" w:sz="8" w:color="auto"/>
            </w:tcBorders>
          </w:tcPr>
          <w:p>
            <w:pPr>
              <w:ind w:left="500"/>
              <w:spacing w:after="0" w:line="195" w:lineRule="exact"/>
              <w:rPr>
                <w:sz w:val="20"/>
                <w:szCs w:val="20"/>
                <w:color w:val="auto"/>
              </w:rPr>
            </w:pPr>
            <w:r>
              <w:rPr>
                <w:rFonts w:ascii="Arial" w:cs="Arial" w:eastAsia="Arial" w:hAnsi="Arial"/>
                <w:sz w:val="18"/>
                <w:szCs w:val="18"/>
                <w:color w:val="auto"/>
                <w:w w:val="84"/>
              </w:rPr>
              <w:t>23,138,750</w:t>
            </w:r>
          </w:p>
        </w:tc>
        <w:tc>
          <w:tcPr>
            <w:tcW w:w="206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13,439,184</w:t>
            </w:r>
          </w:p>
        </w:tc>
      </w:tr>
      <w:tr>
        <w:trPr>
          <w:trHeight w:val="216"/>
        </w:trPr>
        <w:tc>
          <w:tcPr>
            <w:tcW w:w="324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5380" w:type="dxa"/>
            <w:vAlign w:val="bottom"/>
            <w:gridSpan w:val="3"/>
          </w:tcPr>
          <w:p>
            <w:pPr>
              <w:ind w:left="2540"/>
              <w:spacing w:after="0"/>
              <w:rPr>
                <w:sz w:val="20"/>
                <w:szCs w:val="20"/>
                <w:color w:val="auto"/>
              </w:rPr>
            </w:pPr>
            <w:r>
              <w:rPr>
                <w:rFonts w:ascii="Arial" w:cs="Arial" w:eastAsia="Arial" w:hAnsi="Arial"/>
                <w:sz w:val="18"/>
                <w:szCs w:val="18"/>
                <w:color w:val="auto"/>
              </w:rPr>
              <w:t>24,766,967</w:t>
            </w:r>
          </w:p>
        </w:tc>
        <w:tc>
          <w:tcPr>
            <w:tcW w:w="960" w:type="dxa"/>
            <w:vAlign w:val="bottom"/>
          </w:tcPr>
          <w:p>
            <w:pPr>
              <w:jc w:val="right"/>
              <w:spacing w:after="0"/>
              <w:rPr>
                <w:sz w:val="20"/>
                <w:szCs w:val="20"/>
                <w:color w:val="auto"/>
              </w:rPr>
            </w:pPr>
            <w:r>
              <w:rPr>
                <w:rFonts w:ascii="Arial" w:cs="Arial" w:eastAsia="Arial" w:hAnsi="Arial"/>
                <w:sz w:val="18"/>
                <w:szCs w:val="18"/>
                <w:color w:val="auto"/>
              </w:rPr>
              <w:t>11,810,967</w:t>
            </w:r>
          </w:p>
        </w:tc>
      </w:tr>
      <w:tr>
        <w:trPr>
          <w:trHeight w:val="222"/>
        </w:trPr>
        <w:tc>
          <w:tcPr>
            <w:tcW w:w="3240" w:type="dxa"/>
            <w:vAlign w:val="bottom"/>
          </w:tcPr>
          <w:p>
            <w:pPr>
              <w:jc w:val="center"/>
              <w:spacing w:after="0"/>
              <w:rPr>
                <w:sz w:val="20"/>
                <w:szCs w:val="20"/>
                <w:color w:val="auto"/>
              </w:rPr>
            </w:pPr>
            <w:r>
              <w:rPr>
                <w:rFonts w:ascii="Arial" w:cs="Arial" w:eastAsia="Arial" w:hAnsi="Arial"/>
                <w:sz w:val="18"/>
                <w:szCs w:val="18"/>
                <w:color w:val="auto"/>
                <w:w w:val="90"/>
              </w:rPr>
              <w:t>Benjamin Scott</w:t>
            </w:r>
          </w:p>
        </w:tc>
        <w:tc>
          <w:tcPr>
            <w:tcW w:w="5380" w:type="dxa"/>
            <w:vAlign w:val="bottom"/>
            <w:gridSpan w:val="3"/>
          </w:tcPr>
          <w:p>
            <w:pPr>
              <w:ind w:left="2540"/>
              <w:spacing w:after="0"/>
              <w:rPr>
                <w:sz w:val="20"/>
                <w:szCs w:val="20"/>
                <w:color w:val="auto"/>
              </w:rPr>
            </w:pPr>
            <w:r>
              <w:rPr>
                <w:rFonts w:ascii="Arial" w:cs="Arial" w:eastAsia="Arial" w:hAnsi="Arial"/>
                <w:sz w:val="18"/>
                <w:szCs w:val="18"/>
                <w:color w:val="auto"/>
              </w:rPr>
              <w:t>26,145,630</w:t>
            </w:r>
          </w:p>
        </w:tc>
        <w:tc>
          <w:tcPr>
            <w:tcW w:w="960" w:type="dxa"/>
            <w:vAlign w:val="bottom"/>
          </w:tcPr>
          <w:p>
            <w:pPr>
              <w:jc w:val="right"/>
              <w:spacing w:after="0"/>
              <w:rPr>
                <w:sz w:val="20"/>
                <w:szCs w:val="20"/>
                <w:color w:val="auto"/>
              </w:rPr>
            </w:pPr>
            <w:r>
              <w:rPr>
                <w:rFonts w:ascii="Arial" w:cs="Arial" w:eastAsia="Arial" w:hAnsi="Arial"/>
                <w:sz w:val="18"/>
                <w:szCs w:val="18"/>
                <w:color w:val="auto"/>
              </w:rPr>
              <w:t>10,432,304</w:t>
            </w:r>
          </w:p>
        </w:tc>
      </w:tr>
    </w:tbl>
    <w:p>
      <w:pPr>
        <w:spacing w:after="0" w:line="156" w:lineRule="exact"/>
        <w:rPr>
          <w:sz w:val="20"/>
          <w:szCs w:val="20"/>
          <w:color w:val="auto"/>
        </w:rPr>
      </w:pPr>
    </w:p>
    <w:p>
      <w:pPr>
        <w:ind w:right="18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appointment of Ernst &amp; Young LLP as independent auditors for the fiscal year ending December 31, 2007. The appointment was approved by the following vote: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240" w:type="dxa"/>
            <w:vAlign w:val="bottom"/>
          </w:tcPr>
          <w:p>
            <w:pPr>
              <w:spacing w:after="0"/>
              <w:rPr>
                <w:sz w:val="14"/>
                <w:szCs w:val="14"/>
                <w:color w:val="auto"/>
              </w:rPr>
            </w:pPr>
          </w:p>
        </w:tc>
        <w:tc>
          <w:tcPr>
            <w:tcW w:w="3120" w:type="dxa"/>
            <w:vAlign w:val="bottom"/>
            <w:gridSpan w:val="2"/>
          </w:tcPr>
          <w:p>
            <w:pPr>
              <w:jc w:val="right"/>
              <w:ind w:right="2480"/>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spacing w:after="0"/>
              <w:rPr>
                <w:sz w:val="14"/>
                <w:szCs w:val="14"/>
                <w:color w:val="auto"/>
              </w:rPr>
            </w:pPr>
          </w:p>
        </w:tc>
      </w:tr>
      <w:tr>
        <w:trPr>
          <w:trHeight w:val="181"/>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Voted in Favor</w:t>
            </w:r>
          </w:p>
        </w:tc>
        <w:tc>
          <w:tcPr>
            <w:tcW w:w="2240" w:type="dxa"/>
            <w:vAlign w:val="bottom"/>
          </w:tcPr>
          <w:p>
            <w:pPr>
              <w:spacing w:after="0"/>
              <w:rPr>
                <w:sz w:val="15"/>
                <w:szCs w:val="15"/>
                <w:color w:val="auto"/>
              </w:rPr>
            </w:pPr>
          </w:p>
        </w:tc>
        <w:tc>
          <w:tcPr>
            <w:tcW w:w="3120" w:type="dxa"/>
            <w:vAlign w:val="bottom"/>
            <w:gridSpan w:val="2"/>
          </w:tcPr>
          <w:p>
            <w:pPr>
              <w:jc w:val="right"/>
              <w:ind w:right="2240"/>
              <w:spacing w:after="0"/>
              <w:rPr>
                <w:sz w:val="20"/>
                <w:szCs w:val="20"/>
                <w:color w:val="auto"/>
              </w:rPr>
            </w:pPr>
            <w:r>
              <w:rPr>
                <w:rFonts w:ascii="Arial" w:cs="Arial" w:eastAsia="Arial" w:hAnsi="Arial"/>
                <w:sz w:val="14"/>
                <w:szCs w:val="14"/>
                <w:b w:val="1"/>
                <w:bCs w:val="1"/>
                <w:color w:val="auto"/>
                <w:w w:val="83"/>
              </w:rPr>
              <w:t>Voted Opposed</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4"/>
              </w:rPr>
              <w:t>Shares Abstaining</w:t>
            </w:r>
          </w:p>
        </w:tc>
      </w:tr>
      <w:tr>
        <w:trPr>
          <w:trHeight w:val="209"/>
        </w:trPr>
        <w:tc>
          <w:tcPr>
            <w:tcW w:w="3160" w:type="dxa"/>
            <w:vAlign w:val="bottom"/>
          </w:tcPr>
          <w:p>
            <w:pPr>
              <w:jc w:val="center"/>
              <w:spacing w:after="0" w:line="202" w:lineRule="exact"/>
              <w:rPr>
                <w:sz w:val="20"/>
                <w:szCs w:val="20"/>
                <w:color w:val="auto"/>
              </w:rPr>
            </w:pPr>
            <w:r>
              <w:rPr>
                <w:rFonts w:ascii="Arial" w:cs="Arial" w:eastAsia="Arial" w:hAnsi="Arial"/>
                <w:sz w:val="18"/>
                <w:szCs w:val="18"/>
                <w:color w:val="auto"/>
                <w:w w:val="86"/>
              </w:rPr>
              <w:t>30,811,321</w:t>
            </w:r>
          </w:p>
        </w:tc>
        <w:tc>
          <w:tcPr>
            <w:tcW w:w="2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103,112</w:t>
            </w:r>
          </w:p>
        </w:tc>
        <w:tc>
          <w:tcPr>
            <w:tcW w:w="224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5,663,500</w:t>
            </w:r>
          </w:p>
        </w:tc>
      </w:tr>
      <w:tr>
        <w:trPr>
          <w:trHeight w:val="356"/>
        </w:trPr>
        <w:tc>
          <w:tcPr>
            <w:tcW w:w="3160" w:type="dxa"/>
            <w:vAlign w:val="bottom"/>
          </w:tcPr>
          <w:p>
            <w:pPr>
              <w:spacing w:after="0"/>
              <w:rPr>
                <w:sz w:val="24"/>
                <w:szCs w:val="24"/>
                <w:color w:val="auto"/>
              </w:rPr>
            </w:pPr>
          </w:p>
        </w:tc>
        <w:tc>
          <w:tcPr>
            <w:tcW w:w="5360" w:type="dxa"/>
            <w:vAlign w:val="bottom"/>
            <w:gridSpan w:val="3"/>
          </w:tcPr>
          <w:p>
            <w:pPr>
              <w:jc w:val="right"/>
              <w:ind w:right="3420"/>
              <w:spacing w:after="0"/>
              <w:rPr>
                <w:sz w:val="20"/>
                <w:szCs w:val="20"/>
                <w:color w:val="auto"/>
              </w:rPr>
            </w:pPr>
            <w:r>
              <w:rPr>
                <w:rFonts w:ascii="Arial" w:cs="Arial" w:eastAsia="Arial" w:hAnsi="Arial"/>
                <w:sz w:val="18"/>
                <w:szCs w:val="18"/>
                <w:color w:val="auto"/>
              </w:rPr>
              <w:t>— 18 —</w:t>
            </w:r>
          </w:p>
        </w:tc>
        <w:tc>
          <w:tcPr>
            <w:tcW w:w="10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1600" w:right="300" w:hanging="586"/>
        <w:spacing w:after="0" w:line="268" w:lineRule="auto"/>
        <w:tabs>
          <w:tab w:leader="none" w:pos="1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(filed as Exhibit 3.1 to Active Power’s IPO Registration Statement on Form S-1 (File No.333-36946))</w:t>
      </w:r>
    </w:p>
    <w:p>
      <w:pPr>
        <w:spacing w:after="0" w:line="78" w:lineRule="exact"/>
        <w:rPr>
          <w:sz w:val="20"/>
          <w:szCs w:val="20"/>
          <w:color w:val="auto"/>
        </w:rPr>
      </w:pPr>
    </w:p>
    <w:p>
      <w:pPr>
        <w:ind w:left="1020"/>
        <w:spacing w:after="0"/>
        <w:tabs>
          <w:tab w:leader="none" w:pos="1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Second Amended and Restated Bylaws (filed as Exhibit 3.2 to Active Power’s Current Report on Form 8-K filed on February</w:t>
      </w:r>
    </w:p>
    <w:p>
      <w:pPr>
        <w:spacing w:after="0" w:line="1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2, 2007)</w:t>
      </w:r>
    </w:p>
    <w:p>
      <w:pPr>
        <w:spacing w:after="0" w:line="111"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ind w:left="920"/>
        <w:spacing w:after="0"/>
        <w:tabs>
          <w:tab w:leader="none" w:pos="1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0440"/>
          </w:cols>
          <w:pgMar w:left="240" w:top="459" w:right="12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Pr>
          <w:p>
            <w:pPr>
              <w:ind w:left="1880"/>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5820" w:type="dxa"/>
            <w:vAlign w:val="bottom"/>
          </w:tcPr>
          <w:p>
            <w:pPr>
              <w:spacing w:after="0"/>
              <w:rPr>
                <w:sz w:val="19"/>
                <w:szCs w:val="19"/>
                <w:color w:val="auto"/>
              </w:rPr>
            </w:pPr>
          </w:p>
        </w:tc>
        <w:tc>
          <w:tcPr>
            <w:tcW w:w="5600" w:type="dxa"/>
            <w:vAlign w:val="bottom"/>
          </w:tcPr>
          <w:p>
            <w:pPr>
              <w:ind w:left="2380"/>
              <w:spacing w:after="0"/>
              <w:rPr>
                <w:sz w:val="20"/>
                <w:szCs w:val="20"/>
                <w:color w:val="auto"/>
              </w:rPr>
            </w:pPr>
            <w:r>
              <w:rPr>
                <w:rFonts w:ascii="Arial" w:cs="Arial" w:eastAsia="Arial" w:hAnsi="Arial"/>
                <w:sz w:val="18"/>
                <w:szCs w:val="18"/>
                <w:color w:val="auto"/>
              </w:rPr>
              <w:t>(Registrant)</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July 27, 2007</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20" w:type="dxa"/>
            <w:vAlign w:val="bottom"/>
          </w:tcPr>
          <w:p>
            <w:pPr>
              <w:spacing w:after="0"/>
              <w:rPr>
                <w:sz w:val="20"/>
                <w:szCs w:val="20"/>
                <w:color w:val="auto"/>
              </w:rPr>
            </w:pPr>
            <w:r>
              <w:rPr>
                <w:rFonts w:ascii="Arial" w:cs="Arial" w:eastAsia="Arial" w:hAnsi="Arial"/>
                <w:sz w:val="18"/>
                <w:szCs w:val="18"/>
                <w:color w:val="auto"/>
              </w:rPr>
              <w:t>July 27, 2007</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w:t>
            </w:r>
          </w:p>
        </w:tc>
        <w:tc>
          <w:tcPr>
            <w:tcW w:w="560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459"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27, 2007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2007,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27, 2007</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June 30, 2007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of Finance, Chief Financial Officer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July 27,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lvl w:ilvl="1">
      <w:lvlJc w:val="left"/>
      <w:lvlText w:val="\emdash "/>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2"/>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2019-12-14T16:12:09Z</dcterms:created>
  <dcterms:modified xsi:type="dcterms:W3CDTF">2019-12-14T16:12:09Z</dcterms:modified>
</cp:coreProperties>
</file>